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Arial" w:hAnsi="Arial"/>
          <w:b/>
          <w:color w:val="B71524"/>
          <w:sz w:val="44"/>
        </w:rPr>
        <w:t>Project Framing Template and Worked Example</w:t>
      </w:r>
    </w:p>
    <w:p>
      <w:pPr>
        <w:spacing w:after="360"/>
      </w:pPr>
      <w:r>
        <w:rPr>
          <w:rFonts w:ascii="Arial" w:hAnsi="Arial"/>
          <w:color w:val="4D4D4D"/>
          <w:sz w:val="22"/>
        </w:rPr>
        <w:t>What good looks like for a transformation opportunity</w:t>
      </w:r>
    </w:p>
    <w:p>
      <w:pPr>
        <w:spacing w:after="80" w:line="254" w:lineRule="auto"/>
      </w:pPr>
      <w:r>
        <w:rPr>
          <w:rFonts w:ascii="Arial" w:hAnsi="Arial"/>
          <w:sz w:val="21"/>
        </w:rPr>
        <w:t>This template helps turn a vague idea into a clear transformation opportunity. It separates the larger project from the most valuable four-week advance, and it keeps AI as one possible enabler rather than the whole project.</w:t>
      </w:r>
    </w:p>
    <w:p>
      <w:pPr>
        <w:spacing w:before="200" w:after="100"/>
      </w:pPr>
      <w:r>
        <w:rPr>
          <w:rFonts w:ascii="Arial" w:hAnsi="Arial"/>
          <w:b/>
          <w:color w:val="B71524"/>
          <w:sz w:val="30"/>
        </w:rPr>
        <w:t>1. Project framing template</w:t>
      </w:r>
    </w:p>
    <w:tbl>
      <w:tblPr>
        <w:tblStyle w:val="TableGrid"/>
        <w:tblW w:type="auto" w:w="0"/>
        <w:jc w:val="center"/>
        <w:tblLook w:firstColumn="1" w:firstRow="1" w:lastColumn="0" w:lastRow="0" w:noHBand="0" w:noVBand="1" w:val="04A0"/>
      </w:tblPr>
      <w:tblGrid>
        <w:gridCol w:w="5083"/>
        <w:gridCol w:w="5083"/>
      </w:tblGrid>
      <w:tr>
        <w:tc>
          <w:tcPr>
            <w:tcW w:type="dxa" w:w="2880"/>
            <w:shd w:fill="B71524"/>
          </w:tcPr>
          <w:p>
            <w:pPr>
              <w:spacing w:after="0"/>
            </w:pPr>
            <w:r/>
            <w:r>
              <w:rPr>
                <w:b/>
                <w:color w:val="FFFFFF"/>
                <w:sz w:val="18"/>
              </w:rPr>
              <w:t>Field</w:t>
            </w:r>
          </w:p>
        </w:tc>
        <w:tc>
          <w:tcPr>
            <w:tcW w:type="dxa" w:w="7776"/>
            <w:shd w:fill="B71524"/>
          </w:tcPr>
          <w:p>
            <w:pPr>
              <w:spacing w:after="0"/>
            </w:pPr>
            <w:r/>
            <w:r>
              <w:rPr>
                <w:b/>
                <w:color w:val="FFFFFF"/>
                <w:sz w:val="18"/>
              </w:rPr>
              <w:t>What to include</w:t>
            </w:r>
          </w:p>
        </w:tc>
      </w:tr>
      <w:tr>
        <w:tc>
          <w:tcPr>
            <w:tcW w:type="dxa" w:w="2880"/>
            <w:vAlign w:val="top"/>
          </w:tcPr>
          <w:p>
            <w:pPr>
              <w:spacing w:after="0"/>
            </w:pPr>
            <w:r/>
            <w:r>
              <w:rPr>
                <w:b w:val="0"/>
                <w:sz w:val="18"/>
              </w:rPr>
              <w:t>Opportunity paragraph</w:t>
            </w:r>
          </w:p>
        </w:tc>
        <w:tc>
          <w:tcPr>
            <w:tcW w:type="dxa" w:w="7776"/>
            <w:vAlign w:val="top"/>
          </w:tcPr>
          <w:p>
            <w:pPr>
              <w:spacing w:after="0"/>
            </w:pPr>
            <w:r/>
            <w:r>
              <w:rPr>
                <w:b w:val="0"/>
                <w:sz w:val="18"/>
              </w:rPr>
              <w:t>A short paragraph describing the opportunity, why it matters, what transformation may be possible, how AI may contribute, and what impact could result.</w:t>
            </w:r>
          </w:p>
        </w:tc>
      </w:tr>
      <w:tr>
        <w:tc>
          <w:tcPr>
            <w:tcW w:type="dxa" w:w="2880"/>
            <w:vAlign w:val="top"/>
          </w:tcPr>
          <w:p>
            <w:pPr>
              <w:spacing w:after="0"/>
            </w:pPr>
            <w:r/>
            <w:r>
              <w:rPr>
                <w:b w:val="0"/>
                <w:sz w:val="18"/>
              </w:rPr>
              <w:t>Current reality</w:t>
            </w:r>
          </w:p>
        </w:tc>
        <w:tc>
          <w:tcPr>
            <w:tcW w:type="dxa" w:w="7776"/>
            <w:vAlign w:val="top"/>
          </w:tcPr>
          <w:p>
            <w:pPr>
              <w:spacing w:after="0"/>
            </w:pPr>
            <w:r/>
            <w:r>
              <w:rPr>
                <w:b w:val="0"/>
                <w:sz w:val="18"/>
              </w:rPr>
              <w:t>What happens today? Where is the friction, cost, delay, risk, quality issue or missed opportunity? What evidence exists?</w:t>
            </w:r>
          </w:p>
        </w:tc>
      </w:tr>
      <w:tr>
        <w:tc>
          <w:tcPr>
            <w:tcW w:type="dxa" w:w="2880"/>
            <w:vAlign w:val="top"/>
          </w:tcPr>
          <w:p>
            <w:pPr>
              <w:spacing w:after="0"/>
            </w:pPr>
            <w:r/>
            <w:r>
              <w:rPr>
                <w:b w:val="0"/>
                <w:sz w:val="18"/>
              </w:rPr>
              <w:t>Desired outcome</w:t>
            </w:r>
          </w:p>
        </w:tc>
        <w:tc>
          <w:tcPr>
            <w:tcW w:type="dxa" w:w="7776"/>
            <w:vAlign w:val="top"/>
          </w:tcPr>
          <w:p>
            <w:pPr>
              <w:spacing w:after="0"/>
            </w:pPr>
            <w:r/>
            <w:r>
              <w:rPr>
                <w:b w:val="0"/>
                <w:sz w:val="18"/>
              </w:rPr>
              <w:t>What should be better if the project succeeds?</w:t>
            </w:r>
          </w:p>
        </w:tc>
      </w:tr>
      <w:tr>
        <w:tc>
          <w:tcPr>
            <w:tcW w:type="dxa" w:w="2880"/>
            <w:vAlign w:val="top"/>
          </w:tcPr>
          <w:p>
            <w:pPr>
              <w:spacing w:after="0"/>
            </w:pPr>
            <w:r/>
            <w:r>
              <w:rPr>
                <w:b w:val="0"/>
                <w:sz w:val="18"/>
              </w:rPr>
              <w:t>Transformation potential</w:t>
            </w:r>
          </w:p>
        </w:tc>
        <w:tc>
          <w:tcPr>
            <w:tcW w:type="dxa" w:w="7776"/>
            <w:vAlign w:val="top"/>
          </w:tcPr>
          <w:p>
            <w:pPr>
              <w:spacing w:after="0"/>
            </w:pPr>
            <w:r/>
            <w:r>
              <w:rPr>
                <w:b w:val="0"/>
                <w:sz w:val="18"/>
              </w:rPr>
              <w:t>What could change in the process, roles, decisions, information flow, controls, service model or operating model?</w:t>
            </w:r>
          </w:p>
        </w:tc>
      </w:tr>
      <w:tr>
        <w:tc>
          <w:tcPr>
            <w:tcW w:type="dxa" w:w="2880"/>
            <w:vAlign w:val="top"/>
          </w:tcPr>
          <w:p>
            <w:pPr>
              <w:spacing w:after="0"/>
            </w:pPr>
            <w:r/>
            <w:r>
              <w:rPr>
                <w:b w:val="0"/>
                <w:sz w:val="18"/>
              </w:rPr>
              <w:t>Role of AI</w:t>
            </w:r>
          </w:p>
        </w:tc>
        <w:tc>
          <w:tcPr>
            <w:tcW w:type="dxa" w:w="7776"/>
            <w:vAlign w:val="top"/>
          </w:tcPr>
          <w:p>
            <w:pPr>
              <w:spacing w:after="0"/>
            </w:pPr>
            <w:r/>
            <w:r>
              <w:rPr>
                <w:b w:val="0"/>
                <w:sz w:val="18"/>
              </w:rPr>
              <w:t>What does AI specifically enable? Do not force AI where process redesign or conventional automation is better.</w:t>
            </w:r>
          </w:p>
        </w:tc>
      </w:tr>
      <w:tr>
        <w:tc>
          <w:tcPr>
            <w:tcW w:type="dxa" w:w="2880"/>
            <w:vAlign w:val="top"/>
          </w:tcPr>
          <w:p>
            <w:pPr>
              <w:spacing w:after="0"/>
            </w:pPr>
            <w:r/>
            <w:r>
              <w:rPr>
                <w:b w:val="0"/>
                <w:sz w:val="18"/>
              </w:rPr>
              <w:t>Potential impact</w:t>
            </w:r>
          </w:p>
        </w:tc>
        <w:tc>
          <w:tcPr>
            <w:tcW w:type="dxa" w:w="7776"/>
            <w:vAlign w:val="top"/>
          </w:tcPr>
          <w:p>
            <w:pPr>
              <w:spacing w:after="0"/>
            </w:pPr>
            <w:r/>
            <w:r>
              <w:rPr>
                <w:b w:val="0"/>
                <w:sz w:val="18"/>
              </w:rPr>
              <w:t>Who benefits and what kind of value may be created?</w:t>
            </w:r>
          </w:p>
        </w:tc>
      </w:tr>
      <w:tr>
        <w:tc>
          <w:tcPr>
            <w:tcW w:type="dxa" w:w="2880"/>
            <w:vAlign w:val="top"/>
          </w:tcPr>
          <w:p>
            <w:pPr>
              <w:spacing w:after="0"/>
            </w:pPr>
            <w:r/>
            <w:r>
              <w:rPr>
                <w:b w:val="0"/>
                <w:sz w:val="18"/>
              </w:rPr>
              <w:t>Key assumptions and unknowns</w:t>
            </w:r>
          </w:p>
        </w:tc>
        <w:tc>
          <w:tcPr>
            <w:tcW w:type="dxa" w:w="7776"/>
            <w:vAlign w:val="top"/>
          </w:tcPr>
          <w:p>
            <w:pPr>
              <w:spacing w:after="0"/>
            </w:pPr>
            <w:r/>
            <w:r>
              <w:rPr>
                <w:b w:val="0"/>
                <w:sz w:val="18"/>
              </w:rPr>
              <w:t>What is not yet proven? What would change your view?</w:t>
            </w:r>
          </w:p>
        </w:tc>
      </w:tr>
      <w:tr>
        <w:tc>
          <w:tcPr>
            <w:tcW w:type="dxa" w:w="2880"/>
            <w:vAlign w:val="top"/>
          </w:tcPr>
          <w:p>
            <w:pPr>
              <w:spacing w:after="0"/>
            </w:pPr>
            <w:r/>
            <w:r>
              <w:rPr>
                <w:b w:val="0"/>
                <w:sz w:val="18"/>
              </w:rPr>
              <w:t>Big project</w:t>
            </w:r>
          </w:p>
        </w:tc>
        <w:tc>
          <w:tcPr>
            <w:tcW w:type="dxa" w:w="7776"/>
            <w:vAlign w:val="top"/>
          </w:tcPr>
          <w:p>
            <w:pPr>
              <w:spacing w:after="0"/>
            </w:pPr>
            <w:r/>
            <w:r>
              <w:rPr>
                <w:b w:val="0"/>
                <w:sz w:val="18"/>
              </w:rPr>
              <w:t>The meaningful organisational transformation you ultimately want to advance.</w:t>
            </w:r>
          </w:p>
        </w:tc>
      </w:tr>
      <w:tr>
        <w:tc>
          <w:tcPr>
            <w:tcW w:type="dxa" w:w="2880"/>
            <w:vAlign w:val="top"/>
          </w:tcPr>
          <w:p>
            <w:pPr>
              <w:spacing w:after="0"/>
            </w:pPr>
            <w:r/>
            <w:r>
              <w:rPr>
                <w:b w:val="0"/>
                <w:sz w:val="18"/>
              </w:rPr>
              <w:t>Four-week advance</w:t>
            </w:r>
          </w:p>
        </w:tc>
        <w:tc>
          <w:tcPr>
            <w:tcW w:type="dxa" w:w="7776"/>
            <w:vAlign w:val="top"/>
          </w:tcPr>
          <w:p>
            <w:pPr>
              <w:spacing w:after="0"/>
            </w:pPr>
            <w:r/>
            <w:r>
              <w:rPr>
                <w:b w:val="0"/>
                <w:sz w:val="18"/>
              </w:rPr>
              <w:t>The most valuable progress you can make in four weeks to increase the likelihood that the big project succeeds.</w:t>
            </w:r>
          </w:p>
        </w:tc>
      </w:tr>
      <w:tr>
        <w:tc>
          <w:tcPr>
            <w:tcW w:type="dxa" w:w="2880"/>
            <w:vAlign w:val="top"/>
          </w:tcPr>
          <w:p>
            <w:pPr>
              <w:spacing w:after="0"/>
            </w:pPr>
            <w:r/>
            <w:r>
              <w:rPr>
                <w:b w:val="0"/>
                <w:sz w:val="18"/>
              </w:rPr>
              <w:t>Evidence of progress</w:t>
            </w:r>
          </w:p>
        </w:tc>
        <w:tc>
          <w:tcPr>
            <w:tcW w:type="dxa" w:w="7776"/>
            <w:vAlign w:val="top"/>
          </w:tcPr>
          <w:p>
            <w:pPr>
              <w:spacing w:after="0"/>
            </w:pPr>
            <w:r/>
            <w:r>
              <w:rPr>
                <w:b w:val="0"/>
                <w:sz w:val="18"/>
              </w:rPr>
              <w:t>What will exist at the end that shows the project genuinely moved forward?</w:t>
            </w:r>
          </w:p>
        </w:tc>
      </w:tr>
      <w:tr>
        <w:tc>
          <w:tcPr>
            <w:tcW w:type="dxa" w:w="2880"/>
            <w:vAlign w:val="top"/>
          </w:tcPr>
          <w:p>
            <w:pPr>
              <w:spacing w:after="0"/>
            </w:pPr>
            <w:r/>
            <w:r>
              <w:rPr>
                <w:b w:val="0"/>
                <w:sz w:val="18"/>
              </w:rPr>
              <w:t>Immediate validation questions</w:t>
            </w:r>
          </w:p>
        </w:tc>
        <w:tc>
          <w:tcPr>
            <w:tcW w:type="dxa" w:w="7776"/>
            <w:vAlign w:val="top"/>
          </w:tcPr>
          <w:p>
            <w:pPr>
              <w:spacing w:after="0"/>
            </w:pPr>
            <w:r/>
            <w:r>
              <w:rPr>
                <w:b w:val="0"/>
                <w:sz w:val="18"/>
              </w:rPr>
              <w:t>What questions should be answered next through fieldwork, evidence or stakeholder conversations?</w:t>
            </w:r>
          </w:p>
        </w:tc>
      </w:tr>
    </w:tbl>
    <w:p>
      <w:pPr>
        <w:spacing w:after="40"/>
      </w:pPr>
    </w:p>
    <w:p>
      <w:pPr>
        <w:spacing w:before="200" w:after="100"/>
      </w:pPr>
      <w:r>
        <w:rPr>
          <w:rFonts w:ascii="Arial" w:hAnsi="Arial"/>
          <w:b/>
          <w:color w:val="B71524"/>
          <w:sz w:val="30"/>
        </w:rPr>
        <w:t>2. Worked example: tax information processing</w:t>
      </w:r>
    </w:p>
    <w:p>
      <w:pPr>
        <w:spacing w:before="160" w:after="60"/>
      </w:pPr>
      <w:r>
        <w:rPr>
          <w:rFonts w:ascii="Arial" w:hAnsi="Arial"/>
          <w:b/>
          <w:color w:val="1D1D1B"/>
          <w:sz w:val="24"/>
        </w:rPr>
        <w:t>Weak framing</w:t>
      </w:r>
    </w:p>
    <w:tbl>
      <w:tblPr>
        <w:tblW w:type="auto" w:w="0"/>
        <w:jc w:val="center"/>
        <w:tblLook w:firstColumn="1" w:firstRow="1" w:lastColumn="0" w:lastRow="0" w:noHBand="0" w:noVBand="1" w:val="04A0"/>
      </w:tblPr>
      <w:tblGrid>
        <w:gridCol w:w="10166"/>
      </w:tblGrid>
      <w:tr>
        <w:tc>
          <w:tcPr>
            <w:tcW w:type="dxa" w:w="10166"/>
            <w:shd w:fill="F7F0F0"/>
            <w:vAlign w:val="center"/>
          </w:tcPr>
          <w:p>
            <w:r>
              <w:rPr>
                <w:rFonts w:ascii="Arial" w:hAnsi="Arial"/>
                <w:sz w:val="20"/>
              </w:rPr>
              <w:t>Use AI to automate tax form processing.</w:t>
            </w:r>
          </w:p>
        </w:tc>
      </w:tr>
    </w:tbl>
    <w:p>
      <w:pPr>
        <w:spacing w:before="160" w:after="60"/>
      </w:pPr>
      <w:r>
        <w:rPr>
          <w:rFonts w:ascii="Arial" w:hAnsi="Arial"/>
          <w:b/>
          <w:color w:val="1D1D1B"/>
          <w:sz w:val="24"/>
        </w:rPr>
        <w:t>Stronger opportunity paragraph</w:t>
      </w:r>
    </w:p>
    <w:p>
      <w:pPr>
        <w:spacing w:after="80" w:line="254" w:lineRule="auto"/>
      </w:pPr>
      <w:r>
        <w:rPr>
          <w:rFonts w:ascii="Arial" w:hAnsi="Arial"/>
          <w:sz w:val="21"/>
        </w:rPr>
        <w:t>A tax team spends thousands of hours extracting and consolidating information from multiple forms before specialists can do the higher-value tax analysis and optimisation work they are actually trained for. The opportunity is to redesign how tax information moves from source documents to expert judgement, so that routine preparation requires far less specialist time while review, control and accountability remain appropriate. AI may help extract, classify and structure information, but the larger transformation is about reallocating professional capacity from repetitive preparation towards judgement-intensive tax work. If successful, the organisation could recover substantial specialist capacity, reduce turnaround time, improve consistency and enable tax experts to focus on higher-value optimisation.</w:t>
      </w:r>
    </w:p>
    <w:p>
      <w:pPr>
        <w:spacing w:before="160" w:after="60"/>
      </w:pPr>
      <w:r>
        <w:rPr>
          <w:rFonts w:ascii="Arial" w:hAnsi="Arial"/>
          <w:b/>
          <w:color w:val="1D1D1B"/>
          <w:sz w:val="24"/>
        </w:rPr>
        <w:t>Structured framing</w:t>
      </w:r>
    </w:p>
    <w:tbl>
      <w:tblPr>
        <w:tblStyle w:val="TableGrid"/>
        <w:tblW w:type="auto" w:w="0"/>
        <w:jc w:val="center"/>
        <w:tblLook w:firstColumn="1" w:firstRow="1" w:lastColumn="0" w:lastRow="0" w:noHBand="0" w:noVBand="1" w:val="04A0"/>
      </w:tblPr>
      <w:tblGrid>
        <w:gridCol w:w="5083"/>
        <w:gridCol w:w="5083"/>
      </w:tblGrid>
      <w:tr>
        <w:tc>
          <w:tcPr>
            <w:tcW w:type="dxa" w:w="2880"/>
            <w:shd w:fill="B71524"/>
          </w:tcPr>
          <w:p>
            <w:pPr>
              <w:spacing w:after="0"/>
            </w:pPr>
            <w:r/>
            <w:r>
              <w:rPr>
                <w:b/>
                <w:color w:val="FFFFFF"/>
                <w:sz w:val="18"/>
              </w:rPr>
              <w:t>Field</w:t>
            </w:r>
          </w:p>
        </w:tc>
        <w:tc>
          <w:tcPr>
            <w:tcW w:type="dxa" w:w="7776"/>
            <w:shd w:fill="B71524"/>
          </w:tcPr>
          <w:p>
            <w:pPr>
              <w:spacing w:after="0"/>
            </w:pPr>
            <w:r/>
            <w:r>
              <w:rPr>
                <w:b/>
                <w:color w:val="FFFFFF"/>
                <w:sz w:val="18"/>
              </w:rPr>
              <w:t>Example</w:t>
            </w:r>
          </w:p>
        </w:tc>
      </w:tr>
      <w:tr>
        <w:tc>
          <w:tcPr>
            <w:tcW w:type="dxa" w:w="2880"/>
            <w:vAlign w:val="top"/>
          </w:tcPr>
          <w:p>
            <w:pPr>
              <w:spacing w:after="0"/>
            </w:pPr>
            <w:r/>
            <w:r>
              <w:rPr>
                <w:b w:val="0"/>
                <w:sz w:val="18"/>
              </w:rPr>
              <w:t>Current reality</w:t>
            </w:r>
          </w:p>
        </w:tc>
        <w:tc>
          <w:tcPr>
            <w:tcW w:type="dxa" w:w="7776"/>
            <w:vAlign w:val="top"/>
          </w:tcPr>
          <w:p>
            <w:pPr>
              <w:spacing w:after="0"/>
            </w:pPr>
            <w:r/>
            <w:r>
              <w:rPr>
                <w:b w:val="0"/>
                <w:sz w:val="18"/>
              </w:rPr>
              <w:t>Specialists spend large amounts of time extracting and consolidating form data before they can analyse tax positions. The team believes the preparation burden is material, but the precise breakdown by task still needs validation.</w:t>
            </w:r>
          </w:p>
        </w:tc>
      </w:tr>
      <w:tr>
        <w:tc>
          <w:tcPr>
            <w:tcW w:type="dxa" w:w="2880"/>
            <w:vAlign w:val="top"/>
          </w:tcPr>
          <w:p>
            <w:pPr>
              <w:spacing w:after="0"/>
            </w:pPr>
            <w:r/>
            <w:r>
              <w:rPr>
                <w:b w:val="0"/>
                <w:sz w:val="18"/>
              </w:rPr>
              <w:t>Desired outcome</w:t>
            </w:r>
          </w:p>
        </w:tc>
        <w:tc>
          <w:tcPr>
            <w:tcW w:type="dxa" w:w="7776"/>
            <w:vAlign w:val="top"/>
          </w:tcPr>
          <w:p>
            <w:pPr>
              <w:spacing w:after="0"/>
            </w:pPr>
            <w:r/>
            <w:r>
              <w:rPr>
                <w:b w:val="0"/>
                <w:sz w:val="18"/>
              </w:rPr>
              <w:t>Reduce repetitive preparation work and increase the time specialists spend on tax analysis and optimisation.</w:t>
            </w:r>
          </w:p>
        </w:tc>
      </w:tr>
      <w:tr>
        <w:tc>
          <w:tcPr>
            <w:tcW w:type="dxa" w:w="2880"/>
            <w:vAlign w:val="top"/>
          </w:tcPr>
          <w:p>
            <w:pPr>
              <w:spacing w:after="0"/>
            </w:pPr>
            <w:r/>
            <w:r>
              <w:rPr>
                <w:b w:val="0"/>
                <w:sz w:val="18"/>
              </w:rPr>
              <w:t>Transformation potential</w:t>
            </w:r>
          </w:p>
        </w:tc>
        <w:tc>
          <w:tcPr>
            <w:tcW w:type="dxa" w:w="7776"/>
            <w:vAlign w:val="top"/>
          </w:tcPr>
          <w:p>
            <w:pPr>
              <w:spacing w:after="0"/>
            </w:pPr>
            <w:r/>
            <w:r>
              <w:rPr>
                <w:b w:val="0"/>
                <w:sz w:val="18"/>
              </w:rPr>
              <w:t>Redesign the preparation-to-analysis workflow: intake, extraction, exception handling, review, quality checks and hand-off into expert judgement.</w:t>
            </w:r>
          </w:p>
        </w:tc>
      </w:tr>
      <w:tr>
        <w:tc>
          <w:tcPr>
            <w:tcW w:type="dxa" w:w="2880"/>
            <w:vAlign w:val="top"/>
          </w:tcPr>
          <w:p>
            <w:pPr>
              <w:spacing w:after="0"/>
            </w:pPr>
            <w:r/>
            <w:r>
              <w:rPr>
                <w:b w:val="0"/>
                <w:sz w:val="18"/>
              </w:rPr>
              <w:t>Role of AI</w:t>
            </w:r>
          </w:p>
        </w:tc>
        <w:tc>
          <w:tcPr>
            <w:tcW w:type="dxa" w:w="7776"/>
            <w:vAlign w:val="top"/>
          </w:tcPr>
          <w:p>
            <w:pPr>
              <w:spacing w:after="0"/>
            </w:pPr>
            <w:r/>
            <w:r>
              <w:rPr>
                <w:b w:val="0"/>
                <w:sz w:val="18"/>
              </w:rPr>
              <w:t>Potentially extract, classify and structure information from documents, flag exceptions and support review. AI is an enabler, not the whole transformation.</w:t>
            </w:r>
          </w:p>
        </w:tc>
      </w:tr>
      <w:tr>
        <w:tc>
          <w:tcPr>
            <w:tcW w:type="dxa" w:w="2880"/>
            <w:vAlign w:val="top"/>
          </w:tcPr>
          <w:p>
            <w:pPr>
              <w:spacing w:after="0"/>
            </w:pPr>
            <w:r/>
            <w:r>
              <w:rPr>
                <w:b w:val="0"/>
                <w:sz w:val="18"/>
              </w:rPr>
              <w:t>Potential impact</w:t>
            </w:r>
          </w:p>
        </w:tc>
        <w:tc>
          <w:tcPr>
            <w:tcW w:type="dxa" w:w="7776"/>
            <w:vAlign w:val="top"/>
          </w:tcPr>
          <w:p>
            <w:pPr>
              <w:spacing w:after="0"/>
            </w:pPr>
            <w:r/>
            <w:r>
              <w:rPr>
                <w:b w:val="0"/>
                <w:sz w:val="18"/>
              </w:rPr>
              <w:t>Recovered expert capacity, faster turnaround, more consistent preparation, and more time for higher-value tax optimisation.</w:t>
            </w:r>
          </w:p>
        </w:tc>
      </w:tr>
      <w:tr>
        <w:tc>
          <w:tcPr>
            <w:tcW w:type="dxa" w:w="2880"/>
            <w:vAlign w:val="top"/>
          </w:tcPr>
          <w:p>
            <w:pPr>
              <w:spacing w:after="0"/>
            </w:pPr>
            <w:r/>
            <w:r>
              <w:rPr>
                <w:b w:val="0"/>
                <w:sz w:val="18"/>
              </w:rPr>
              <w:t>Key assumptions</w:t>
            </w:r>
          </w:p>
        </w:tc>
        <w:tc>
          <w:tcPr>
            <w:tcW w:type="dxa" w:w="7776"/>
            <w:vAlign w:val="top"/>
          </w:tcPr>
          <w:p>
            <w:pPr>
              <w:spacing w:after="0"/>
            </w:pPr>
            <w:r/>
            <w:r>
              <w:rPr>
                <w:b w:val="0"/>
                <w:sz w:val="18"/>
              </w:rPr>
              <w:t>The workload is concentrated in repeatable preparation steps; source documents are structured enough to support AI-assisted extraction; controls can be maintained; specialists will trust the redesigned workflow.</w:t>
            </w:r>
          </w:p>
        </w:tc>
      </w:tr>
      <w:tr>
        <w:tc>
          <w:tcPr>
            <w:tcW w:type="dxa" w:w="2880"/>
            <w:vAlign w:val="top"/>
          </w:tcPr>
          <w:p>
            <w:pPr>
              <w:spacing w:after="0"/>
            </w:pPr>
            <w:r/>
            <w:r>
              <w:rPr>
                <w:b w:val="0"/>
                <w:sz w:val="18"/>
              </w:rPr>
              <w:t>Big project</w:t>
            </w:r>
          </w:p>
        </w:tc>
        <w:tc>
          <w:tcPr>
            <w:tcW w:type="dxa" w:w="7776"/>
            <w:vAlign w:val="top"/>
          </w:tcPr>
          <w:p>
            <w:pPr>
              <w:spacing w:after="0"/>
            </w:pPr>
            <w:r/>
            <w:r>
              <w:rPr>
                <w:b w:val="0"/>
                <w:sz w:val="18"/>
              </w:rPr>
              <w:t>Redesign the tax information-processing workflow so that scarce tax expertise is focused on judgement and optimisation rather than repetitive preparation.</w:t>
            </w:r>
          </w:p>
        </w:tc>
      </w:tr>
      <w:tr>
        <w:tc>
          <w:tcPr>
            <w:tcW w:type="dxa" w:w="2880"/>
            <w:vAlign w:val="top"/>
          </w:tcPr>
          <w:p>
            <w:pPr>
              <w:spacing w:after="0"/>
            </w:pPr>
            <w:r/>
            <w:r>
              <w:rPr>
                <w:b w:val="0"/>
                <w:sz w:val="18"/>
              </w:rPr>
              <w:t>Four-week advance</w:t>
            </w:r>
          </w:p>
        </w:tc>
        <w:tc>
          <w:tcPr>
            <w:tcW w:type="dxa" w:w="7776"/>
            <w:vAlign w:val="top"/>
          </w:tcPr>
          <w:p>
            <w:pPr>
              <w:spacing w:after="0"/>
            </w:pPr>
            <w:r/>
            <w:r>
              <w:rPr>
                <w:b w:val="0"/>
                <w:sz w:val="18"/>
              </w:rPr>
              <w:t>Establish a credible case for redesign by validating where time is spent, identifying which steps require tax expertise, mapping the current workflow, testing a representative slice of the redesigned approach, and determining whether leadership has enough evidence to support the next stage.</w:t>
            </w:r>
          </w:p>
        </w:tc>
      </w:tr>
      <w:tr>
        <w:tc>
          <w:tcPr>
            <w:tcW w:type="dxa" w:w="2880"/>
            <w:vAlign w:val="top"/>
          </w:tcPr>
          <w:p>
            <w:pPr>
              <w:spacing w:after="0"/>
            </w:pPr>
            <w:r/>
            <w:r>
              <w:rPr>
                <w:b w:val="0"/>
                <w:sz w:val="18"/>
              </w:rPr>
              <w:t>Evidence of progress</w:t>
            </w:r>
          </w:p>
        </w:tc>
        <w:tc>
          <w:tcPr>
            <w:tcW w:type="dxa" w:w="7776"/>
            <w:vAlign w:val="top"/>
          </w:tcPr>
          <w:p>
            <w:pPr>
              <w:spacing w:after="0"/>
            </w:pPr>
            <w:r/>
            <w:r>
              <w:rPr>
                <w:b w:val="0"/>
                <w:sz w:val="18"/>
              </w:rPr>
              <w:t>Validated baseline, current workflow map, redesigned workflow draft, evidence from a representative test or walkthrough, list of controls/constraints, and a clear recommendation for the next decision.</w:t>
            </w:r>
          </w:p>
        </w:tc>
      </w:tr>
    </w:tbl>
    <w:p>
      <w:pPr>
        <w:spacing w:after="40"/>
      </w:pPr>
    </w:p>
    <w:p>
      <w:pPr>
        <w:spacing w:before="200" w:after="100"/>
      </w:pPr>
      <w:r>
        <w:rPr>
          <w:rFonts w:ascii="Arial" w:hAnsi="Arial"/>
          <w:b/>
          <w:color w:val="B71524"/>
          <w:sz w:val="30"/>
        </w:rPr>
        <w:t>3. Why the stronger example is better</w:t>
      </w:r>
    </w:p>
    <w:p>
      <w:pPr>
        <w:spacing w:after="60"/>
        <w:ind w:left="259" w:hanging="173"/>
      </w:pPr>
      <w:r>
        <w:rPr>
          <w:rFonts w:ascii="Arial" w:hAnsi="Arial"/>
          <w:sz w:val="20"/>
        </w:rPr>
        <w:t xml:space="preserve">• </w:t>
      </w:r>
      <w:r>
        <w:rPr>
          <w:rFonts w:ascii="Arial" w:hAnsi="Arial"/>
          <w:sz w:val="20"/>
        </w:rPr>
        <w:t>It starts from professional capacity and organisational value, not from the AI tool.</w:t>
      </w:r>
    </w:p>
    <w:p>
      <w:pPr>
        <w:spacing w:after="60"/>
        <w:ind w:left="259" w:hanging="173"/>
      </w:pPr>
      <w:r>
        <w:rPr>
          <w:rFonts w:ascii="Arial" w:hAnsi="Arial"/>
          <w:sz w:val="20"/>
        </w:rPr>
        <w:t xml:space="preserve">• </w:t>
      </w:r>
      <w:r>
        <w:rPr>
          <w:rFonts w:ascii="Arial" w:hAnsi="Arial"/>
          <w:sz w:val="20"/>
        </w:rPr>
        <w:t>It treats AI as one enabler inside a broader transformation.</w:t>
      </w:r>
    </w:p>
    <w:p>
      <w:pPr>
        <w:spacing w:after="60"/>
        <w:ind w:left="259" w:hanging="173"/>
      </w:pPr>
      <w:r>
        <w:rPr>
          <w:rFonts w:ascii="Arial" w:hAnsi="Arial"/>
          <w:sz w:val="20"/>
        </w:rPr>
        <w:t xml:space="preserve">• </w:t>
      </w:r>
      <w:r>
        <w:rPr>
          <w:rFonts w:ascii="Arial" w:hAnsi="Arial"/>
          <w:sz w:val="20"/>
        </w:rPr>
        <w:t>It distinguishes the big project from the four-week advance.</w:t>
      </w:r>
    </w:p>
    <w:p>
      <w:pPr>
        <w:spacing w:after="60"/>
        <w:ind w:left="259" w:hanging="173"/>
      </w:pPr>
      <w:r>
        <w:rPr>
          <w:rFonts w:ascii="Arial" w:hAnsi="Arial"/>
          <w:sz w:val="20"/>
        </w:rPr>
        <w:t xml:space="preserve">• </w:t>
      </w:r>
      <w:r>
        <w:rPr>
          <w:rFonts w:ascii="Arial" w:hAnsi="Arial"/>
          <w:sz w:val="20"/>
        </w:rPr>
        <w:t>The four-week advance is not merely a technical milestone; it creates evidence, learning and decision readiness.</w:t>
      </w:r>
    </w:p>
    <w:p>
      <w:pPr>
        <w:spacing w:after="60"/>
        <w:ind w:left="259" w:hanging="173"/>
      </w:pPr>
      <w:r>
        <w:rPr>
          <w:rFonts w:ascii="Arial" w:hAnsi="Arial"/>
          <w:sz w:val="20"/>
        </w:rPr>
        <w:t xml:space="preserve">• </w:t>
      </w:r>
      <w:r>
        <w:rPr>
          <w:rFonts w:ascii="Arial" w:hAnsi="Arial"/>
          <w:sz w:val="20"/>
        </w:rPr>
        <w:t>It keeps assumptions visible rather than overstating certainty.</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