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2B00A" w14:textId="39FD2560" w:rsidR="00EA211B" w:rsidRDefault="00EA211B" w:rsidP="00EA211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식품의약품안전처, 정기적인 유익성-위해성 평가보고에 관한 가이드라인, 2017</w:t>
      </w:r>
    </w:p>
    <w:p w14:paraId="05EFB05F" w14:textId="62592C6E" w:rsidR="00EA211B" w:rsidRDefault="00EA211B" w:rsidP="00EA211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식품의약품안전처, 의약품의 위해성 관리계획 가이드라인, 202</w:t>
      </w:r>
      <w:r>
        <w:t>4</w:t>
      </w:r>
    </w:p>
    <w:p w14:paraId="051D2D5B" w14:textId="1A5D746F" w:rsidR="0000729D" w:rsidRDefault="00EA211B" w:rsidP="00EA211B">
      <w:pPr>
        <w:pStyle w:val="a3"/>
        <w:numPr>
          <w:ilvl w:val="0"/>
          <w:numId w:val="1"/>
        </w:numPr>
        <w:ind w:leftChars="0"/>
      </w:pPr>
      <w:r>
        <w:t>한국의약품안전관리원, “[CS1_브랜드명]([CS0_성분명])” 의약품 부작용보고 원시자</w:t>
      </w:r>
      <w:r>
        <w:rPr>
          <w:rFonts w:hint="eastAsia"/>
        </w:rPr>
        <w:t>료</w:t>
      </w:r>
    </w:p>
    <w:p w14:paraId="0E489899" w14:textId="574017EE" w:rsidR="00EA211B" w:rsidRDefault="00EA211B" w:rsidP="00EA211B">
      <w:pPr>
        <w:ind w:left="440"/>
        <w:rPr>
          <w:rFonts w:hint="eastAsia"/>
        </w:rPr>
      </w:pPr>
    </w:p>
    <w:sectPr w:rsidR="00EA21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54AF8"/>
    <w:multiLevelType w:val="hybridMultilevel"/>
    <w:tmpl w:val="EE000446"/>
    <w:lvl w:ilvl="0" w:tplc="5A7224D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5157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B8"/>
    <w:rsid w:val="0000729D"/>
    <w:rsid w:val="007913B8"/>
    <w:rsid w:val="00EA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9980"/>
  <w15:chartTrackingRefBased/>
  <w15:docId w15:val="{9DA4E06C-C64B-4225-AB41-3D3C93AD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1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2</cp:revision>
  <dcterms:created xsi:type="dcterms:W3CDTF">2025-12-19T21:54:00Z</dcterms:created>
  <dcterms:modified xsi:type="dcterms:W3CDTF">2025-12-19T22:01:00Z</dcterms:modified>
</cp:coreProperties>
</file>