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F68AC" w14:textId="77777777" w:rsidR="008060F2" w:rsidRPr="002A4CF5" w:rsidRDefault="008060F2" w:rsidP="002A4CF5">
      <w:pPr>
        <w:ind w:firstLine="0"/>
        <w:contextualSpacing/>
        <w:jc w:val="center"/>
        <w:rPr>
          <w:rFonts w:cs="Times New Roman"/>
          <w:b/>
          <w:bCs/>
          <w:szCs w:val="24"/>
        </w:rPr>
      </w:pPr>
    </w:p>
    <w:p w14:paraId="2919EAFE" w14:textId="77777777" w:rsidR="008060F2" w:rsidRPr="002A4CF5" w:rsidRDefault="008060F2" w:rsidP="002A4CF5">
      <w:pPr>
        <w:ind w:firstLine="0"/>
        <w:contextualSpacing/>
        <w:jc w:val="center"/>
        <w:rPr>
          <w:rFonts w:cs="Times New Roman"/>
          <w:b/>
          <w:bCs/>
          <w:szCs w:val="24"/>
        </w:rPr>
      </w:pPr>
    </w:p>
    <w:p w14:paraId="089D83C1" w14:textId="77777777" w:rsidR="008060F2" w:rsidRPr="002A4CF5" w:rsidRDefault="008060F2" w:rsidP="002A4CF5">
      <w:pPr>
        <w:ind w:firstLine="0"/>
        <w:contextualSpacing/>
        <w:jc w:val="center"/>
        <w:rPr>
          <w:rFonts w:cs="Times New Roman"/>
          <w:b/>
          <w:bCs/>
          <w:szCs w:val="24"/>
        </w:rPr>
      </w:pPr>
    </w:p>
    <w:p w14:paraId="70F17404" w14:textId="77777777" w:rsidR="008060F2" w:rsidRPr="002A4CF5" w:rsidRDefault="008060F2" w:rsidP="002A4CF5">
      <w:pPr>
        <w:ind w:firstLine="0"/>
        <w:contextualSpacing/>
        <w:jc w:val="center"/>
        <w:rPr>
          <w:rFonts w:cs="Times New Roman"/>
          <w:b/>
          <w:bCs/>
          <w:szCs w:val="24"/>
        </w:rPr>
      </w:pPr>
    </w:p>
    <w:p w14:paraId="00511737" w14:textId="1DD43492" w:rsidR="008060F2" w:rsidRPr="002A4CF5" w:rsidRDefault="008060F2" w:rsidP="002A4CF5">
      <w:pPr>
        <w:ind w:firstLine="0"/>
        <w:contextualSpacing/>
        <w:jc w:val="center"/>
        <w:rPr>
          <w:rFonts w:cs="Times New Roman"/>
          <w:b/>
          <w:bCs/>
          <w:szCs w:val="24"/>
        </w:rPr>
      </w:pPr>
      <w:r w:rsidRPr="002A4CF5">
        <w:rPr>
          <w:rFonts w:cs="Times New Roman"/>
          <w:b/>
          <w:bCs/>
          <w:szCs w:val="24"/>
        </w:rPr>
        <w:t>Biocompatibility: A Mechanical Hurdle in Prosthetics and Implants</w:t>
      </w:r>
    </w:p>
    <w:p w14:paraId="4EB2B5EF" w14:textId="77777777" w:rsidR="008060F2" w:rsidRPr="002A4CF5" w:rsidRDefault="008060F2" w:rsidP="002A4CF5">
      <w:pPr>
        <w:contextualSpacing/>
        <w:jc w:val="center"/>
        <w:rPr>
          <w:rFonts w:cs="Times New Roman"/>
          <w:szCs w:val="24"/>
        </w:rPr>
      </w:pPr>
    </w:p>
    <w:p w14:paraId="53713F2E" w14:textId="77777777" w:rsidR="00D10220" w:rsidRPr="00D10220" w:rsidRDefault="00D10220" w:rsidP="00D10220">
      <w:pPr>
        <w:contextualSpacing/>
        <w:jc w:val="center"/>
        <w:rPr>
          <w:rFonts w:cs="Times New Roman"/>
          <w:szCs w:val="24"/>
        </w:rPr>
      </w:pPr>
      <w:r w:rsidRPr="00D10220">
        <w:rPr>
          <w:rFonts w:cs="Times New Roman"/>
          <w:szCs w:val="24"/>
        </w:rPr>
        <w:t>Chigozirim Amaefule</w:t>
      </w:r>
    </w:p>
    <w:p w14:paraId="3A91A512" w14:textId="77777777" w:rsidR="00D10220" w:rsidRPr="00D10220" w:rsidRDefault="00D10220" w:rsidP="00D10220">
      <w:pPr>
        <w:contextualSpacing/>
        <w:jc w:val="center"/>
        <w:rPr>
          <w:rFonts w:cs="Times New Roman"/>
          <w:szCs w:val="24"/>
        </w:rPr>
      </w:pPr>
      <w:r w:rsidRPr="00D10220">
        <w:rPr>
          <w:rFonts w:cs="Times New Roman"/>
          <w:szCs w:val="24"/>
        </w:rPr>
        <w:t>New Jersey Institute of Technology</w:t>
      </w:r>
    </w:p>
    <w:p w14:paraId="007689D2" w14:textId="77777777" w:rsidR="00D10220" w:rsidRPr="00D10220" w:rsidRDefault="00D10220" w:rsidP="00D10220">
      <w:pPr>
        <w:contextualSpacing/>
        <w:jc w:val="center"/>
        <w:rPr>
          <w:rFonts w:cs="Times New Roman"/>
          <w:szCs w:val="24"/>
        </w:rPr>
      </w:pPr>
      <w:r w:rsidRPr="00D10220">
        <w:rPr>
          <w:rFonts w:cs="Times New Roman"/>
          <w:szCs w:val="24"/>
        </w:rPr>
        <w:t>ENG 102: Introduction to Research Writing</w:t>
      </w:r>
    </w:p>
    <w:p w14:paraId="5E91EE71" w14:textId="77777777" w:rsidR="00D10220" w:rsidRPr="00D10220" w:rsidRDefault="00D10220" w:rsidP="00D10220">
      <w:pPr>
        <w:contextualSpacing/>
        <w:jc w:val="center"/>
        <w:rPr>
          <w:rFonts w:cs="Times New Roman"/>
          <w:szCs w:val="24"/>
        </w:rPr>
      </w:pPr>
      <w:r w:rsidRPr="00D10220">
        <w:rPr>
          <w:rFonts w:cs="Times New Roman"/>
          <w:szCs w:val="24"/>
        </w:rPr>
        <w:t>Dr. Crystal Hamai</w:t>
      </w:r>
    </w:p>
    <w:p w14:paraId="1F7544E3" w14:textId="5752B5D4" w:rsidR="00D10220" w:rsidRPr="00D10220" w:rsidRDefault="00A95114" w:rsidP="00D10220">
      <w:pPr>
        <w:contextualSpacing/>
        <w:jc w:val="center"/>
        <w:rPr>
          <w:rFonts w:cs="Times New Roman"/>
          <w:szCs w:val="24"/>
        </w:rPr>
      </w:pPr>
      <w:r>
        <w:rPr>
          <w:rFonts w:cs="Times New Roman"/>
          <w:szCs w:val="24"/>
        </w:rPr>
        <w:t xml:space="preserve">April </w:t>
      </w:r>
      <w:r w:rsidR="005A58D3">
        <w:rPr>
          <w:rFonts w:cs="Times New Roman"/>
          <w:szCs w:val="24"/>
        </w:rPr>
        <w:t>1,</w:t>
      </w:r>
      <w:r w:rsidR="00D10220" w:rsidRPr="00D10220">
        <w:rPr>
          <w:rFonts w:cs="Times New Roman"/>
          <w:szCs w:val="24"/>
        </w:rPr>
        <w:t xml:space="preserve"> 2025</w:t>
      </w:r>
    </w:p>
    <w:p w14:paraId="7CBE0B61" w14:textId="77777777" w:rsidR="008060F2" w:rsidRPr="002A4CF5" w:rsidRDefault="008060F2" w:rsidP="002A4CF5">
      <w:pPr>
        <w:contextualSpacing/>
        <w:rPr>
          <w:rFonts w:cs="Times New Roman"/>
          <w:b/>
          <w:bCs/>
          <w:szCs w:val="24"/>
        </w:rPr>
      </w:pPr>
      <w:r w:rsidRPr="002A4CF5">
        <w:rPr>
          <w:rFonts w:cs="Times New Roman"/>
          <w:b/>
          <w:bCs/>
          <w:szCs w:val="24"/>
        </w:rPr>
        <w:br w:type="page"/>
      </w:r>
    </w:p>
    <w:p w14:paraId="3D553BCB" w14:textId="1DB64BFD" w:rsidR="009F3617" w:rsidRPr="00E450E8" w:rsidRDefault="00E450E8" w:rsidP="002A4CF5">
      <w:pPr>
        <w:ind w:firstLine="0"/>
        <w:contextualSpacing/>
        <w:jc w:val="center"/>
        <w:rPr>
          <w:rFonts w:cs="Times New Roman"/>
          <w:b/>
          <w:bCs/>
          <w:szCs w:val="24"/>
          <w:u w:val="single"/>
        </w:rPr>
      </w:pPr>
      <w:r w:rsidRPr="00E450E8">
        <w:rPr>
          <w:rFonts w:cs="Times New Roman"/>
          <w:b/>
          <w:bCs/>
          <w:szCs w:val="24"/>
          <w:u w:val="single"/>
        </w:rPr>
        <w:lastRenderedPageBreak/>
        <w:t>Abstract</w:t>
      </w:r>
    </w:p>
    <w:p w14:paraId="457D5F36" w14:textId="77777777" w:rsidR="00E73565" w:rsidRPr="00E73565" w:rsidRDefault="00E73565" w:rsidP="00E73565">
      <w:pPr>
        <w:contextualSpacing/>
        <w:rPr>
          <w:rFonts w:cs="Times New Roman"/>
          <w:szCs w:val="24"/>
        </w:rPr>
      </w:pPr>
      <w:r w:rsidRPr="00E73565">
        <w:rPr>
          <w:rFonts w:cs="Times New Roman"/>
          <w:szCs w:val="24"/>
        </w:rPr>
        <w:t>Biocompatibility deals with the compatibility of prosthetics and implants with the human body; that is how the prosthesis works with the human body tissue. There is still the issue of rejection by the body’s immune system, toxicity of the used materials, and the problem of individual approaches to the creation of prosthetics. Prosthetics have been developed from early wooden and metal structures to contemporary biomechanical systems. But, yet, current implants fail in many cases due to inflammation issues and biodegradation, thus not being very effective in the long run. It is important to address these issues as they can improve the quality of care for the patients, decrease the rate of complications, and broaden the usage of the prosthetic technology in medical fields.</w:t>
      </w:r>
    </w:p>
    <w:p w14:paraId="251CCE8B" w14:textId="7172FACE" w:rsidR="009F3617" w:rsidRPr="002A4CF5" w:rsidRDefault="00E73565" w:rsidP="002A4CF5">
      <w:pPr>
        <w:contextualSpacing/>
        <w:rPr>
          <w:rFonts w:cs="Times New Roman"/>
          <w:szCs w:val="24"/>
        </w:rPr>
      </w:pPr>
      <w:r w:rsidRPr="00E73565">
        <w:rPr>
          <w:rFonts w:cs="Times New Roman"/>
          <w:szCs w:val="24"/>
        </w:rPr>
        <w:t>To address biocompatibility challenges, there is a continuous search for developments in material science, bioengineering, and patient customization. Other smart biomaterials like surface-modified titanium alloys also can decrease immune response and enhance tissue compatibility. Moreover, the modern techniques of fabrications, such as 3D printing, allow for a unique prosthetics design that suits the anatomical and physiological specifications of a patient. Further studies must be conducted to enhance these technologies as well as to make them affordable for the patient. Thus, with the growth of the concept of biocompatibility, it will be possible to see new experimental achievements in the development of prosthetics and implants due to the cooperation between material scientists, engineers, and healthcare specialists.</w:t>
      </w:r>
      <w:r w:rsidR="009F3617" w:rsidRPr="002A4CF5">
        <w:rPr>
          <w:rFonts w:cs="Times New Roman"/>
          <w:szCs w:val="24"/>
        </w:rPr>
        <w:br w:type="page"/>
      </w:r>
    </w:p>
    <w:p w14:paraId="0B659C64" w14:textId="77777777" w:rsidR="009F3617" w:rsidRPr="00E450E8" w:rsidRDefault="009F3617" w:rsidP="002A4CF5">
      <w:pPr>
        <w:ind w:firstLine="0"/>
        <w:contextualSpacing/>
        <w:jc w:val="center"/>
        <w:rPr>
          <w:rFonts w:cs="Times New Roman"/>
          <w:b/>
          <w:bCs/>
          <w:szCs w:val="24"/>
          <w:u w:val="single"/>
        </w:rPr>
      </w:pPr>
      <w:r w:rsidRPr="00E450E8">
        <w:rPr>
          <w:rFonts w:cs="Times New Roman"/>
          <w:b/>
          <w:bCs/>
          <w:szCs w:val="24"/>
          <w:u w:val="single"/>
        </w:rPr>
        <w:lastRenderedPageBreak/>
        <w:t>Biocompatibility: A Mechanical Hurdle in Prosthetics and Implants</w:t>
      </w:r>
    </w:p>
    <w:p w14:paraId="265CE491" w14:textId="235F967C" w:rsidR="005E6D70" w:rsidRPr="00E450E8" w:rsidRDefault="005E6D70" w:rsidP="002A4CF5">
      <w:pPr>
        <w:ind w:firstLine="0"/>
        <w:contextualSpacing/>
        <w:jc w:val="center"/>
        <w:rPr>
          <w:rFonts w:cs="Times New Roman"/>
          <w:b/>
          <w:bCs/>
          <w:szCs w:val="24"/>
          <w:u w:val="single"/>
        </w:rPr>
      </w:pPr>
      <w:r w:rsidRPr="00E450E8">
        <w:rPr>
          <w:rFonts w:cs="Times New Roman"/>
          <w:b/>
          <w:bCs/>
          <w:szCs w:val="24"/>
          <w:u w:val="single"/>
        </w:rPr>
        <w:t>Introduction &amp; Background</w:t>
      </w:r>
    </w:p>
    <w:p w14:paraId="54B95794" w14:textId="2A975983" w:rsidR="005E6D70" w:rsidRPr="00E450E8" w:rsidRDefault="005E6D70" w:rsidP="002A4CF5">
      <w:pPr>
        <w:ind w:firstLine="0"/>
        <w:contextualSpacing/>
        <w:rPr>
          <w:rFonts w:cs="Times New Roman"/>
          <w:b/>
          <w:bCs/>
          <w:szCs w:val="24"/>
          <w:u w:val="single"/>
        </w:rPr>
      </w:pPr>
      <w:r w:rsidRPr="00E450E8">
        <w:rPr>
          <w:rFonts w:cs="Times New Roman"/>
          <w:b/>
          <w:bCs/>
          <w:szCs w:val="24"/>
          <w:u w:val="single"/>
        </w:rPr>
        <w:t xml:space="preserve">What is </w:t>
      </w:r>
      <w:r w:rsidR="00E74B55" w:rsidRPr="00E450E8">
        <w:rPr>
          <w:rFonts w:cs="Times New Roman"/>
          <w:b/>
          <w:bCs/>
          <w:szCs w:val="24"/>
          <w:u w:val="single"/>
        </w:rPr>
        <w:t>B</w:t>
      </w:r>
      <w:r w:rsidRPr="00E450E8">
        <w:rPr>
          <w:rFonts w:cs="Times New Roman"/>
          <w:b/>
          <w:bCs/>
          <w:szCs w:val="24"/>
          <w:u w:val="single"/>
        </w:rPr>
        <w:t>iocompatibility?</w:t>
      </w:r>
    </w:p>
    <w:p w14:paraId="6561BEDA" w14:textId="1E9D1A27" w:rsidR="005E6D70" w:rsidRPr="002A4CF5" w:rsidRDefault="003C323C" w:rsidP="002A4CF5">
      <w:pPr>
        <w:contextualSpacing/>
        <w:rPr>
          <w:rFonts w:cs="Times New Roman"/>
          <w:szCs w:val="24"/>
        </w:rPr>
      </w:pPr>
      <w:r w:rsidRPr="002A4CF5">
        <w:rPr>
          <w:rFonts w:cs="Times New Roman"/>
          <w:szCs w:val="24"/>
        </w:rPr>
        <w:t>Biocompatibility can be defined as the capability of a certain material to work in the human body without causing any harm.</w:t>
      </w:r>
      <w:r w:rsidR="00AF6C7C" w:rsidRPr="002A4CF5">
        <w:rPr>
          <w:rFonts w:cs="Times New Roman"/>
          <w:szCs w:val="24"/>
        </w:rPr>
        <w:t xml:space="preserve"> </w:t>
      </w:r>
      <w:r w:rsidR="005E6D70" w:rsidRPr="002A4CF5">
        <w:rPr>
          <w:rFonts w:cs="Times New Roman"/>
          <w:szCs w:val="24"/>
        </w:rPr>
        <w:t>It is very important in the creation of medical devices, particularly in the interaction between artificial limbs and organs and the human body. The materials employed in the above-stated devices should not be rejected by the immune system, be toxic, and have long-term efficiency (Al-</w:t>
      </w:r>
      <w:proofErr w:type="spellStart"/>
      <w:r w:rsidR="005E6D70" w:rsidRPr="002A4CF5">
        <w:rPr>
          <w:rFonts w:cs="Times New Roman"/>
          <w:szCs w:val="24"/>
        </w:rPr>
        <w:t>Zyoud</w:t>
      </w:r>
      <w:proofErr w:type="spellEnd"/>
      <w:r w:rsidR="005E6D70" w:rsidRPr="002A4CF5">
        <w:rPr>
          <w:rFonts w:cs="Times New Roman"/>
          <w:szCs w:val="24"/>
        </w:rPr>
        <w:t xml:space="preserve"> et al., 2023). The developments in biomaterials have brought about positive results for the patients, while at the same time, some of the issues, like inflammation and degradation of the materials, remain a challenge. It is crucial to overcome these barriers in order to improve the prosthetic and implant solutions safety and effectiveness.</w:t>
      </w:r>
    </w:p>
    <w:p w14:paraId="71E39539" w14:textId="77777777" w:rsidR="005E6D70" w:rsidRPr="00E450E8" w:rsidRDefault="005E6D70" w:rsidP="002A4CF5">
      <w:pPr>
        <w:ind w:firstLine="0"/>
        <w:contextualSpacing/>
        <w:rPr>
          <w:rFonts w:cs="Times New Roman"/>
          <w:b/>
          <w:bCs/>
          <w:szCs w:val="24"/>
          <w:u w:val="single"/>
        </w:rPr>
      </w:pPr>
      <w:r w:rsidRPr="00E450E8">
        <w:rPr>
          <w:rFonts w:cs="Times New Roman"/>
          <w:b/>
          <w:bCs/>
          <w:szCs w:val="24"/>
          <w:u w:val="single"/>
        </w:rPr>
        <w:t>Historical Evolution of Prosthetics and Implants</w:t>
      </w:r>
    </w:p>
    <w:p w14:paraId="42E0985A" w14:textId="66C41030" w:rsidR="005E6D70" w:rsidRPr="002A4CF5" w:rsidRDefault="005E6D70" w:rsidP="002A4CF5">
      <w:pPr>
        <w:contextualSpacing/>
        <w:rPr>
          <w:rFonts w:cs="Times New Roman"/>
          <w:szCs w:val="24"/>
        </w:rPr>
      </w:pPr>
      <w:r w:rsidRPr="002A4CF5">
        <w:rPr>
          <w:rFonts w:cs="Times New Roman"/>
          <w:szCs w:val="24"/>
        </w:rPr>
        <w:t xml:space="preserve">Prosthetics have been in existence for centuries, and the early models were </w:t>
      </w:r>
      <w:proofErr w:type="gramStart"/>
      <w:r w:rsidRPr="002A4CF5">
        <w:rPr>
          <w:rFonts w:cs="Times New Roman"/>
          <w:szCs w:val="24"/>
        </w:rPr>
        <w:t>made out of</w:t>
      </w:r>
      <w:proofErr w:type="gramEnd"/>
      <w:r w:rsidRPr="002A4CF5">
        <w:rPr>
          <w:rFonts w:cs="Times New Roman"/>
          <w:szCs w:val="24"/>
        </w:rPr>
        <w:t xml:space="preserve"> wood, leather, and metal</w:t>
      </w:r>
      <w:r w:rsidR="004D4B30" w:rsidRPr="002A4CF5">
        <w:rPr>
          <w:rFonts w:cs="Times New Roman"/>
          <w:szCs w:val="24"/>
        </w:rPr>
        <w:t>.</w:t>
      </w:r>
      <w:r w:rsidRPr="002A4CF5">
        <w:rPr>
          <w:rFonts w:cs="Times New Roman"/>
          <w:szCs w:val="24"/>
        </w:rPr>
        <w:t xml:space="preserve"> offered protection and some form of support to structures but failed in terms of functionality and comfort. In the Industrial Revolution, people received more mobile prosthetic limbs made of non-biological materials and metal. The advances in the 20th and the 21st centuries include some of the bionic limbs, neural integrated prosthetics, and 3D printing implants for movement and natural movements (Nguyen et al., 2013). These changes paved the way for more biomimicry designs that incorporated better materials to enhance the lives of the patients.</w:t>
      </w:r>
    </w:p>
    <w:p w14:paraId="3D419D39" w14:textId="77777777" w:rsidR="005E6D70" w:rsidRPr="00E450E8" w:rsidRDefault="005E6D70" w:rsidP="002A4CF5">
      <w:pPr>
        <w:ind w:firstLine="0"/>
        <w:contextualSpacing/>
        <w:rPr>
          <w:rFonts w:cs="Times New Roman"/>
          <w:b/>
          <w:bCs/>
          <w:szCs w:val="24"/>
          <w:u w:val="single"/>
        </w:rPr>
      </w:pPr>
      <w:r w:rsidRPr="00E450E8">
        <w:rPr>
          <w:rFonts w:cs="Times New Roman"/>
          <w:b/>
          <w:bCs/>
          <w:szCs w:val="24"/>
          <w:u w:val="single"/>
        </w:rPr>
        <w:t>How Biocompatibility Became a Key Issue</w:t>
      </w:r>
    </w:p>
    <w:p w14:paraId="19395619" w14:textId="4D9E5080" w:rsidR="005E6D70" w:rsidRPr="002A4CF5" w:rsidRDefault="005E6D70" w:rsidP="002A4CF5">
      <w:pPr>
        <w:contextualSpacing/>
        <w:rPr>
          <w:rFonts w:cs="Times New Roman"/>
          <w:szCs w:val="24"/>
        </w:rPr>
      </w:pPr>
      <w:r w:rsidRPr="002A4CF5">
        <w:rPr>
          <w:rFonts w:cs="Times New Roman"/>
          <w:szCs w:val="24"/>
        </w:rPr>
        <w:t xml:space="preserve">It is important to note that unlike the earlier prosthetics, the current medical implants are required to interface with biological tissues and materials. This has raised new issues such as </w:t>
      </w:r>
      <w:r w:rsidRPr="002A4CF5">
        <w:rPr>
          <w:rFonts w:cs="Times New Roman"/>
          <w:szCs w:val="24"/>
        </w:rPr>
        <w:lastRenderedPageBreak/>
        <w:t>immune response, material degradation, and cytotoxicity of metallic, polymeric, and ceramic components (Guillén-Martínez &amp; Alarcón-Sánchez, 2024). Thus, patients who are sensitive to specific metallic or polymer coatings could develop an inflammation that would cause implant failure. With the development of this prosthetics technology, it is important to continue to focus on these issues for a good fit and quality of life for the patient.</w:t>
      </w:r>
    </w:p>
    <w:p w14:paraId="61806C92" w14:textId="77777777" w:rsidR="009425D3" w:rsidRPr="00E450E8" w:rsidRDefault="009425D3" w:rsidP="002A4CF5">
      <w:pPr>
        <w:ind w:firstLine="0"/>
        <w:contextualSpacing/>
        <w:jc w:val="center"/>
        <w:rPr>
          <w:rFonts w:cs="Times New Roman"/>
          <w:b/>
          <w:bCs/>
          <w:szCs w:val="24"/>
          <w:u w:val="single"/>
        </w:rPr>
      </w:pPr>
      <w:r w:rsidRPr="00E450E8">
        <w:rPr>
          <w:rFonts w:cs="Times New Roman"/>
          <w:b/>
          <w:bCs/>
          <w:szCs w:val="24"/>
          <w:u w:val="single"/>
        </w:rPr>
        <w:t>The Biocompatibility Challenge: Core Issues</w:t>
      </w:r>
    </w:p>
    <w:p w14:paraId="16D21048" w14:textId="77777777" w:rsidR="009425D3" w:rsidRPr="00E450E8" w:rsidRDefault="009425D3" w:rsidP="002A4CF5">
      <w:pPr>
        <w:ind w:firstLine="0"/>
        <w:contextualSpacing/>
        <w:rPr>
          <w:rFonts w:cs="Times New Roman"/>
          <w:b/>
          <w:bCs/>
          <w:szCs w:val="24"/>
          <w:u w:val="single"/>
        </w:rPr>
      </w:pPr>
      <w:r w:rsidRPr="00E450E8">
        <w:rPr>
          <w:rFonts w:cs="Times New Roman"/>
          <w:b/>
          <w:bCs/>
          <w:szCs w:val="24"/>
          <w:u w:val="single"/>
        </w:rPr>
        <w:t>Immune Response &amp; Material Rejection</w:t>
      </w:r>
    </w:p>
    <w:p w14:paraId="13C75B92" w14:textId="1E2A283B" w:rsidR="009425D3" w:rsidRPr="002A4CF5" w:rsidRDefault="009425D3" w:rsidP="002A4CF5">
      <w:pPr>
        <w:contextualSpacing/>
        <w:rPr>
          <w:rFonts w:cs="Times New Roman"/>
          <w:szCs w:val="24"/>
        </w:rPr>
      </w:pPr>
      <w:r w:rsidRPr="002A4CF5">
        <w:rPr>
          <w:rFonts w:cs="Times New Roman"/>
          <w:szCs w:val="24"/>
        </w:rPr>
        <w:t xml:space="preserve">One of the major challenges that have faced </w:t>
      </w:r>
      <w:proofErr w:type="gramStart"/>
      <w:r w:rsidRPr="002A4CF5">
        <w:rPr>
          <w:rFonts w:cs="Times New Roman"/>
          <w:szCs w:val="24"/>
        </w:rPr>
        <w:t>the prosthetic</w:t>
      </w:r>
      <w:proofErr w:type="gramEnd"/>
      <w:r w:rsidRPr="002A4CF5">
        <w:rPr>
          <w:rFonts w:cs="Times New Roman"/>
          <w:szCs w:val="24"/>
        </w:rPr>
        <w:t xml:space="preserve"> design is the body’s immune response and rejection of the implants. In cases where foreign materials are inserted, there is an inflammation response by the immune system, and the implant is surrounded by fibrous tissue, thus reducing its stability. This is especially so in metals such as titanium and cobalt-chromium alloys since corrosion and ion liberation may cause localized immune reactions. According to Hanawa (2022), any implant material may cause chronic inflammation due to the oxidation that occurs on the surface of the material, and this will lead to shortening of the lifespan of the implant.</w:t>
      </w:r>
    </w:p>
    <w:p w14:paraId="6210B978" w14:textId="77777777" w:rsidR="009425D3" w:rsidRPr="002A4CF5" w:rsidRDefault="009425D3" w:rsidP="002A4CF5">
      <w:pPr>
        <w:contextualSpacing/>
        <w:rPr>
          <w:rFonts w:cs="Times New Roman"/>
          <w:szCs w:val="24"/>
        </w:rPr>
      </w:pPr>
      <w:r w:rsidRPr="002A4CF5">
        <w:rPr>
          <w:rFonts w:cs="Times New Roman"/>
          <w:szCs w:val="24"/>
        </w:rPr>
        <w:t>Real-life examples prove that immune reactions are among the most critical factors that cause implant failure in orthopedics and dentistry. For instance, hip replacement patients have experienced some immunological responses to metal-on-metal implants, leading to pain, inflammation, and requiring further surgeries (Jain &amp; Parashar, 2022). Likewise, dental implants may also fail because of peri-implantitis that results from bacterium invasion and the subsequent inflammation that results in bone resorption. Such complications call for the development of better biomaterial coatings and surface alteration to avoid immune rejection while improving the structural integration endurance (Jain &amp; Parashar, 2022).</w:t>
      </w:r>
    </w:p>
    <w:p w14:paraId="36A80ABC" w14:textId="77777777" w:rsidR="009425D3" w:rsidRPr="002A4CF5" w:rsidRDefault="009425D3" w:rsidP="002A4CF5">
      <w:pPr>
        <w:ind w:firstLine="0"/>
        <w:contextualSpacing/>
        <w:rPr>
          <w:rFonts w:cs="Times New Roman"/>
          <w:b/>
          <w:bCs/>
          <w:szCs w:val="24"/>
        </w:rPr>
      </w:pPr>
      <w:r w:rsidRPr="002A4CF5">
        <w:rPr>
          <w:rFonts w:cs="Times New Roman"/>
          <w:b/>
          <w:bCs/>
          <w:szCs w:val="24"/>
        </w:rPr>
        <w:lastRenderedPageBreak/>
        <w:t>Cytotoxicity &amp; Long-Term Safety</w:t>
      </w:r>
    </w:p>
    <w:p w14:paraId="67B0957A" w14:textId="46C7A27E" w:rsidR="009425D3" w:rsidRPr="002A4CF5" w:rsidRDefault="009425D3" w:rsidP="002A4CF5">
      <w:pPr>
        <w:contextualSpacing/>
        <w:rPr>
          <w:rFonts w:cs="Times New Roman"/>
          <w:szCs w:val="24"/>
        </w:rPr>
      </w:pPr>
      <w:r w:rsidRPr="002A4CF5">
        <w:rPr>
          <w:rFonts w:cs="Times New Roman"/>
          <w:szCs w:val="24"/>
        </w:rPr>
        <w:t>Some biomaterials produce toxic leachates that have a negative effect on the cells and tissues of the body. The metals, polymers, and ceramics used in implants can cause degradation over time and generate oxidative stress and DNA damage to the neighboring tissues. For example, the anti-corrosion nanoparticles useful for increasing the lifetime of implant materials have been found to have cytotoxic properties. Also, there is a possibility of a polymer-based implant to release monomers into the body, causing inflammation and fibrosis, which makes their clinical application challenging (Sanità et al., 2020).</w:t>
      </w:r>
    </w:p>
    <w:p w14:paraId="7C635896" w14:textId="77777777" w:rsidR="009425D3" w:rsidRPr="002A4CF5" w:rsidRDefault="009425D3" w:rsidP="002A4CF5">
      <w:pPr>
        <w:contextualSpacing/>
        <w:rPr>
          <w:rFonts w:cs="Times New Roman"/>
          <w:szCs w:val="24"/>
        </w:rPr>
      </w:pPr>
      <w:r w:rsidRPr="002A4CF5">
        <w:rPr>
          <w:rFonts w:cs="Times New Roman"/>
          <w:szCs w:val="24"/>
        </w:rPr>
        <w:t>Some of the implant failures have been attributed to cytotoxicity in orthopedic and dental implant applications. Bone cements, which were used formerly in joint replacement surgery, are associated with localized tissue death and systemic complications. Likewise, some of the polymeric dental materials have caused hypersensitivity reactions that produce discomfort and implant rejection. These examples are a good recall of the need to undertake extensive preclinical studies and further research on the synthesis of more biocompatible and non-cytotoxic biomaterials for long-term medical uses (Shahi et al., 2019).</w:t>
      </w:r>
    </w:p>
    <w:p w14:paraId="0A4A6895" w14:textId="77777777" w:rsidR="009425D3" w:rsidRPr="002A4CF5" w:rsidRDefault="009425D3" w:rsidP="002A4CF5">
      <w:pPr>
        <w:ind w:firstLine="0"/>
        <w:contextualSpacing/>
        <w:rPr>
          <w:rFonts w:cs="Times New Roman"/>
          <w:b/>
          <w:bCs/>
          <w:szCs w:val="24"/>
        </w:rPr>
      </w:pPr>
      <w:r w:rsidRPr="002A4CF5">
        <w:rPr>
          <w:rFonts w:cs="Times New Roman"/>
          <w:b/>
          <w:bCs/>
          <w:szCs w:val="24"/>
        </w:rPr>
        <w:t>Personalization &amp; Customization Challenges</w:t>
      </w:r>
    </w:p>
    <w:p w14:paraId="639AD9CB" w14:textId="7E545F0F" w:rsidR="009425D3" w:rsidRPr="002A4CF5" w:rsidRDefault="009425D3" w:rsidP="002A4CF5">
      <w:pPr>
        <w:contextualSpacing/>
        <w:rPr>
          <w:rFonts w:cs="Times New Roman"/>
          <w:szCs w:val="24"/>
        </w:rPr>
      </w:pPr>
      <w:r w:rsidRPr="002A4CF5">
        <w:rPr>
          <w:rFonts w:cs="Times New Roman"/>
          <w:szCs w:val="24"/>
        </w:rPr>
        <w:t>Personalized implants are still a problem since the anatomy of the patient and the immune system can differ significantly. Although 3D printing has been used to produce personalized prosthetic limbs, making the product biocompatible and biodegradable is challenging. Some of them include bone density, vascularization, and immune tolerance; a mismatch will lead to rejection or poor integration of the implant. The customization of biomaterials to satisfy the patient’s needs escalates the price and time taken in production, thus making it hard for many patients to access them (Guillén-Martínez &amp; Alarcón-Sánchez, 2024).</w:t>
      </w:r>
    </w:p>
    <w:p w14:paraId="46A22D64" w14:textId="2597A1C2" w:rsidR="009425D3" w:rsidRPr="002A4CF5" w:rsidRDefault="009425D3" w:rsidP="002A4CF5">
      <w:pPr>
        <w:contextualSpacing/>
        <w:rPr>
          <w:rFonts w:cs="Times New Roman"/>
          <w:szCs w:val="24"/>
        </w:rPr>
      </w:pPr>
      <w:r w:rsidRPr="002A4CF5">
        <w:rPr>
          <w:rFonts w:cs="Times New Roman"/>
          <w:szCs w:val="24"/>
        </w:rPr>
        <w:lastRenderedPageBreak/>
        <w:t xml:space="preserve">Furthermore, the allergies to the implant materials remain a major challenge in the process of personalization. Certain patients are sensitive to such metals as nickel and chromium and some polymers that cause chronic inflammation of the tissues surrounding the implant and failure of the implant. However, even coatings that are intended to enhance biocompatibility can sometimes be a cause of immune reactions. This is due to the fact that the cost of developing implants that are personalized tends to be high since intricate procedures are used to design them </w:t>
      </w:r>
      <w:r w:rsidR="00057506" w:rsidRPr="002A4CF5">
        <w:rPr>
          <w:rFonts w:cs="Times New Roman"/>
          <w:szCs w:val="24"/>
        </w:rPr>
        <w:t xml:space="preserve">as discussed by </w:t>
      </w:r>
      <w:r w:rsidRPr="002A4CF5">
        <w:rPr>
          <w:rFonts w:cs="Times New Roman"/>
          <w:szCs w:val="24"/>
        </w:rPr>
        <w:t xml:space="preserve">Haubold et al. </w:t>
      </w:r>
      <w:r w:rsidR="00057506" w:rsidRPr="002A4CF5">
        <w:rPr>
          <w:rFonts w:cs="Times New Roman"/>
          <w:szCs w:val="24"/>
        </w:rPr>
        <w:t>(</w:t>
      </w:r>
      <w:r w:rsidRPr="002A4CF5">
        <w:rPr>
          <w:rFonts w:cs="Times New Roman"/>
          <w:szCs w:val="24"/>
        </w:rPr>
        <w:t>1979). To address these issues, the science of biomaterials and efficient methods of production should be further developed.</w:t>
      </w:r>
    </w:p>
    <w:p w14:paraId="56B43DB4" w14:textId="77777777" w:rsidR="009425D3" w:rsidRPr="00E450E8" w:rsidRDefault="009425D3" w:rsidP="002A4CF5">
      <w:pPr>
        <w:ind w:firstLine="0"/>
        <w:contextualSpacing/>
        <w:jc w:val="center"/>
        <w:rPr>
          <w:rFonts w:cs="Times New Roman"/>
          <w:b/>
          <w:bCs/>
          <w:szCs w:val="24"/>
          <w:u w:val="single"/>
        </w:rPr>
      </w:pPr>
      <w:r w:rsidRPr="00E450E8">
        <w:rPr>
          <w:rFonts w:cs="Times New Roman"/>
          <w:b/>
          <w:bCs/>
          <w:szCs w:val="24"/>
          <w:u w:val="single"/>
        </w:rPr>
        <w:t>Linking Technology &amp; Biocompatibility</w:t>
      </w:r>
    </w:p>
    <w:p w14:paraId="5BAFFD34" w14:textId="77777777" w:rsidR="009425D3" w:rsidRPr="00E450E8" w:rsidRDefault="009425D3" w:rsidP="002A4CF5">
      <w:pPr>
        <w:ind w:firstLine="0"/>
        <w:contextualSpacing/>
        <w:rPr>
          <w:rFonts w:cs="Times New Roman"/>
          <w:b/>
          <w:bCs/>
          <w:szCs w:val="24"/>
          <w:u w:val="single"/>
        </w:rPr>
      </w:pPr>
      <w:r w:rsidRPr="00E450E8">
        <w:rPr>
          <w:rFonts w:cs="Times New Roman"/>
          <w:b/>
          <w:bCs/>
          <w:szCs w:val="24"/>
          <w:u w:val="single"/>
        </w:rPr>
        <w:t>Material Science Innovations</w:t>
      </w:r>
    </w:p>
    <w:p w14:paraId="0991936E" w14:textId="46DC4A02" w:rsidR="009425D3" w:rsidRPr="002A4CF5" w:rsidRDefault="009425D3" w:rsidP="002A4CF5">
      <w:pPr>
        <w:contextualSpacing/>
        <w:rPr>
          <w:rFonts w:cs="Times New Roman"/>
          <w:szCs w:val="24"/>
        </w:rPr>
      </w:pPr>
      <w:r w:rsidRPr="002A4CF5">
        <w:rPr>
          <w:rFonts w:cs="Times New Roman"/>
          <w:szCs w:val="24"/>
        </w:rPr>
        <w:t>The use of smart biomaterials has enhanced the integration process since it has led to enhanced biocompatibility of the implants. For example, PLA and PCL polymers are currently used in temporary implants and are gradually absorbed in the body without causing toxicity. The bioactive ceramics, such as hydroxyapatite coatings, enhance the bone apposition and minimize the chance of implant rejection in orthopedic uses. In the same way, new titanium alloys with the surface modification have better corrosion resistance and immune response than those of the traditional ones, and they are widely used in long-term prosthetics and dental implantation (Hanawa, 2022). These examples show how material engineering can enhance the strength of the material as well as its ability to be compatible for use in the human body.</w:t>
      </w:r>
    </w:p>
    <w:p w14:paraId="515FF14A" w14:textId="77777777" w:rsidR="000E5058" w:rsidRPr="00E450E8" w:rsidRDefault="000E5058" w:rsidP="002A4CF5">
      <w:pPr>
        <w:ind w:firstLine="0"/>
        <w:contextualSpacing/>
        <w:rPr>
          <w:rFonts w:cs="Times New Roman"/>
          <w:b/>
          <w:bCs/>
          <w:szCs w:val="24"/>
          <w:u w:val="single"/>
        </w:rPr>
      </w:pPr>
      <w:r w:rsidRPr="00E450E8">
        <w:rPr>
          <w:rFonts w:cs="Times New Roman"/>
          <w:b/>
          <w:bCs/>
          <w:szCs w:val="24"/>
          <w:u w:val="single"/>
        </w:rPr>
        <w:t>Engineering Solutions for Personalization</w:t>
      </w:r>
    </w:p>
    <w:p w14:paraId="68B887E9" w14:textId="77777777" w:rsidR="000E5058" w:rsidRPr="000E5058" w:rsidRDefault="000E5058" w:rsidP="002A4CF5">
      <w:pPr>
        <w:contextualSpacing/>
        <w:rPr>
          <w:rFonts w:cs="Times New Roman"/>
          <w:szCs w:val="24"/>
        </w:rPr>
      </w:pPr>
      <w:r w:rsidRPr="000E5058">
        <w:rPr>
          <w:rFonts w:cs="Times New Roman"/>
          <w:szCs w:val="24"/>
        </w:rPr>
        <w:t xml:space="preserve">Implant technologies have advanced </w:t>
      </w:r>
      <w:proofErr w:type="gramStart"/>
      <w:r w:rsidRPr="000E5058">
        <w:rPr>
          <w:rFonts w:cs="Times New Roman"/>
          <w:szCs w:val="24"/>
        </w:rPr>
        <w:t>in order to</w:t>
      </w:r>
      <w:proofErr w:type="gramEnd"/>
      <w:r w:rsidRPr="000E5058">
        <w:rPr>
          <w:rFonts w:cs="Times New Roman"/>
          <w:szCs w:val="24"/>
        </w:rPr>
        <w:t xml:space="preserve"> provide patients with improved comfort and functionality of the implants, such as 3D printing that has helped in the production of implants that directly fit the patient’s anatomy to reduce the rejection instances (Nguyen et al., </w:t>
      </w:r>
      <w:r w:rsidRPr="000E5058">
        <w:rPr>
          <w:rFonts w:cs="Times New Roman"/>
          <w:szCs w:val="24"/>
        </w:rPr>
        <w:lastRenderedPageBreak/>
        <w:t>2013). Also, new surfaces or smart coatings like antibacterial and anti-inflammatory nanoparticles have been developed to prevent immune reactions such as bacterial adhesion and inflammation (Sanità et al., 2020). These developments in engineering offer an opportunity to tailor the medical devices more to the patients and improve the compatibility of implants to enhance the overall patient care and service life of the implants.</w:t>
      </w:r>
    </w:p>
    <w:p w14:paraId="0A42E24B" w14:textId="77777777" w:rsidR="000E5058" w:rsidRPr="00E450E8" w:rsidRDefault="000E5058" w:rsidP="002A4CF5">
      <w:pPr>
        <w:ind w:firstLine="0"/>
        <w:contextualSpacing/>
        <w:rPr>
          <w:rFonts w:cs="Times New Roman"/>
          <w:b/>
          <w:bCs/>
          <w:szCs w:val="24"/>
          <w:u w:val="single"/>
        </w:rPr>
      </w:pPr>
      <w:r w:rsidRPr="00E450E8">
        <w:rPr>
          <w:rFonts w:cs="Times New Roman"/>
          <w:b/>
          <w:bCs/>
          <w:szCs w:val="24"/>
          <w:u w:val="single"/>
        </w:rPr>
        <w:t>Testing &amp; Validation Strategies</w:t>
      </w:r>
    </w:p>
    <w:p w14:paraId="42F01942" w14:textId="3AB7FFEF" w:rsidR="000E5058" w:rsidRPr="000E5058" w:rsidRDefault="000E5058" w:rsidP="002A4CF5">
      <w:pPr>
        <w:contextualSpacing/>
        <w:rPr>
          <w:rFonts w:cs="Times New Roman"/>
          <w:szCs w:val="24"/>
        </w:rPr>
      </w:pPr>
      <w:r w:rsidRPr="000E5058">
        <w:rPr>
          <w:rFonts w:cs="Times New Roman"/>
          <w:szCs w:val="24"/>
        </w:rPr>
        <w:t>The examination and verification procedures should be methodical before implantable biocompatible products are released for use. Some of the preclinical studies include a liver toxicity assay, an immunogenicity test, mechanical analysis, and biocompatibility before the actual test on humans. Also, common biocompatibility tests, like ISO 10993, enable coordinating the conformity with required standards and prevent possible issues related to new materials. The uses of the models of human organs on microchips and computational models are also increasing the predictability of biocompatibility studies (Al-</w:t>
      </w:r>
      <w:proofErr w:type="spellStart"/>
      <w:r w:rsidRPr="000E5058">
        <w:rPr>
          <w:rFonts w:cs="Times New Roman"/>
          <w:szCs w:val="24"/>
        </w:rPr>
        <w:t>Zyoud</w:t>
      </w:r>
      <w:proofErr w:type="spellEnd"/>
      <w:r w:rsidRPr="000E5058">
        <w:rPr>
          <w:rFonts w:cs="Times New Roman"/>
          <w:szCs w:val="24"/>
        </w:rPr>
        <w:t xml:space="preserve"> et al., 2023). These experimental methodologies are critical in pushing forward the safer methods of implant technology in the relative field.</w:t>
      </w:r>
    </w:p>
    <w:p w14:paraId="6BDB3B22" w14:textId="77777777" w:rsidR="00EA5B94" w:rsidRPr="00E450E8" w:rsidRDefault="00EA5B94" w:rsidP="002A4CF5">
      <w:pPr>
        <w:ind w:firstLine="0"/>
        <w:contextualSpacing/>
        <w:jc w:val="center"/>
        <w:rPr>
          <w:rFonts w:cs="Times New Roman"/>
          <w:b/>
          <w:bCs/>
          <w:szCs w:val="24"/>
          <w:u w:val="single"/>
        </w:rPr>
      </w:pPr>
      <w:r w:rsidRPr="00E450E8">
        <w:rPr>
          <w:rFonts w:cs="Times New Roman"/>
          <w:b/>
          <w:bCs/>
          <w:szCs w:val="24"/>
          <w:u w:val="single"/>
        </w:rPr>
        <w:t>Case Studies &amp; Supporting Evidence</w:t>
      </w:r>
    </w:p>
    <w:p w14:paraId="1AB176F4" w14:textId="77777777" w:rsidR="006E083E" w:rsidRPr="00E450E8" w:rsidRDefault="006E083E" w:rsidP="002A4CF5">
      <w:pPr>
        <w:ind w:firstLine="0"/>
        <w:contextualSpacing/>
        <w:rPr>
          <w:rFonts w:cs="Times New Roman"/>
          <w:b/>
          <w:bCs/>
          <w:szCs w:val="24"/>
          <w:u w:val="single"/>
        </w:rPr>
      </w:pPr>
      <w:r w:rsidRPr="00E450E8">
        <w:rPr>
          <w:rFonts w:cs="Times New Roman"/>
          <w:b/>
          <w:bCs/>
          <w:szCs w:val="24"/>
          <w:u w:val="single"/>
        </w:rPr>
        <w:t>Successful Biocompatible Prosthetics &amp; Implants</w:t>
      </w:r>
    </w:p>
    <w:p w14:paraId="252D4110" w14:textId="11AC95B7" w:rsidR="006E083E" w:rsidRPr="006E083E" w:rsidRDefault="00063B6B" w:rsidP="002A4CF5">
      <w:pPr>
        <w:contextualSpacing/>
        <w:rPr>
          <w:rFonts w:cs="Times New Roman"/>
          <w:szCs w:val="24"/>
        </w:rPr>
      </w:pPr>
      <w:r w:rsidRPr="00063B6B">
        <w:rPr>
          <w:rFonts w:cs="Times New Roman"/>
          <w:szCs w:val="24"/>
        </w:rPr>
        <w:t xml:space="preserve">In the recent past, there has been significant progress in the field of material science, and thus biocompatible prosthetics and implants have been widely used and accepted clinically. The most effective of all is titanium, which is already widely applied in orthopedic and dental implants because of its high corrosion protection and the strong bond with the bone </w:t>
      </w:r>
      <w:r w:rsidR="00215BEA" w:rsidRPr="002A4CF5">
        <w:rPr>
          <w:rFonts w:cs="Times New Roman"/>
          <w:szCs w:val="24"/>
        </w:rPr>
        <w:t>tissue (</w:t>
      </w:r>
      <w:r w:rsidR="006E083E" w:rsidRPr="006E083E">
        <w:rPr>
          <w:rFonts w:cs="Times New Roman"/>
          <w:szCs w:val="24"/>
        </w:rPr>
        <w:t>Guillén-Martínez &amp; Alarcón-Sánchez, 2024).</w:t>
      </w:r>
      <w:r w:rsidR="00215BEA" w:rsidRPr="002A4CF5">
        <w:rPr>
          <w:rFonts w:cs="Times New Roman"/>
          <w:szCs w:val="24"/>
        </w:rPr>
        <w:t xml:space="preserve"> Additionally</w:t>
      </w:r>
      <w:r w:rsidR="006E083E" w:rsidRPr="006E083E">
        <w:rPr>
          <w:rFonts w:cs="Times New Roman"/>
          <w:szCs w:val="24"/>
        </w:rPr>
        <w:t xml:space="preserve">, polyethylene, a strong, wear-resistant, smooth plastic material, has also been widely used in joint implant parts for the knee </w:t>
      </w:r>
      <w:r w:rsidR="006E083E" w:rsidRPr="006E083E">
        <w:rPr>
          <w:rFonts w:cs="Times New Roman"/>
          <w:szCs w:val="24"/>
        </w:rPr>
        <w:lastRenderedPageBreak/>
        <w:t xml:space="preserve">and hip joint replacements. </w:t>
      </w:r>
      <w:r w:rsidR="001A3321" w:rsidRPr="002A4CF5">
        <w:rPr>
          <w:rFonts w:cs="Times New Roman"/>
          <w:szCs w:val="24"/>
        </w:rPr>
        <w:t>T</w:t>
      </w:r>
      <w:r w:rsidR="006E083E" w:rsidRPr="006E083E">
        <w:rPr>
          <w:rFonts w:cs="Times New Roman"/>
          <w:szCs w:val="24"/>
        </w:rPr>
        <w:t xml:space="preserve">hese materials are biocompatible, very durable, and do not provoke any kind of immune response. Also, bioactive ceramics, </w:t>
      </w:r>
      <w:r w:rsidR="001477FB" w:rsidRPr="002A4CF5">
        <w:rPr>
          <w:rFonts w:cs="Times New Roman"/>
          <w:szCs w:val="24"/>
        </w:rPr>
        <w:t>including</w:t>
      </w:r>
      <w:r w:rsidR="006E083E" w:rsidRPr="006E083E">
        <w:rPr>
          <w:rFonts w:cs="Times New Roman"/>
          <w:szCs w:val="24"/>
        </w:rPr>
        <w:t xml:space="preserve"> hydroxyapatite-coated implants, are preferred for use as they enhance bone healing and growth as well as integration into tissues. These materials have become a benchmark for modern prosthetics and show that proper research and development of biocompatible materials enhance patients’ quality of life and decrease the rate of implant failures.</w:t>
      </w:r>
    </w:p>
    <w:p w14:paraId="5425D528" w14:textId="77777777" w:rsidR="006E083E" w:rsidRPr="00E450E8" w:rsidRDefault="006E083E" w:rsidP="002A4CF5">
      <w:pPr>
        <w:ind w:firstLine="0"/>
        <w:contextualSpacing/>
        <w:rPr>
          <w:rFonts w:cs="Times New Roman"/>
          <w:b/>
          <w:bCs/>
          <w:szCs w:val="24"/>
          <w:u w:val="single"/>
        </w:rPr>
      </w:pPr>
      <w:r w:rsidRPr="00E450E8">
        <w:rPr>
          <w:rFonts w:cs="Times New Roman"/>
          <w:b/>
          <w:bCs/>
          <w:szCs w:val="24"/>
          <w:u w:val="single"/>
        </w:rPr>
        <w:t>Scientific Research on Material Safety &amp; Testing</w:t>
      </w:r>
    </w:p>
    <w:p w14:paraId="4A6F5146" w14:textId="046667F9" w:rsidR="006E083E" w:rsidRPr="006E083E" w:rsidRDefault="00C30088" w:rsidP="002A4CF5">
      <w:pPr>
        <w:contextualSpacing/>
        <w:rPr>
          <w:rFonts w:cs="Times New Roman"/>
          <w:szCs w:val="24"/>
        </w:rPr>
      </w:pPr>
      <w:r w:rsidRPr="00C30088">
        <w:rPr>
          <w:rFonts w:cs="Times New Roman"/>
          <w:szCs w:val="24"/>
        </w:rPr>
        <w:t>Scientific research has been widely used in the process of proving the biocompatibility of the materials</w:t>
      </w:r>
      <w:r w:rsidRPr="002A4CF5">
        <w:rPr>
          <w:rFonts w:cs="Times New Roman"/>
          <w:szCs w:val="24"/>
        </w:rPr>
        <w:t>.</w:t>
      </w:r>
      <w:r w:rsidR="006E083E" w:rsidRPr="006E083E">
        <w:rPr>
          <w:rFonts w:cs="Times New Roman"/>
          <w:szCs w:val="24"/>
        </w:rPr>
        <w:t xml:space="preserve"> </w:t>
      </w:r>
      <w:r w:rsidR="008F644F" w:rsidRPr="002A4CF5">
        <w:rPr>
          <w:rFonts w:cs="Times New Roman"/>
          <w:szCs w:val="24"/>
        </w:rPr>
        <w:t xml:space="preserve">Studies </w:t>
      </w:r>
      <w:r w:rsidR="006E083E" w:rsidRPr="006E083E">
        <w:rPr>
          <w:rFonts w:cs="Times New Roman"/>
          <w:szCs w:val="24"/>
        </w:rPr>
        <w:t>have shown that untreated metallic implants cause inflammation in the human body</w:t>
      </w:r>
      <w:r w:rsidR="008F644F" w:rsidRPr="002A4CF5">
        <w:rPr>
          <w:rFonts w:cs="Times New Roman"/>
          <w:szCs w:val="24"/>
        </w:rPr>
        <w:t xml:space="preserve">. necessitating </w:t>
      </w:r>
      <w:r w:rsidR="006E083E" w:rsidRPr="006E083E">
        <w:rPr>
          <w:rFonts w:cs="Times New Roman"/>
          <w:szCs w:val="24"/>
        </w:rPr>
        <w:t xml:space="preserve">changes in the surface of the implants to enhance interaction with the cells (Zor et al., 2019). Scientists have </w:t>
      </w:r>
      <w:r w:rsidR="00A12DC4" w:rsidRPr="002A4CF5">
        <w:rPr>
          <w:rFonts w:cs="Times New Roman"/>
          <w:szCs w:val="24"/>
        </w:rPr>
        <w:t>explored nanostructured coatings that</w:t>
      </w:r>
      <w:r w:rsidR="006E083E" w:rsidRPr="006E083E">
        <w:rPr>
          <w:rFonts w:cs="Times New Roman"/>
          <w:szCs w:val="24"/>
        </w:rPr>
        <w:t xml:space="preserve"> improve implant rejection and facilitate the bonding of the implant to bone tissue. Moreover, increased knowledge in polymer research has also </w:t>
      </w:r>
      <w:r w:rsidR="0069597E" w:rsidRPr="002A4CF5">
        <w:rPr>
          <w:rFonts w:cs="Times New Roman"/>
          <w:szCs w:val="24"/>
        </w:rPr>
        <w:t>led to</w:t>
      </w:r>
      <w:r w:rsidR="006E083E" w:rsidRPr="006E083E">
        <w:rPr>
          <w:rFonts w:cs="Times New Roman"/>
          <w:szCs w:val="24"/>
        </w:rPr>
        <w:t xml:space="preserve"> the synthesis of biodegradable structures, which is useful for tissue engineering in regenerative medicine. According to </w:t>
      </w:r>
      <w:r w:rsidR="0069597E" w:rsidRPr="006E083E">
        <w:rPr>
          <w:rFonts w:cs="Times New Roman"/>
          <w:szCs w:val="24"/>
        </w:rPr>
        <w:t>Zor et al.</w:t>
      </w:r>
      <w:r w:rsidR="000F2CD1" w:rsidRPr="002A4CF5">
        <w:rPr>
          <w:rFonts w:cs="Times New Roman"/>
          <w:szCs w:val="24"/>
        </w:rPr>
        <w:t xml:space="preserve"> (</w:t>
      </w:r>
      <w:r w:rsidR="0069597E" w:rsidRPr="006E083E">
        <w:rPr>
          <w:rFonts w:cs="Times New Roman"/>
          <w:szCs w:val="24"/>
        </w:rPr>
        <w:t>2019</w:t>
      </w:r>
      <w:r w:rsidR="0069597E" w:rsidRPr="002A4CF5">
        <w:rPr>
          <w:rFonts w:cs="Times New Roman"/>
          <w:szCs w:val="24"/>
        </w:rPr>
        <w:t>)</w:t>
      </w:r>
      <w:r w:rsidR="006E083E" w:rsidRPr="006E083E">
        <w:rPr>
          <w:rFonts w:cs="Times New Roman"/>
          <w:szCs w:val="24"/>
        </w:rPr>
        <w:t xml:space="preserve">, the use of titanium alloys with bioactive coatings is more favorable than using stainless-steel implants since it has fewer rejection rates. These </w:t>
      </w:r>
      <w:r w:rsidR="0069597E" w:rsidRPr="002A4CF5">
        <w:rPr>
          <w:rFonts w:cs="Times New Roman"/>
          <w:szCs w:val="24"/>
        </w:rPr>
        <w:t xml:space="preserve">findings </w:t>
      </w:r>
      <w:r w:rsidR="006E083E" w:rsidRPr="006E083E">
        <w:rPr>
          <w:rFonts w:cs="Times New Roman"/>
          <w:szCs w:val="24"/>
        </w:rPr>
        <w:t>have significant implications for the approaches to selection of materials and surface treatment for the enhanced lifetime of implants used in operations.</w:t>
      </w:r>
    </w:p>
    <w:p w14:paraId="2B8DB9EE" w14:textId="77777777" w:rsidR="006E083E" w:rsidRPr="00E450E8" w:rsidRDefault="006E083E" w:rsidP="002A4CF5">
      <w:pPr>
        <w:ind w:firstLine="0"/>
        <w:contextualSpacing/>
        <w:rPr>
          <w:rFonts w:cs="Times New Roman"/>
          <w:b/>
          <w:bCs/>
          <w:szCs w:val="24"/>
          <w:u w:val="single"/>
        </w:rPr>
      </w:pPr>
      <w:r w:rsidRPr="00E450E8">
        <w:rPr>
          <w:rFonts w:cs="Times New Roman"/>
          <w:b/>
          <w:bCs/>
          <w:szCs w:val="24"/>
          <w:u w:val="single"/>
        </w:rPr>
        <w:t>Cost vs. Performance Analysis</w:t>
      </w:r>
    </w:p>
    <w:p w14:paraId="7722AE95" w14:textId="5FDBBFA9" w:rsidR="006E083E" w:rsidRPr="006E083E" w:rsidRDefault="000F2CD1" w:rsidP="002A4CF5">
      <w:pPr>
        <w:contextualSpacing/>
        <w:rPr>
          <w:rFonts w:cs="Times New Roman"/>
          <w:szCs w:val="24"/>
        </w:rPr>
      </w:pPr>
      <w:r w:rsidRPr="000F2CD1">
        <w:rPr>
          <w:rFonts w:cs="Times New Roman"/>
          <w:szCs w:val="24"/>
        </w:rPr>
        <w:t>Even with the advancement of biocompatible materials, the issue of the cost of customization is still a big challenge.</w:t>
      </w:r>
      <w:r w:rsidRPr="002A4CF5">
        <w:rPr>
          <w:rFonts w:cs="Times New Roman"/>
          <w:szCs w:val="24"/>
        </w:rPr>
        <w:t xml:space="preserve"> </w:t>
      </w:r>
      <w:r w:rsidR="00D13EA9" w:rsidRPr="002A4CF5">
        <w:rPr>
          <w:rFonts w:cs="Times New Roman"/>
          <w:szCs w:val="24"/>
        </w:rPr>
        <w:t>C</w:t>
      </w:r>
      <w:r w:rsidR="006E083E" w:rsidRPr="006E083E">
        <w:rPr>
          <w:rFonts w:cs="Times New Roman"/>
          <w:szCs w:val="24"/>
        </w:rPr>
        <w:t xml:space="preserve">ustom-designed implants that are unique to an individual’s anatomy usually need additional technology like 3D printing or computer-aided designs, hence making the cost of manufacturing expensive. Also, biocompatibility tests, as well as individual and group trials of these medical devices, add to the high cost of these medical </w:t>
      </w:r>
      <w:r w:rsidR="006E083E" w:rsidRPr="006E083E">
        <w:rPr>
          <w:rFonts w:cs="Times New Roman"/>
          <w:szCs w:val="24"/>
        </w:rPr>
        <w:lastRenderedPageBreak/>
        <w:t xml:space="preserve">devices. </w:t>
      </w:r>
      <w:r w:rsidR="00D13EA9" w:rsidRPr="002A4CF5">
        <w:rPr>
          <w:rFonts w:cs="Times New Roman"/>
          <w:szCs w:val="24"/>
        </w:rPr>
        <w:t>However, despite the expenses</w:t>
      </w:r>
      <w:r w:rsidR="00D56226" w:rsidRPr="002A4CF5">
        <w:rPr>
          <w:rFonts w:cs="Times New Roman"/>
          <w:szCs w:val="24"/>
        </w:rPr>
        <w:t>,</w:t>
      </w:r>
      <w:r w:rsidR="00D13EA9" w:rsidRPr="002A4CF5">
        <w:rPr>
          <w:rFonts w:cs="Times New Roman"/>
          <w:szCs w:val="24"/>
        </w:rPr>
        <w:t xml:space="preserve"> </w:t>
      </w:r>
      <w:r w:rsidR="006E083E" w:rsidRPr="006E083E">
        <w:rPr>
          <w:rFonts w:cs="Times New Roman"/>
          <w:szCs w:val="24"/>
        </w:rPr>
        <w:t xml:space="preserve">customized implants offer advantages in terms of </w:t>
      </w:r>
      <w:r w:rsidR="00D56226" w:rsidRPr="002A4CF5">
        <w:rPr>
          <w:rFonts w:cs="Times New Roman"/>
          <w:szCs w:val="24"/>
        </w:rPr>
        <w:t>comfort, functionality, and longevity</w:t>
      </w:r>
      <w:r w:rsidR="006E083E" w:rsidRPr="006E083E">
        <w:rPr>
          <w:rFonts w:cs="Times New Roman"/>
          <w:szCs w:val="24"/>
        </w:rPr>
        <w:t xml:space="preserve">. </w:t>
      </w:r>
      <w:r w:rsidR="009A0D31" w:rsidRPr="002A4CF5">
        <w:rPr>
          <w:rFonts w:cs="Times New Roman"/>
          <w:szCs w:val="24"/>
        </w:rPr>
        <w:t xml:space="preserve">Studies </w:t>
      </w:r>
      <w:r w:rsidR="00E73565">
        <w:rPr>
          <w:rFonts w:cs="Times New Roman"/>
          <w:szCs w:val="24"/>
        </w:rPr>
        <w:t>have</w:t>
      </w:r>
      <w:r w:rsidR="006E083E" w:rsidRPr="006E083E">
        <w:rPr>
          <w:rFonts w:cs="Times New Roman"/>
          <w:szCs w:val="24"/>
        </w:rPr>
        <w:t xml:space="preserve"> shown that patients using the custom-made prosthetics endure fewer complications, fewer rejections, and enhanced mobility than those who use the standard prosthetics</w:t>
      </w:r>
      <w:r w:rsidR="009A0D31" w:rsidRPr="002A4CF5">
        <w:rPr>
          <w:rFonts w:cs="Times New Roman"/>
          <w:szCs w:val="24"/>
        </w:rPr>
        <w:t xml:space="preserve"> (</w:t>
      </w:r>
      <w:r w:rsidR="009A0D31" w:rsidRPr="006E083E">
        <w:rPr>
          <w:rFonts w:cs="Times New Roman"/>
          <w:szCs w:val="24"/>
        </w:rPr>
        <w:t>Haubold et al., 1979</w:t>
      </w:r>
      <w:r w:rsidR="009A0D31" w:rsidRPr="002A4CF5">
        <w:rPr>
          <w:rFonts w:cs="Times New Roman"/>
          <w:szCs w:val="24"/>
        </w:rPr>
        <w:t>)</w:t>
      </w:r>
      <w:r w:rsidR="006E083E" w:rsidRPr="006E083E">
        <w:rPr>
          <w:rFonts w:cs="Times New Roman"/>
          <w:szCs w:val="24"/>
        </w:rPr>
        <w:t xml:space="preserve">. </w:t>
      </w:r>
    </w:p>
    <w:p w14:paraId="05F5CC04" w14:textId="77777777" w:rsidR="00EA5B94" w:rsidRPr="00E450E8" w:rsidRDefault="00EA5B94" w:rsidP="002A4CF5">
      <w:pPr>
        <w:ind w:firstLine="0"/>
        <w:contextualSpacing/>
        <w:rPr>
          <w:rFonts w:cs="Times New Roman"/>
          <w:b/>
          <w:bCs/>
          <w:szCs w:val="24"/>
          <w:u w:val="single"/>
        </w:rPr>
      </w:pPr>
      <w:r w:rsidRPr="00E450E8">
        <w:rPr>
          <w:rFonts w:cs="Times New Roman"/>
          <w:b/>
          <w:bCs/>
          <w:szCs w:val="24"/>
          <w:u w:val="single"/>
        </w:rPr>
        <w:t>Clinical Trials on Biocompatibility Improvements</w:t>
      </w:r>
    </w:p>
    <w:p w14:paraId="41A06DF3" w14:textId="76FCDB7E" w:rsidR="00EA5B94" w:rsidRPr="00EA5B94" w:rsidRDefault="00EA5B94" w:rsidP="002A4CF5">
      <w:pPr>
        <w:contextualSpacing/>
        <w:rPr>
          <w:rFonts w:cs="Times New Roman"/>
          <w:szCs w:val="24"/>
        </w:rPr>
      </w:pPr>
      <w:r w:rsidRPr="00EA5B94">
        <w:rPr>
          <w:rFonts w:cs="Times New Roman"/>
          <w:szCs w:val="24"/>
        </w:rPr>
        <w:t xml:space="preserve">Current clinical trials can be considered as expanding the limits of biocompatibility </w:t>
      </w:r>
      <w:proofErr w:type="gramStart"/>
      <w:r w:rsidRPr="00EA5B94">
        <w:rPr>
          <w:rFonts w:cs="Times New Roman"/>
          <w:szCs w:val="24"/>
        </w:rPr>
        <w:t>through the use of</w:t>
      </w:r>
      <w:proofErr w:type="gramEnd"/>
      <w:r w:rsidRPr="00EA5B94">
        <w:rPr>
          <w:rFonts w:cs="Times New Roman"/>
          <w:szCs w:val="24"/>
        </w:rPr>
        <w:t xml:space="preserve"> new materials and technologies. Scientists have been working on developing metallic and polymeric composite systems that can be used to produce implantable devices that can effectively interface with the biological body (Shahi et al., 2019). Current clinical studies have examined the use of antimicrobial agents on the body of titanium implants, which, if infected, leads to implant failure. Also, the resorbable stents coated with growth factors have been found to have an application in tissue engineering and reduce inflammation. One such study done with polymer-based heart valve prosthetics that were coated with endothelial cell layers showed that biocompatibility as well as clot formation was significantly better</w:t>
      </w:r>
      <w:r w:rsidR="001354A9" w:rsidRPr="002A4CF5">
        <w:rPr>
          <w:rFonts w:cs="Times New Roman"/>
          <w:szCs w:val="24"/>
        </w:rPr>
        <w:t xml:space="preserve"> (</w:t>
      </w:r>
      <w:r w:rsidR="001354A9" w:rsidRPr="00EA5B94">
        <w:rPr>
          <w:rFonts w:cs="Times New Roman"/>
          <w:szCs w:val="24"/>
        </w:rPr>
        <w:t>Zor et al., 2019</w:t>
      </w:r>
      <w:r w:rsidR="001354A9" w:rsidRPr="002A4CF5">
        <w:rPr>
          <w:rFonts w:cs="Times New Roman"/>
          <w:szCs w:val="24"/>
        </w:rPr>
        <w:t>)</w:t>
      </w:r>
      <w:r w:rsidRPr="00EA5B94">
        <w:rPr>
          <w:rFonts w:cs="Times New Roman"/>
          <w:szCs w:val="24"/>
        </w:rPr>
        <w:t xml:space="preserve">. </w:t>
      </w:r>
    </w:p>
    <w:p w14:paraId="42A6DB78" w14:textId="77777777" w:rsidR="00EA5B94" w:rsidRPr="00E450E8" w:rsidRDefault="00EA5B94" w:rsidP="002A4CF5">
      <w:pPr>
        <w:ind w:firstLine="0"/>
        <w:contextualSpacing/>
        <w:jc w:val="center"/>
        <w:rPr>
          <w:rFonts w:cs="Times New Roman"/>
          <w:b/>
          <w:bCs/>
          <w:szCs w:val="24"/>
          <w:u w:val="single"/>
        </w:rPr>
      </w:pPr>
      <w:r w:rsidRPr="00E450E8">
        <w:rPr>
          <w:rFonts w:cs="Times New Roman"/>
          <w:b/>
          <w:bCs/>
          <w:szCs w:val="24"/>
          <w:u w:val="single"/>
        </w:rPr>
        <w:t>Future of Biocompatible Prosthetics &amp; Implants</w:t>
      </w:r>
    </w:p>
    <w:p w14:paraId="163E5C6B" w14:textId="77777777" w:rsidR="00EA5B94" w:rsidRPr="00E450E8" w:rsidRDefault="00EA5B94" w:rsidP="002A4CF5">
      <w:pPr>
        <w:ind w:firstLine="0"/>
        <w:contextualSpacing/>
        <w:rPr>
          <w:rFonts w:cs="Times New Roman"/>
          <w:b/>
          <w:bCs/>
          <w:szCs w:val="24"/>
          <w:u w:val="single"/>
        </w:rPr>
      </w:pPr>
      <w:r w:rsidRPr="00E450E8">
        <w:rPr>
          <w:rFonts w:cs="Times New Roman"/>
          <w:b/>
          <w:bCs/>
          <w:szCs w:val="24"/>
          <w:u w:val="single"/>
        </w:rPr>
        <w:t>Emerging Trends</w:t>
      </w:r>
    </w:p>
    <w:p w14:paraId="716C35D5" w14:textId="09798EDF" w:rsidR="00EA5B94" w:rsidRPr="00EA5B94" w:rsidRDefault="00EA5B94" w:rsidP="002A4CF5">
      <w:pPr>
        <w:contextualSpacing/>
        <w:rPr>
          <w:rFonts w:cs="Times New Roman"/>
          <w:szCs w:val="24"/>
        </w:rPr>
      </w:pPr>
      <w:r w:rsidRPr="00EA5B94">
        <w:rPr>
          <w:rFonts w:cs="Times New Roman"/>
          <w:szCs w:val="24"/>
        </w:rPr>
        <w:t xml:space="preserve">Current research and innovations in prosthetics and implants depict the future of those devices with an ability to be more biocompatible and functional. One of these is the biohybrid prosthetic, which combines bio tissue and mechanical elements to produce more natural and flexible prosthetics to replace human body organs (Zor et al., 2019). Also, neural integration technologies are equally advancing and enabling prosthetics to be operated directly by the brain, making it easier for the users to move around and maneuver (Hanawa, 2022). Another great </w:t>
      </w:r>
      <w:r w:rsidR="00F428E6" w:rsidRPr="002A4CF5">
        <w:rPr>
          <w:rFonts w:cs="Times New Roman"/>
          <w:szCs w:val="24"/>
        </w:rPr>
        <w:t>invention</w:t>
      </w:r>
      <w:r w:rsidRPr="00EA5B94">
        <w:rPr>
          <w:rFonts w:cs="Times New Roman"/>
          <w:szCs w:val="24"/>
        </w:rPr>
        <w:t xml:space="preserve"> is the use of nanotechnology in regenerative medicine to improve tissue integration </w:t>
      </w:r>
      <w:r w:rsidRPr="00EA5B94">
        <w:rPr>
          <w:rFonts w:cs="Times New Roman"/>
          <w:szCs w:val="24"/>
        </w:rPr>
        <w:lastRenderedPageBreak/>
        <w:t>and minimize immune response. Antibacterial coatings on the implants are being studied to enhance the direct bone-to-implant contact while the engineered nanoparticles are being investigated for the targeted drug delivery and thus minimizing post-implantation side effects (Sanità et al., 2020). Such advancements suggest a future of more biological integration, adaptability, and functional integration of prosthetics.</w:t>
      </w:r>
    </w:p>
    <w:p w14:paraId="5F5A18B9" w14:textId="77777777" w:rsidR="00EA5B94" w:rsidRPr="00E450E8" w:rsidRDefault="00EA5B94" w:rsidP="002A4CF5">
      <w:pPr>
        <w:ind w:firstLine="0"/>
        <w:contextualSpacing/>
        <w:rPr>
          <w:rFonts w:cs="Times New Roman"/>
          <w:b/>
          <w:bCs/>
          <w:szCs w:val="24"/>
          <w:u w:val="single"/>
        </w:rPr>
      </w:pPr>
      <w:r w:rsidRPr="00E450E8">
        <w:rPr>
          <w:rFonts w:cs="Times New Roman"/>
          <w:b/>
          <w:bCs/>
          <w:szCs w:val="24"/>
          <w:u w:val="single"/>
        </w:rPr>
        <w:t>Ethical &amp; Regulatory Considerations</w:t>
      </w:r>
    </w:p>
    <w:p w14:paraId="1E736439" w14:textId="77777777" w:rsidR="00EA5B94" w:rsidRPr="00EA5B94" w:rsidRDefault="00EA5B94" w:rsidP="002A4CF5">
      <w:pPr>
        <w:contextualSpacing/>
        <w:rPr>
          <w:rFonts w:cs="Times New Roman"/>
          <w:szCs w:val="24"/>
        </w:rPr>
      </w:pPr>
      <w:r w:rsidRPr="00EA5B94">
        <w:rPr>
          <w:rFonts w:cs="Times New Roman"/>
          <w:szCs w:val="24"/>
        </w:rPr>
        <w:t>There are always ethical and regulatory questions that arise as the technology of biocompatible prosthetics is being developed. The FDA and other regulating bodies across the world have very strict standards for biocompatibility testing to protect the patient (Al-</w:t>
      </w:r>
      <w:proofErr w:type="spellStart"/>
      <w:r w:rsidRPr="00EA5B94">
        <w:rPr>
          <w:rFonts w:cs="Times New Roman"/>
          <w:szCs w:val="24"/>
        </w:rPr>
        <w:t>Zyoud</w:t>
      </w:r>
      <w:proofErr w:type="spellEnd"/>
      <w:r w:rsidRPr="00EA5B94">
        <w:rPr>
          <w:rFonts w:cs="Times New Roman"/>
          <w:szCs w:val="24"/>
        </w:rPr>
        <w:t xml:space="preserve"> et al., 2023). These regulations include a number of in vitro and in vivo tests to estimate cytotoxicity, immunogenicity, and other side effects, as well as chronic effects. Similarly, there is a question of identity and agency when synthetic materials are used for tissue integration, and there is the issue of equity, or the lack thereof, in the availability of advanced prosthetic devices (Guillén-Martínez &amp; Alarcón-Sánchez, 2024). These concerns can only be dealt with by continuous dialogues between the scientist, the policy maker, and the ethicist to ensure that the advancement that is made is safe and ethical.</w:t>
      </w:r>
    </w:p>
    <w:p w14:paraId="66FBC3CA" w14:textId="77777777" w:rsidR="00E47D09" w:rsidRPr="00E450E8" w:rsidRDefault="00E47D09" w:rsidP="002A4CF5">
      <w:pPr>
        <w:ind w:firstLine="0"/>
        <w:contextualSpacing/>
        <w:jc w:val="center"/>
        <w:rPr>
          <w:rFonts w:cs="Times New Roman"/>
          <w:b/>
          <w:bCs/>
          <w:szCs w:val="24"/>
          <w:u w:val="single"/>
        </w:rPr>
      </w:pPr>
      <w:r w:rsidRPr="00E450E8">
        <w:rPr>
          <w:rFonts w:cs="Times New Roman"/>
          <w:b/>
          <w:bCs/>
          <w:szCs w:val="24"/>
          <w:u w:val="single"/>
        </w:rPr>
        <w:t>My Role in Biomaterials Development</w:t>
      </w:r>
    </w:p>
    <w:p w14:paraId="2B68DDBD" w14:textId="69235F30" w:rsidR="00E47D09" w:rsidRPr="00E47D09" w:rsidRDefault="00E47D09" w:rsidP="002A4CF5">
      <w:pPr>
        <w:contextualSpacing/>
        <w:rPr>
          <w:rFonts w:cs="Times New Roman"/>
          <w:szCs w:val="24"/>
        </w:rPr>
      </w:pPr>
      <w:r w:rsidRPr="00E47D09">
        <w:rPr>
          <w:rFonts w:cs="Times New Roman"/>
          <w:szCs w:val="24"/>
        </w:rPr>
        <w:t xml:space="preserve">My contribution to the development of biomaterials would involve conducting research to identify biocompatible coatings that foster implantation integration and minimize the immune response. Also, it is my intention to enhance the affordability of prosthetics along with the use of development methods such as 3D printing to accommodate the needs of various patients. I also pay attention to biohybrid and smart prosthetic tissues, which are based on the combination of biological tissues with synthetic parts, enhancing the long-term efficiency and flexibility. This </w:t>
      </w:r>
      <w:r w:rsidRPr="00E47D09">
        <w:rPr>
          <w:rFonts w:cs="Times New Roman"/>
          <w:szCs w:val="24"/>
        </w:rPr>
        <w:lastRenderedPageBreak/>
        <w:t xml:space="preserve">research is very useful in the quest of achieving the safety of the material used in making the prosthetics and the needs of the patients as well. Besides, it is my hope to help reduce the chances of costly prosthetic alternatives by trying to work on the economic factors that hinder the use of advanced prosthetics by many patients </w:t>
      </w:r>
      <w:r w:rsidR="00391F3B" w:rsidRPr="002A4CF5">
        <w:rPr>
          <w:rFonts w:cs="Times New Roman"/>
          <w:szCs w:val="24"/>
        </w:rPr>
        <w:t xml:space="preserve">as envisioned by </w:t>
      </w:r>
      <w:r w:rsidR="00391F3B" w:rsidRPr="00EA5B94">
        <w:rPr>
          <w:rFonts w:cs="Times New Roman"/>
          <w:szCs w:val="24"/>
        </w:rPr>
        <w:t>Sanità et al.</w:t>
      </w:r>
      <w:r w:rsidR="00391F3B" w:rsidRPr="002A4CF5">
        <w:rPr>
          <w:rFonts w:cs="Times New Roman"/>
          <w:szCs w:val="24"/>
        </w:rPr>
        <w:t xml:space="preserve"> (</w:t>
      </w:r>
      <w:r w:rsidR="00391F3B" w:rsidRPr="00EA5B94">
        <w:rPr>
          <w:rFonts w:cs="Times New Roman"/>
          <w:szCs w:val="24"/>
        </w:rPr>
        <w:t>2020</w:t>
      </w:r>
      <w:r w:rsidR="00331A41" w:rsidRPr="002A4CF5">
        <w:rPr>
          <w:rFonts w:cs="Times New Roman"/>
          <w:szCs w:val="24"/>
        </w:rPr>
        <w:t>)</w:t>
      </w:r>
      <w:r w:rsidRPr="00E47D09">
        <w:rPr>
          <w:rFonts w:cs="Times New Roman"/>
          <w:szCs w:val="24"/>
        </w:rPr>
        <w:t>.</w:t>
      </w:r>
    </w:p>
    <w:p w14:paraId="1C3E295E" w14:textId="77777777" w:rsidR="00E47D09" w:rsidRPr="00E450E8" w:rsidRDefault="00E47D09" w:rsidP="002A4CF5">
      <w:pPr>
        <w:ind w:firstLine="0"/>
        <w:contextualSpacing/>
        <w:jc w:val="center"/>
        <w:rPr>
          <w:rFonts w:cs="Times New Roman"/>
          <w:b/>
          <w:bCs/>
          <w:szCs w:val="24"/>
          <w:u w:val="single"/>
        </w:rPr>
      </w:pPr>
      <w:r w:rsidRPr="00E450E8">
        <w:rPr>
          <w:rFonts w:cs="Times New Roman"/>
          <w:b/>
          <w:bCs/>
          <w:szCs w:val="24"/>
          <w:u w:val="single"/>
        </w:rPr>
        <w:t>Conclusion &amp; Call to Action</w:t>
      </w:r>
    </w:p>
    <w:p w14:paraId="49A80B16" w14:textId="00EB2448" w:rsidR="00331A41" w:rsidRPr="002A4CF5" w:rsidRDefault="00331A41" w:rsidP="002A4CF5">
      <w:pPr>
        <w:contextualSpacing/>
        <w:rPr>
          <w:rFonts w:cs="Times New Roman"/>
          <w:b/>
          <w:bCs/>
          <w:szCs w:val="24"/>
        </w:rPr>
      </w:pPr>
      <w:r w:rsidRPr="00331A41">
        <w:rPr>
          <w:rFonts w:cs="Times New Roman"/>
          <w:szCs w:val="24"/>
        </w:rPr>
        <w:t xml:space="preserve">The most significant hurdle in the development of prosthetics and implantation of medical devices is biocompatibility, where immune reactions and cytotoxicity as well as personalization create a major bottleneck for broad success. New possibilities of the biomaterials, like the bioactive coatings, smart polymers, or biohybrid prosthetics, may be considered as the solutions to improve integration and safety issues. </w:t>
      </w:r>
      <w:r w:rsidR="00C31835" w:rsidRPr="002A4CF5">
        <w:rPr>
          <w:rFonts w:cs="Times New Roman"/>
          <w:szCs w:val="24"/>
        </w:rPr>
        <w:t xml:space="preserve">Addressing </w:t>
      </w:r>
      <w:r w:rsidRPr="00331A41">
        <w:rPr>
          <w:rFonts w:cs="Times New Roman"/>
          <w:szCs w:val="24"/>
        </w:rPr>
        <w:t xml:space="preserve">some of these challenges </w:t>
      </w:r>
      <w:r w:rsidR="00C31835" w:rsidRPr="002A4CF5">
        <w:rPr>
          <w:rFonts w:cs="Times New Roman"/>
          <w:szCs w:val="24"/>
        </w:rPr>
        <w:t>helps</w:t>
      </w:r>
      <w:r w:rsidRPr="00331A41">
        <w:rPr>
          <w:rFonts w:cs="Times New Roman"/>
          <w:szCs w:val="24"/>
        </w:rPr>
        <w:t xml:space="preserve"> pave the way for the advancement in the future of medical technologies in areas of prosthetics and implants. Thus, the development of the field will be based on the cooperation between material scientists, biomedical engineers, and medical practitioners. The possibility of using biomaterials will bring about great advancements in healthcare and better patient care in the next generation if the focus is on innovation and ethical issues.</w:t>
      </w:r>
      <w:r w:rsidRPr="002A4CF5">
        <w:rPr>
          <w:rFonts w:cs="Times New Roman"/>
          <w:b/>
          <w:bCs/>
          <w:szCs w:val="24"/>
        </w:rPr>
        <w:br w:type="page"/>
      </w:r>
    </w:p>
    <w:p w14:paraId="795D1EAD" w14:textId="4100757D" w:rsidR="009425D3" w:rsidRPr="00C02FB2" w:rsidRDefault="00517FA4" w:rsidP="002A4CF5">
      <w:pPr>
        <w:ind w:firstLine="0"/>
        <w:contextualSpacing/>
        <w:jc w:val="center"/>
        <w:rPr>
          <w:rFonts w:cs="Times New Roman"/>
          <w:b/>
          <w:bCs/>
          <w:szCs w:val="24"/>
          <w:u w:val="single"/>
        </w:rPr>
      </w:pPr>
      <w:r w:rsidRPr="00C02FB2">
        <w:rPr>
          <w:rFonts w:cs="Times New Roman"/>
          <w:b/>
          <w:bCs/>
          <w:szCs w:val="24"/>
          <w:u w:val="single"/>
        </w:rPr>
        <w:lastRenderedPageBreak/>
        <w:t>References</w:t>
      </w:r>
    </w:p>
    <w:p w14:paraId="15AC5A28" w14:textId="77777777" w:rsidR="00834342" w:rsidRPr="00C02FB2" w:rsidRDefault="00834342" w:rsidP="00C02FB2">
      <w:pPr>
        <w:pStyle w:val="ListParagraph"/>
        <w:numPr>
          <w:ilvl w:val="0"/>
          <w:numId w:val="1"/>
        </w:numPr>
        <w:rPr>
          <w:rFonts w:cs="Times New Roman"/>
          <w:szCs w:val="24"/>
        </w:rPr>
      </w:pPr>
      <w:r w:rsidRPr="00C02FB2">
        <w:rPr>
          <w:rFonts w:cs="Times New Roman"/>
          <w:szCs w:val="24"/>
        </w:rPr>
        <w:t>Al-</w:t>
      </w:r>
      <w:proofErr w:type="spellStart"/>
      <w:r w:rsidRPr="00C02FB2">
        <w:rPr>
          <w:rFonts w:cs="Times New Roman"/>
          <w:szCs w:val="24"/>
        </w:rPr>
        <w:t>Zyoud</w:t>
      </w:r>
      <w:proofErr w:type="spellEnd"/>
      <w:r w:rsidRPr="00C02FB2">
        <w:rPr>
          <w:rFonts w:cs="Times New Roman"/>
          <w:szCs w:val="24"/>
        </w:rPr>
        <w:t>, W., Haddadin, D., Hasan, S. A., Jaradat, H., &amp; Kanoun, O. (2023). Biocompatibility Testing for Implants: A Novel Tool for Selection and Characterization. </w:t>
      </w:r>
      <w:r w:rsidRPr="00C02FB2">
        <w:rPr>
          <w:rFonts w:cs="Times New Roman"/>
          <w:i/>
          <w:iCs/>
          <w:szCs w:val="24"/>
        </w:rPr>
        <w:t>Materials</w:t>
      </w:r>
      <w:r w:rsidRPr="00C02FB2">
        <w:rPr>
          <w:rFonts w:cs="Times New Roman"/>
          <w:szCs w:val="24"/>
        </w:rPr>
        <w:t>, </w:t>
      </w:r>
      <w:r w:rsidRPr="00C02FB2">
        <w:rPr>
          <w:rFonts w:cs="Times New Roman"/>
          <w:i/>
          <w:iCs/>
          <w:szCs w:val="24"/>
        </w:rPr>
        <w:t>16</w:t>
      </w:r>
      <w:r w:rsidRPr="00C02FB2">
        <w:rPr>
          <w:rFonts w:cs="Times New Roman"/>
          <w:szCs w:val="24"/>
        </w:rPr>
        <w:t xml:space="preserve">(21), 6881. </w:t>
      </w:r>
      <w:hyperlink r:id="rId7" w:history="1">
        <w:r w:rsidRPr="00C02FB2">
          <w:rPr>
            <w:rStyle w:val="Hyperlink"/>
            <w:rFonts w:cs="Times New Roman"/>
            <w:szCs w:val="24"/>
          </w:rPr>
          <w:t>https://doi.org/10.3390/ma16216881</w:t>
        </w:r>
      </w:hyperlink>
    </w:p>
    <w:p w14:paraId="100B7FCF" w14:textId="77777777" w:rsidR="00834342" w:rsidRPr="00C02FB2" w:rsidRDefault="00834342" w:rsidP="00C02FB2">
      <w:pPr>
        <w:pStyle w:val="ListParagraph"/>
        <w:numPr>
          <w:ilvl w:val="0"/>
          <w:numId w:val="1"/>
        </w:numPr>
        <w:rPr>
          <w:rFonts w:cs="Times New Roman"/>
          <w:szCs w:val="24"/>
        </w:rPr>
      </w:pPr>
      <w:r w:rsidRPr="00C02FB2">
        <w:rPr>
          <w:rFonts w:cs="Times New Roman"/>
          <w:szCs w:val="24"/>
        </w:rPr>
        <w:t>Guillén-Martínez, A. L., &amp; Alarcón-Sánchez, M. A. (2024). Criteria for choosing prosthetic biomaterials according to their physicochemical properties for anterior and posterior sectors. a comprehensive review. </w:t>
      </w:r>
      <w:proofErr w:type="spellStart"/>
      <w:r w:rsidRPr="00C02FB2">
        <w:rPr>
          <w:rFonts w:cs="Times New Roman"/>
          <w:i/>
          <w:iCs/>
          <w:szCs w:val="24"/>
        </w:rPr>
        <w:t>Revista</w:t>
      </w:r>
      <w:proofErr w:type="spellEnd"/>
      <w:r w:rsidRPr="00C02FB2">
        <w:rPr>
          <w:rFonts w:cs="Times New Roman"/>
          <w:i/>
          <w:iCs/>
          <w:szCs w:val="24"/>
        </w:rPr>
        <w:t xml:space="preserve"> </w:t>
      </w:r>
      <w:proofErr w:type="spellStart"/>
      <w:r w:rsidRPr="00C02FB2">
        <w:rPr>
          <w:rFonts w:cs="Times New Roman"/>
          <w:i/>
          <w:iCs/>
          <w:szCs w:val="24"/>
        </w:rPr>
        <w:t>cientifica</w:t>
      </w:r>
      <w:proofErr w:type="spellEnd"/>
      <w:r w:rsidRPr="00C02FB2">
        <w:rPr>
          <w:rFonts w:cs="Times New Roman"/>
          <w:i/>
          <w:iCs/>
          <w:szCs w:val="24"/>
        </w:rPr>
        <w:t xml:space="preserve"> </w:t>
      </w:r>
      <w:proofErr w:type="spellStart"/>
      <w:r w:rsidRPr="00C02FB2">
        <w:rPr>
          <w:rFonts w:cs="Times New Roman"/>
          <w:i/>
          <w:iCs/>
          <w:szCs w:val="24"/>
        </w:rPr>
        <w:t>odontologica</w:t>
      </w:r>
      <w:proofErr w:type="spellEnd"/>
      <w:r w:rsidRPr="00C02FB2">
        <w:rPr>
          <w:rFonts w:cs="Times New Roman"/>
          <w:i/>
          <w:iCs/>
          <w:szCs w:val="24"/>
        </w:rPr>
        <w:t xml:space="preserve"> (Universidad </w:t>
      </w:r>
      <w:proofErr w:type="spellStart"/>
      <w:r w:rsidRPr="00C02FB2">
        <w:rPr>
          <w:rFonts w:cs="Times New Roman"/>
          <w:i/>
          <w:iCs/>
          <w:szCs w:val="24"/>
        </w:rPr>
        <w:t>Cientifica</w:t>
      </w:r>
      <w:proofErr w:type="spellEnd"/>
      <w:r w:rsidRPr="00C02FB2">
        <w:rPr>
          <w:rFonts w:cs="Times New Roman"/>
          <w:i/>
          <w:iCs/>
          <w:szCs w:val="24"/>
        </w:rPr>
        <w:t xml:space="preserve"> del Sur)</w:t>
      </w:r>
      <w:r w:rsidRPr="00C02FB2">
        <w:rPr>
          <w:rFonts w:cs="Times New Roman"/>
          <w:szCs w:val="24"/>
        </w:rPr>
        <w:t>, </w:t>
      </w:r>
      <w:r w:rsidRPr="00C02FB2">
        <w:rPr>
          <w:rFonts w:cs="Times New Roman"/>
          <w:i/>
          <w:iCs/>
          <w:szCs w:val="24"/>
        </w:rPr>
        <w:t>12</w:t>
      </w:r>
      <w:r w:rsidRPr="00C02FB2">
        <w:rPr>
          <w:rFonts w:cs="Times New Roman"/>
          <w:szCs w:val="24"/>
        </w:rPr>
        <w:t xml:space="preserve">(1), e188. </w:t>
      </w:r>
      <w:hyperlink r:id="rId8" w:history="1">
        <w:r w:rsidRPr="00C02FB2">
          <w:rPr>
            <w:rStyle w:val="Hyperlink"/>
            <w:rFonts w:cs="Times New Roman"/>
            <w:szCs w:val="24"/>
          </w:rPr>
          <w:t>https://doi.org/10.21142/2523-2754-1201-2024-188</w:t>
        </w:r>
      </w:hyperlink>
    </w:p>
    <w:p w14:paraId="2432E26C" w14:textId="77777777" w:rsidR="00834342" w:rsidRPr="00C02FB2" w:rsidRDefault="00834342" w:rsidP="00C02FB2">
      <w:pPr>
        <w:pStyle w:val="ListParagraph"/>
        <w:numPr>
          <w:ilvl w:val="0"/>
          <w:numId w:val="1"/>
        </w:numPr>
        <w:rPr>
          <w:rFonts w:cs="Times New Roman"/>
          <w:szCs w:val="24"/>
        </w:rPr>
      </w:pPr>
      <w:r w:rsidRPr="00C02FB2">
        <w:rPr>
          <w:rFonts w:cs="Times New Roman"/>
          <w:szCs w:val="24"/>
        </w:rPr>
        <w:t>Hanawa, T. (2022). Biocompatibility of titanium from the viewpoint of its surface. </w:t>
      </w:r>
      <w:r w:rsidRPr="00C02FB2">
        <w:rPr>
          <w:rFonts w:cs="Times New Roman"/>
          <w:i/>
          <w:iCs/>
          <w:szCs w:val="24"/>
        </w:rPr>
        <w:t>Science and Technology of Advanced Materials</w:t>
      </w:r>
      <w:r w:rsidRPr="00C02FB2">
        <w:rPr>
          <w:rFonts w:cs="Times New Roman"/>
          <w:szCs w:val="24"/>
        </w:rPr>
        <w:t>, </w:t>
      </w:r>
      <w:r w:rsidRPr="00C02FB2">
        <w:rPr>
          <w:rFonts w:cs="Times New Roman"/>
          <w:i/>
          <w:iCs/>
          <w:szCs w:val="24"/>
        </w:rPr>
        <w:t>23</w:t>
      </w:r>
      <w:r w:rsidRPr="00C02FB2">
        <w:rPr>
          <w:rFonts w:cs="Times New Roman"/>
          <w:szCs w:val="24"/>
        </w:rPr>
        <w:t xml:space="preserve">(1), 457–472. </w:t>
      </w:r>
      <w:hyperlink r:id="rId9" w:history="1">
        <w:r w:rsidRPr="00C02FB2">
          <w:rPr>
            <w:rStyle w:val="Hyperlink"/>
            <w:rFonts w:cs="Times New Roman"/>
            <w:szCs w:val="24"/>
          </w:rPr>
          <w:t>https://doi.org/10.1080/14686996.2022.2106156</w:t>
        </w:r>
      </w:hyperlink>
    </w:p>
    <w:p w14:paraId="4F2501E1" w14:textId="77777777" w:rsidR="00834342" w:rsidRPr="00C02FB2" w:rsidRDefault="00834342" w:rsidP="00C02FB2">
      <w:pPr>
        <w:pStyle w:val="ListParagraph"/>
        <w:numPr>
          <w:ilvl w:val="0"/>
          <w:numId w:val="1"/>
        </w:numPr>
        <w:rPr>
          <w:rFonts w:cs="Times New Roman"/>
          <w:szCs w:val="24"/>
        </w:rPr>
      </w:pPr>
      <w:r w:rsidRPr="00C02FB2">
        <w:rPr>
          <w:rFonts w:cs="Times New Roman"/>
          <w:szCs w:val="24"/>
        </w:rPr>
        <w:t>Haubold, A. D., Shim, H. S., &amp; Boleros, J. C. (1979). Developments in Carbon Prosthetics. </w:t>
      </w:r>
      <w:r w:rsidRPr="00C02FB2">
        <w:rPr>
          <w:rFonts w:cs="Times New Roman"/>
          <w:i/>
          <w:iCs/>
          <w:szCs w:val="24"/>
        </w:rPr>
        <w:t>Biomaterials Medical Devices and Artificial Organs</w:t>
      </w:r>
      <w:r w:rsidRPr="00C02FB2">
        <w:rPr>
          <w:rFonts w:cs="Times New Roman"/>
          <w:szCs w:val="24"/>
        </w:rPr>
        <w:t>, </w:t>
      </w:r>
      <w:r w:rsidRPr="00C02FB2">
        <w:rPr>
          <w:rFonts w:cs="Times New Roman"/>
          <w:i/>
          <w:iCs/>
          <w:szCs w:val="24"/>
        </w:rPr>
        <w:t>7</w:t>
      </w:r>
      <w:r w:rsidRPr="00C02FB2">
        <w:rPr>
          <w:rFonts w:cs="Times New Roman"/>
          <w:szCs w:val="24"/>
        </w:rPr>
        <w:t xml:space="preserve">(2), 263–269. </w:t>
      </w:r>
      <w:hyperlink r:id="rId10" w:history="1">
        <w:r w:rsidRPr="00C02FB2">
          <w:rPr>
            <w:rStyle w:val="Hyperlink"/>
            <w:rFonts w:cs="Times New Roman"/>
            <w:szCs w:val="24"/>
          </w:rPr>
          <w:t>https://doi.org/10.3109/10731197909117581</w:t>
        </w:r>
      </w:hyperlink>
    </w:p>
    <w:p w14:paraId="59C5FADD" w14:textId="77777777" w:rsidR="00834342" w:rsidRPr="00C02FB2" w:rsidRDefault="00834342" w:rsidP="00C02FB2">
      <w:pPr>
        <w:pStyle w:val="ListParagraph"/>
        <w:numPr>
          <w:ilvl w:val="0"/>
          <w:numId w:val="1"/>
        </w:numPr>
        <w:rPr>
          <w:rFonts w:cs="Times New Roman"/>
          <w:szCs w:val="24"/>
        </w:rPr>
      </w:pPr>
      <w:r w:rsidRPr="00C02FB2">
        <w:rPr>
          <w:rFonts w:cs="Times New Roman"/>
          <w:szCs w:val="24"/>
        </w:rPr>
        <w:t>Jain, S., &amp; Parashar, V. (2022). Analytical review on the biocompatibility of surface-treated Ti-alloys for joint replacement applications. </w:t>
      </w:r>
      <w:r w:rsidRPr="00C02FB2">
        <w:rPr>
          <w:rFonts w:cs="Times New Roman"/>
          <w:i/>
          <w:iCs/>
          <w:szCs w:val="24"/>
        </w:rPr>
        <w:t>Expert Review of Medical Devices</w:t>
      </w:r>
      <w:r w:rsidRPr="00C02FB2">
        <w:rPr>
          <w:rFonts w:cs="Times New Roman"/>
          <w:szCs w:val="24"/>
        </w:rPr>
        <w:t>, </w:t>
      </w:r>
      <w:r w:rsidRPr="00C02FB2">
        <w:rPr>
          <w:rFonts w:cs="Times New Roman"/>
          <w:i/>
          <w:iCs/>
          <w:szCs w:val="24"/>
        </w:rPr>
        <w:t>19</w:t>
      </w:r>
      <w:r w:rsidRPr="00C02FB2">
        <w:rPr>
          <w:rFonts w:cs="Times New Roman"/>
          <w:szCs w:val="24"/>
        </w:rPr>
        <w:t xml:space="preserve">(9), 699–719. </w:t>
      </w:r>
      <w:hyperlink r:id="rId11" w:history="1">
        <w:r w:rsidRPr="00C02FB2">
          <w:rPr>
            <w:rStyle w:val="Hyperlink"/>
            <w:rFonts w:cs="Times New Roman"/>
            <w:szCs w:val="24"/>
          </w:rPr>
          <w:t>https://doi.org/10.1080/17434440.2022.2132146</w:t>
        </w:r>
      </w:hyperlink>
    </w:p>
    <w:p w14:paraId="1B35E03B" w14:textId="77777777" w:rsidR="00834342" w:rsidRPr="00C02FB2" w:rsidRDefault="00834342" w:rsidP="00C02FB2">
      <w:pPr>
        <w:pStyle w:val="ListParagraph"/>
        <w:numPr>
          <w:ilvl w:val="0"/>
          <w:numId w:val="1"/>
        </w:numPr>
        <w:rPr>
          <w:rFonts w:cs="Times New Roman"/>
          <w:szCs w:val="24"/>
        </w:rPr>
      </w:pPr>
      <w:r w:rsidRPr="00C02FB2">
        <w:rPr>
          <w:rFonts w:cs="Times New Roman"/>
          <w:szCs w:val="24"/>
        </w:rPr>
        <w:t xml:space="preserve">Nguyen, T.-H., </w:t>
      </w:r>
      <w:proofErr w:type="spellStart"/>
      <w:r w:rsidRPr="00C02FB2">
        <w:rPr>
          <w:rFonts w:cs="Times New Roman"/>
          <w:szCs w:val="24"/>
        </w:rPr>
        <w:t>Padalhin</w:t>
      </w:r>
      <w:proofErr w:type="spellEnd"/>
      <w:r w:rsidRPr="00C02FB2">
        <w:rPr>
          <w:rFonts w:cs="Times New Roman"/>
          <w:szCs w:val="24"/>
        </w:rPr>
        <w:t xml:space="preserve">, A. R., Seo, H. S., &amp; Lee, B.-T. (2013). A hybrid </w:t>
      </w:r>
      <w:proofErr w:type="spellStart"/>
      <w:r w:rsidRPr="00C02FB2">
        <w:rPr>
          <w:rFonts w:cs="Times New Roman"/>
          <w:szCs w:val="24"/>
        </w:rPr>
        <w:t>electrospun</w:t>
      </w:r>
      <w:proofErr w:type="spellEnd"/>
      <w:r w:rsidRPr="00C02FB2">
        <w:rPr>
          <w:rFonts w:cs="Times New Roman"/>
          <w:szCs w:val="24"/>
        </w:rPr>
        <w:t xml:space="preserve"> PU/PCL scaffold satisfied the requirements of blood vessel prosthesis in terms of mechanical properties, pore size, and biocompatibility. </w:t>
      </w:r>
      <w:r w:rsidRPr="00C02FB2">
        <w:rPr>
          <w:rFonts w:cs="Times New Roman"/>
          <w:i/>
          <w:iCs/>
          <w:szCs w:val="24"/>
        </w:rPr>
        <w:t>Journal of Biomaterials Science Polymer Edition</w:t>
      </w:r>
      <w:r w:rsidRPr="00C02FB2">
        <w:rPr>
          <w:rFonts w:cs="Times New Roman"/>
          <w:szCs w:val="24"/>
        </w:rPr>
        <w:t>, </w:t>
      </w:r>
      <w:r w:rsidRPr="00C02FB2">
        <w:rPr>
          <w:rFonts w:cs="Times New Roman"/>
          <w:i/>
          <w:iCs/>
          <w:szCs w:val="24"/>
        </w:rPr>
        <w:t>24</w:t>
      </w:r>
      <w:r w:rsidRPr="00C02FB2">
        <w:rPr>
          <w:rFonts w:cs="Times New Roman"/>
          <w:szCs w:val="24"/>
        </w:rPr>
        <w:t>(14), 1692–1706. https://doi.org/10.1080/09205063.2013.792642</w:t>
      </w:r>
    </w:p>
    <w:p w14:paraId="7CE7F924" w14:textId="77777777" w:rsidR="00834342" w:rsidRPr="00C02FB2" w:rsidRDefault="00834342" w:rsidP="00C02FB2">
      <w:pPr>
        <w:pStyle w:val="ListParagraph"/>
        <w:numPr>
          <w:ilvl w:val="0"/>
          <w:numId w:val="1"/>
        </w:numPr>
        <w:rPr>
          <w:rFonts w:cs="Times New Roman"/>
          <w:szCs w:val="24"/>
        </w:rPr>
      </w:pPr>
      <w:r w:rsidRPr="00C02FB2">
        <w:rPr>
          <w:rFonts w:cs="Times New Roman"/>
          <w:szCs w:val="24"/>
        </w:rPr>
        <w:lastRenderedPageBreak/>
        <w:t>Sanità, G., Carrese, B., &amp; Lamberti, A. (2020). Nanoparticle Surface Functionalization: How to Improve Biocompatibility and Cellular Internalization. </w:t>
      </w:r>
      <w:r w:rsidRPr="00C02FB2">
        <w:rPr>
          <w:rFonts w:cs="Times New Roman"/>
          <w:i/>
          <w:iCs/>
          <w:szCs w:val="24"/>
        </w:rPr>
        <w:t>Frontiers in Molecular Biosciences</w:t>
      </w:r>
      <w:r w:rsidRPr="00C02FB2">
        <w:rPr>
          <w:rFonts w:cs="Times New Roman"/>
          <w:szCs w:val="24"/>
        </w:rPr>
        <w:t>, </w:t>
      </w:r>
      <w:r w:rsidRPr="00C02FB2">
        <w:rPr>
          <w:rFonts w:cs="Times New Roman"/>
          <w:i/>
          <w:iCs/>
          <w:szCs w:val="24"/>
        </w:rPr>
        <w:t>7</w:t>
      </w:r>
      <w:r w:rsidRPr="00C02FB2">
        <w:rPr>
          <w:rFonts w:cs="Times New Roman"/>
          <w:szCs w:val="24"/>
        </w:rPr>
        <w:t>. </w:t>
      </w:r>
      <w:hyperlink r:id="rId12" w:tgtFrame="_blank" w:history="1">
        <w:r w:rsidRPr="00C02FB2">
          <w:rPr>
            <w:rStyle w:val="Hyperlink"/>
            <w:rFonts w:cs="Times New Roman"/>
            <w:szCs w:val="24"/>
          </w:rPr>
          <w:t>https://doi.org/10.3389/fmolb.2020.587012</w:t>
        </w:r>
      </w:hyperlink>
    </w:p>
    <w:p w14:paraId="6A4DE5BE" w14:textId="77777777" w:rsidR="00834342" w:rsidRPr="00C02FB2" w:rsidRDefault="00834342" w:rsidP="00C02FB2">
      <w:pPr>
        <w:pStyle w:val="ListParagraph"/>
        <w:numPr>
          <w:ilvl w:val="0"/>
          <w:numId w:val="1"/>
        </w:numPr>
        <w:rPr>
          <w:rFonts w:cs="Times New Roman"/>
          <w:szCs w:val="24"/>
        </w:rPr>
      </w:pPr>
      <w:r w:rsidRPr="00C02FB2">
        <w:rPr>
          <w:rFonts w:cs="Times New Roman"/>
          <w:szCs w:val="24"/>
        </w:rPr>
        <w:t xml:space="preserve">Shahi, S., Özcan, M., Maleki </w:t>
      </w:r>
      <w:proofErr w:type="spellStart"/>
      <w:r w:rsidRPr="00C02FB2">
        <w:rPr>
          <w:rFonts w:cs="Times New Roman"/>
          <w:szCs w:val="24"/>
        </w:rPr>
        <w:t>Dizaj</w:t>
      </w:r>
      <w:proofErr w:type="spellEnd"/>
      <w:r w:rsidRPr="00C02FB2">
        <w:rPr>
          <w:rFonts w:cs="Times New Roman"/>
          <w:szCs w:val="24"/>
        </w:rPr>
        <w:t>, S., Sharifi, S., Al-Haj Husain, N., Eftekhari, A., &amp; Ahmadian, E. (2019). A review on potential toxicity of dental material and screening their biocompatibility. </w:t>
      </w:r>
      <w:r w:rsidRPr="00C02FB2">
        <w:rPr>
          <w:rFonts w:cs="Times New Roman"/>
          <w:i/>
          <w:iCs/>
          <w:szCs w:val="24"/>
        </w:rPr>
        <w:t>Toxicology Mechanisms and Methods</w:t>
      </w:r>
      <w:r w:rsidRPr="00C02FB2">
        <w:rPr>
          <w:rFonts w:cs="Times New Roman"/>
          <w:szCs w:val="24"/>
        </w:rPr>
        <w:t xml:space="preserve">, 1–10. </w:t>
      </w:r>
      <w:hyperlink r:id="rId13" w:history="1">
        <w:r w:rsidRPr="00C02FB2">
          <w:rPr>
            <w:rStyle w:val="Hyperlink"/>
            <w:rFonts w:cs="Times New Roman"/>
            <w:szCs w:val="24"/>
          </w:rPr>
          <w:t>https://doi.org/10.1080/15376516.2019.1566424</w:t>
        </w:r>
      </w:hyperlink>
    </w:p>
    <w:p w14:paraId="41A51CE6" w14:textId="6B9CB3B3" w:rsidR="0032008A" w:rsidRPr="00C02FB2" w:rsidRDefault="00834342" w:rsidP="00C02FB2">
      <w:pPr>
        <w:pStyle w:val="ListParagraph"/>
        <w:numPr>
          <w:ilvl w:val="0"/>
          <w:numId w:val="1"/>
        </w:numPr>
        <w:rPr>
          <w:rFonts w:cs="Times New Roman"/>
          <w:szCs w:val="24"/>
        </w:rPr>
      </w:pPr>
      <w:r w:rsidRPr="00C02FB2">
        <w:rPr>
          <w:rFonts w:cs="Times New Roman"/>
          <w:szCs w:val="24"/>
        </w:rPr>
        <w:t xml:space="preserve">Zor, F., </w:t>
      </w:r>
      <w:proofErr w:type="spellStart"/>
      <w:r w:rsidRPr="00C02FB2">
        <w:rPr>
          <w:rFonts w:cs="Times New Roman"/>
          <w:szCs w:val="24"/>
        </w:rPr>
        <w:t>Selek</w:t>
      </w:r>
      <w:proofErr w:type="spellEnd"/>
      <w:r w:rsidRPr="00C02FB2">
        <w:rPr>
          <w:rFonts w:cs="Times New Roman"/>
          <w:szCs w:val="24"/>
        </w:rPr>
        <w:t>, F. N., Orlando, G., &amp; Williams, D. F. (2019). Biocompatibility in regenerative nanomedicine. </w:t>
      </w:r>
      <w:r w:rsidRPr="00C02FB2">
        <w:rPr>
          <w:rFonts w:cs="Times New Roman"/>
          <w:i/>
          <w:iCs/>
          <w:szCs w:val="24"/>
        </w:rPr>
        <w:t>Nanomedicine</w:t>
      </w:r>
      <w:r w:rsidRPr="00C02FB2">
        <w:rPr>
          <w:rFonts w:cs="Times New Roman"/>
          <w:szCs w:val="24"/>
        </w:rPr>
        <w:t>, </w:t>
      </w:r>
      <w:r w:rsidRPr="00C02FB2">
        <w:rPr>
          <w:rFonts w:cs="Times New Roman"/>
          <w:i/>
          <w:iCs/>
          <w:szCs w:val="24"/>
        </w:rPr>
        <w:t>14</w:t>
      </w:r>
      <w:r w:rsidRPr="00C02FB2">
        <w:rPr>
          <w:rFonts w:cs="Times New Roman"/>
          <w:szCs w:val="24"/>
        </w:rPr>
        <w:t xml:space="preserve">(20), 2763–2775. </w:t>
      </w:r>
      <w:hyperlink r:id="rId14" w:history="1">
        <w:r w:rsidRPr="00C02FB2">
          <w:rPr>
            <w:rStyle w:val="Hyperlink"/>
            <w:rFonts w:cs="Times New Roman"/>
            <w:szCs w:val="24"/>
          </w:rPr>
          <w:t>https://doi.org/10.2217/nnm-2019-0140</w:t>
        </w:r>
      </w:hyperlink>
    </w:p>
    <w:sectPr w:rsidR="0032008A" w:rsidRPr="00C02FB2">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C144C" w14:textId="77777777" w:rsidR="003C060D" w:rsidRDefault="003C060D" w:rsidP="00F97E51">
      <w:pPr>
        <w:spacing w:after="0" w:line="240" w:lineRule="auto"/>
      </w:pPr>
      <w:r>
        <w:separator/>
      </w:r>
    </w:p>
  </w:endnote>
  <w:endnote w:type="continuationSeparator" w:id="0">
    <w:p w14:paraId="674047AD" w14:textId="77777777" w:rsidR="003C060D" w:rsidRDefault="003C060D" w:rsidP="00F97E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87748" w14:textId="77777777" w:rsidR="003C060D" w:rsidRDefault="003C060D" w:rsidP="00F97E51">
      <w:pPr>
        <w:spacing w:after="0" w:line="240" w:lineRule="auto"/>
      </w:pPr>
      <w:r>
        <w:separator/>
      </w:r>
    </w:p>
  </w:footnote>
  <w:footnote w:type="continuationSeparator" w:id="0">
    <w:p w14:paraId="2F025641" w14:textId="77777777" w:rsidR="003C060D" w:rsidRDefault="003C060D" w:rsidP="00F97E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7893457"/>
      <w:docPartObj>
        <w:docPartGallery w:val="Page Numbers (Top of Page)"/>
        <w:docPartUnique/>
      </w:docPartObj>
    </w:sdtPr>
    <w:sdtEndPr>
      <w:rPr>
        <w:noProof/>
      </w:rPr>
    </w:sdtEndPr>
    <w:sdtContent>
      <w:p w14:paraId="350440FE" w14:textId="0D921B57" w:rsidR="00F97E51" w:rsidRDefault="00F97E5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A74244F" w14:textId="77777777" w:rsidR="00F97E51" w:rsidRDefault="00F97E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31E02"/>
    <w:multiLevelType w:val="hybridMultilevel"/>
    <w:tmpl w:val="BE4E6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6179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5D3"/>
    <w:rsid w:val="0001723F"/>
    <w:rsid w:val="00026C59"/>
    <w:rsid w:val="00057506"/>
    <w:rsid w:val="00063B6B"/>
    <w:rsid w:val="000A7C35"/>
    <w:rsid w:val="000E5058"/>
    <w:rsid w:val="000F2CD1"/>
    <w:rsid w:val="00102FDE"/>
    <w:rsid w:val="001354A9"/>
    <w:rsid w:val="0013670F"/>
    <w:rsid w:val="001477FB"/>
    <w:rsid w:val="001A3321"/>
    <w:rsid w:val="00215BEA"/>
    <w:rsid w:val="002A4CF5"/>
    <w:rsid w:val="002F740D"/>
    <w:rsid w:val="00305FE3"/>
    <w:rsid w:val="0032008A"/>
    <w:rsid w:val="00331A41"/>
    <w:rsid w:val="00346266"/>
    <w:rsid w:val="00391F3B"/>
    <w:rsid w:val="003B5747"/>
    <w:rsid w:val="003B61F2"/>
    <w:rsid w:val="003C060D"/>
    <w:rsid w:val="003C323C"/>
    <w:rsid w:val="003D7D41"/>
    <w:rsid w:val="00407B93"/>
    <w:rsid w:val="00440A0F"/>
    <w:rsid w:val="004C25FC"/>
    <w:rsid w:val="004D4B30"/>
    <w:rsid w:val="00515AF2"/>
    <w:rsid w:val="00517FA4"/>
    <w:rsid w:val="0056148A"/>
    <w:rsid w:val="00563B7A"/>
    <w:rsid w:val="005910AE"/>
    <w:rsid w:val="005A58D3"/>
    <w:rsid w:val="005E6D70"/>
    <w:rsid w:val="00662AFA"/>
    <w:rsid w:val="0069597E"/>
    <w:rsid w:val="006E083E"/>
    <w:rsid w:val="007F7490"/>
    <w:rsid w:val="008060F2"/>
    <w:rsid w:val="00834342"/>
    <w:rsid w:val="008F644F"/>
    <w:rsid w:val="0092559F"/>
    <w:rsid w:val="009425D3"/>
    <w:rsid w:val="009A0D31"/>
    <w:rsid w:val="009A4CAD"/>
    <w:rsid w:val="009C0438"/>
    <w:rsid w:val="009C694F"/>
    <w:rsid w:val="009E27D6"/>
    <w:rsid w:val="009F3617"/>
    <w:rsid w:val="00A1175B"/>
    <w:rsid w:val="00A12DC4"/>
    <w:rsid w:val="00A66089"/>
    <w:rsid w:val="00A86634"/>
    <w:rsid w:val="00A95114"/>
    <w:rsid w:val="00AF6C7C"/>
    <w:rsid w:val="00BA6E40"/>
    <w:rsid w:val="00BF5B63"/>
    <w:rsid w:val="00C02FB2"/>
    <w:rsid w:val="00C06793"/>
    <w:rsid w:val="00C30088"/>
    <w:rsid w:val="00C31835"/>
    <w:rsid w:val="00CC7790"/>
    <w:rsid w:val="00D10220"/>
    <w:rsid w:val="00D13EA9"/>
    <w:rsid w:val="00D56226"/>
    <w:rsid w:val="00D573C1"/>
    <w:rsid w:val="00DB6F08"/>
    <w:rsid w:val="00DB7BF0"/>
    <w:rsid w:val="00DC4378"/>
    <w:rsid w:val="00E3111E"/>
    <w:rsid w:val="00E37F46"/>
    <w:rsid w:val="00E450E8"/>
    <w:rsid w:val="00E47D09"/>
    <w:rsid w:val="00E73565"/>
    <w:rsid w:val="00E74B55"/>
    <w:rsid w:val="00EA5B94"/>
    <w:rsid w:val="00F17C8F"/>
    <w:rsid w:val="00F428E6"/>
    <w:rsid w:val="00F97E51"/>
    <w:rsid w:val="00FE0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7430F8"/>
  <w15:chartTrackingRefBased/>
  <w15:docId w15:val="{48D524D9-D4FD-4C6D-8026-766778D89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0F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17C8F"/>
    <w:rPr>
      <w:rFonts w:cs="Times New Roman"/>
      <w:szCs w:val="24"/>
    </w:rPr>
  </w:style>
  <w:style w:type="character" w:styleId="Hyperlink">
    <w:name w:val="Hyperlink"/>
    <w:basedOn w:val="DefaultParagraphFont"/>
    <w:uiPriority w:val="99"/>
    <w:unhideWhenUsed/>
    <w:rsid w:val="00E3111E"/>
    <w:rPr>
      <w:color w:val="0000FF"/>
      <w:u w:val="single"/>
    </w:rPr>
  </w:style>
  <w:style w:type="character" w:styleId="UnresolvedMention">
    <w:name w:val="Unresolved Mention"/>
    <w:basedOn w:val="DefaultParagraphFont"/>
    <w:uiPriority w:val="99"/>
    <w:semiHidden/>
    <w:unhideWhenUsed/>
    <w:rsid w:val="00A66089"/>
    <w:rPr>
      <w:color w:val="605E5C"/>
      <w:shd w:val="clear" w:color="auto" w:fill="E1DFDD"/>
    </w:rPr>
  </w:style>
  <w:style w:type="paragraph" w:styleId="Header">
    <w:name w:val="header"/>
    <w:basedOn w:val="Normal"/>
    <w:link w:val="HeaderChar"/>
    <w:uiPriority w:val="99"/>
    <w:unhideWhenUsed/>
    <w:rsid w:val="00F97E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7E51"/>
  </w:style>
  <w:style w:type="paragraph" w:styleId="Footer">
    <w:name w:val="footer"/>
    <w:basedOn w:val="Normal"/>
    <w:link w:val="FooterChar"/>
    <w:uiPriority w:val="99"/>
    <w:unhideWhenUsed/>
    <w:rsid w:val="00F97E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7E51"/>
  </w:style>
  <w:style w:type="paragraph" w:styleId="ListParagraph">
    <w:name w:val="List Paragraph"/>
    <w:basedOn w:val="Normal"/>
    <w:uiPriority w:val="34"/>
    <w:qFormat/>
    <w:rsid w:val="00C02F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09123">
      <w:bodyDiv w:val="1"/>
      <w:marLeft w:val="0"/>
      <w:marRight w:val="0"/>
      <w:marTop w:val="0"/>
      <w:marBottom w:val="0"/>
      <w:divBdr>
        <w:top w:val="none" w:sz="0" w:space="0" w:color="auto"/>
        <w:left w:val="none" w:sz="0" w:space="0" w:color="auto"/>
        <w:bottom w:val="none" w:sz="0" w:space="0" w:color="auto"/>
        <w:right w:val="none" w:sz="0" w:space="0" w:color="auto"/>
      </w:divBdr>
    </w:div>
    <w:div w:id="215551348">
      <w:bodyDiv w:val="1"/>
      <w:marLeft w:val="0"/>
      <w:marRight w:val="0"/>
      <w:marTop w:val="0"/>
      <w:marBottom w:val="0"/>
      <w:divBdr>
        <w:top w:val="none" w:sz="0" w:space="0" w:color="auto"/>
        <w:left w:val="none" w:sz="0" w:space="0" w:color="auto"/>
        <w:bottom w:val="none" w:sz="0" w:space="0" w:color="auto"/>
        <w:right w:val="none" w:sz="0" w:space="0" w:color="auto"/>
      </w:divBdr>
    </w:div>
    <w:div w:id="431819860">
      <w:bodyDiv w:val="1"/>
      <w:marLeft w:val="0"/>
      <w:marRight w:val="0"/>
      <w:marTop w:val="0"/>
      <w:marBottom w:val="0"/>
      <w:divBdr>
        <w:top w:val="none" w:sz="0" w:space="0" w:color="auto"/>
        <w:left w:val="none" w:sz="0" w:space="0" w:color="auto"/>
        <w:bottom w:val="none" w:sz="0" w:space="0" w:color="auto"/>
        <w:right w:val="none" w:sz="0" w:space="0" w:color="auto"/>
      </w:divBdr>
    </w:div>
    <w:div w:id="464936597">
      <w:bodyDiv w:val="1"/>
      <w:marLeft w:val="0"/>
      <w:marRight w:val="0"/>
      <w:marTop w:val="0"/>
      <w:marBottom w:val="0"/>
      <w:divBdr>
        <w:top w:val="none" w:sz="0" w:space="0" w:color="auto"/>
        <w:left w:val="none" w:sz="0" w:space="0" w:color="auto"/>
        <w:bottom w:val="none" w:sz="0" w:space="0" w:color="auto"/>
        <w:right w:val="none" w:sz="0" w:space="0" w:color="auto"/>
      </w:divBdr>
    </w:div>
    <w:div w:id="486945856">
      <w:bodyDiv w:val="1"/>
      <w:marLeft w:val="0"/>
      <w:marRight w:val="0"/>
      <w:marTop w:val="0"/>
      <w:marBottom w:val="0"/>
      <w:divBdr>
        <w:top w:val="none" w:sz="0" w:space="0" w:color="auto"/>
        <w:left w:val="none" w:sz="0" w:space="0" w:color="auto"/>
        <w:bottom w:val="none" w:sz="0" w:space="0" w:color="auto"/>
        <w:right w:val="none" w:sz="0" w:space="0" w:color="auto"/>
      </w:divBdr>
    </w:div>
    <w:div w:id="527839045">
      <w:bodyDiv w:val="1"/>
      <w:marLeft w:val="0"/>
      <w:marRight w:val="0"/>
      <w:marTop w:val="0"/>
      <w:marBottom w:val="0"/>
      <w:divBdr>
        <w:top w:val="none" w:sz="0" w:space="0" w:color="auto"/>
        <w:left w:val="none" w:sz="0" w:space="0" w:color="auto"/>
        <w:bottom w:val="none" w:sz="0" w:space="0" w:color="auto"/>
        <w:right w:val="none" w:sz="0" w:space="0" w:color="auto"/>
      </w:divBdr>
    </w:div>
    <w:div w:id="597521614">
      <w:bodyDiv w:val="1"/>
      <w:marLeft w:val="0"/>
      <w:marRight w:val="0"/>
      <w:marTop w:val="0"/>
      <w:marBottom w:val="0"/>
      <w:divBdr>
        <w:top w:val="none" w:sz="0" w:space="0" w:color="auto"/>
        <w:left w:val="none" w:sz="0" w:space="0" w:color="auto"/>
        <w:bottom w:val="none" w:sz="0" w:space="0" w:color="auto"/>
        <w:right w:val="none" w:sz="0" w:space="0" w:color="auto"/>
      </w:divBdr>
    </w:div>
    <w:div w:id="779229261">
      <w:bodyDiv w:val="1"/>
      <w:marLeft w:val="0"/>
      <w:marRight w:val="0"/>
      <w:marTop w:val="0"/>
      <w:marBottom w:val="0"/>
      <w:divBdr>
        <w:top w:val="none" w:sz="0" w:space="0" w:color="auto"/>
        <w:left w:val="none" w:sz="0" w:space="0" w:color="auto"/>
        <w:bottom w:val="none" w:sz="0" w:space="0" w:color="auto"/>
        <w:right w:val="none" w:sz="0" w:space="0" w:color="auto"/>
      </w:divBdr>
    </w:div>
    <w:div w:id="820384671">
      <w:bodyDiv w:val="1"/>
      <w:marLeft w:val="0"/>
      <w:marRight w:val="0"/>
      <w:marTop w:val="0"/>
      <w:marBottom w:val="0"/>
      <w:divBdr>
        <w:top w:val="none" w:sz="0" w:space="0" w:color="auto"/>
        <w:left w:val="none" w:sz="0" w:space="0" w:color="auto"/>
        <w:bottom w:val="none" w:sz="0" w:space="0" w:color="auto"/>
        <w:right w:val="none" w:sz="0" w:space="0" w:color="auto"/>
      </w:divBdr>
    </w:div>
    <w:div w:id="920061184">
      <w:bodyDiv w:val="1"/>
      <w:marLeft w:val="0"/>
      <w:marRight w:val="0"/>
      <w:marTop w:val="0"/>
      <w:marBottom w:val="0"/>
      <w:divBdr>
        <w:top w:val="none" w:sz="0" w:space="0" w:color="auto"/>
        <w:left w:val="none" w:sz="0" w:space="0" w:color="auto"/>
        <w:bottom w:val="none" w:sz="0" w:space="0" w:color="auto"/>
        <w:right w:val="none" w:sz="0" w:space="0" w:color="auto"/>
      </w:divBdr>
    </w:div>
    <w:div w:id="944119544">
      <w:bodyDiv w:val="1"/>
      <w:marLeft w:val="0"/>
      <w:marRight w:val="0"/>
      <w:marTop w:val="0"/>
      <w:marBottom w:val="0"/>
      <w:divBdr>
        <w:top w:val="none" w:sz="0" w:space="0" w:color="auto"/>
        <w:left w:val="none" w:sz="0" w:space="0" w:color="auto"/>
        <w:bottom w:val="none" w:sz="0" w:space="0" w:color="auto"/>
        <w:right w:val="none" w:sz="0" w:space="0" w:color="auto"/>
      </w:divBdr>
    </w:div>
    <w:div w:id="964581056">
      <w:bodyDiv w:val="1"/>
      <w:marLeft w:val="0"/>
      <w:marRight w:val="0"/>
      <w:marTop w:val="0"/>
      <w:marBottom w:val="0"/>
      <w:divBdr>
        <w:top w:val="none" w:sz="0" w:space="0" w:color="auto"/>
        <w:left w:val="none" w:sz="0" w:space="0" w:color="auto"/>
        <w:bottom w:val="none" w:sz="0" w:space="0" w:color="auto"/>
        <w:right w:val="none" w:sz="0" w:space="0" w:color="auto"/>
      </w:divBdr>
    </w:div>
    <w:div w:id="1034573149">
      <w:bodyDiv w:val="1"/>
      <w:marLeft w:val="0"/>
      <w:marRight w:val="0"/>
      <w:marTop w:val="0"/>
      <w:marBottom w:val="0"/>
      <w:divBdr>
        <w:top w:val="none" w:sz="0" w:space="0" w:color="auto"/>
        <w:left w:val="none" w:sz="0" w:space="0" w:color="auto"/>
        <w:bottom w:val="none" w:sz="0" w:space="0" w:color="auto"/>
        <w:right w:val="none" w:sz="0" w:space="0" w:color="auto"/>
      </w:divBdr>
    </w:div>
    <w:div w:id="1110586235">
      <w:bodyDiv w:val="1"/>
      <w:marLeft w:val="0"/>
      <w:marRight w:val="0"/>
      <w:marTop w:val="0"/>
      <w:marBottom w:val="0"/>
      <w:divBdr>
        <w:top w:val="none" w:sz="0" w:space="0" w:color="auto"/>
        <w:left w:val="none" w:sz="0" w:space="0" w:color="auto"/>
        <w:bottom w:val="none" w:sz="0" w:space="0" w:color="auto"/>
        <w:right w:val="none" w:sz="0" w:space="0" w:color="auto"/>
      </w:divBdr>
    </w:div>
    <w:div w:id="1262840934">
      <w:bodyDiv w:val="1"/>
      <w:marLeft w:val="0"/>
      <w:marRight w:val="0"/>
      <w:marTop w:val="0"/>
      <w:marBottom w:val="0"/>
      <w:divBdr>
        <w:top w:val="none" w:sz="0" w:space="0" w:color="auto"/>
        <w:left w:val="none" w:sz="0" w:space="0" w:color="auto"/>
        <w:bottom w:val="none" w:sz="0" w:space="0" w:color="auto"/>
        <w:right w:val="none" w:sz="0" w:space="0" w:color="auto"/>
      </w:divBdr>
    </w:div>
    <w:div w:id="1303657300">
      <w:bodyDiv w:val="1"/>
      <w:marLeft w:val="0"/>
      <w:marRight w:val="0"/>
      <w:marTop w:val="0"/>
      <w:marBottom w:val="0"/>
      <w:divBdr>
        <w:top w:val="none" w:sz="0" w:space="0" w:color="auto"/>
        <w:left w:val="none" w:sz="0" w:space="0" w:color="auto"/>
        <w:bottom w:val="none" w:sz="0" w:space="0" w:color="auto"/>
        <w:right w:val="none" w:sz="0" w:space="0" w:color="auto"/>
      </w:divBdr>
    </w:div>
    <w:div w:id="1334989460">
      <w:bodyDiv w:val="1"/>
      <w:marLeft w:val="0"/>
      <w:marRight w:val="0"/>
      <w:marTop w:val="0"/>
      <w:marBottom w:val="0"/>
      <w:divBdr>
        <w:top w:val="none" w:sz="0" w:space="0" w:color="auto"/>
        <w:left w:val="none" w:sz="0" w:space="0" w:color="auto"/>
        <w:bottom w:val="none" w:sz="0" w:space="0" w:color="auto"/>
        <w:right w:val="none" w:sz="0" w:space="0" w:color="auto"/>
      </w:divBdr>
    </w:div>
    <w:div w:id="1422217162">
      <w:bodyDiv w:val="1"/>
      <w:marLeft w:val="0"/>
      <w:marRight w:val="0"/>
      <w:marTop w:val="0"/>
      <w:marBottom w:val="0"/>
      <w:divBdr>
        <w:top w:val="none" w:sz="0" w:space="0" w:color="auto"/>
        <w:left w:val="none" w:sz="0" w:space="0" w:color="auto"/>
        <w:bottom w:val="none" w:sz="0" w:space="0" w:color="auto"/>
        <w:right w:val="none" w:sz="0" w:space="0" w:color="auto"/>
      </w:divBdr>
    </w:div>
    <w:div w:id="1472554620">
      <w:bodyDiv w:val="1"/>
      <w:marLeft w:val="0"/>
      <w:marRight w:val="0"/>
      <w:marTop w:val="0"/>
      <w:marBottom w:val="0"/>
      <w:divBdr>
        <w:top w:val="none" w:sz="0" w:space="0" w:color="auto"/>
        <w:left w:val="none" w:sz="0" w:space="0" w:color="auto"/>
        <w:bottom w:val="none" w:sz="0" w:space="0" w:color="auto"/>
        <w:right w:val="none" w:sz="0" w:space="0" w:color="auto"/>
      </w:divBdr>
    </w:div>
    <w:div w:id="1491091316">
      <w:bodyDiv w:val="1"/>
      <w:marLeft w:val="0"/>
      <w:marRight w:val="0"/>
      <w:marTop w:val="0"/>
      <w:marBottom w:val="0"/>
      <w:divBdr>
        <w:top w:val="none" w:sz="0" w:space="0" w:color="auto"/>
        <w:left w:val="none" w:sz="0" w:space="0" w:color="auto"/>
        <w:bottom w:val="none" w:sz="0" w:space="0" w:color="auto"/>
        <w:right w:val="none" w:sz="0" w:space="0" w:color="auto"/>
      </w:divBdr>
    </w:div>
    <w:div w:id="1596554752">
      <w:bodyDiv w:val="1"/>
      <w:marLeft w:val="0"/>
      <w:marRight w:val="0"/>
      <w:marTop w:val="0"/>
      <w:marBottom w:val="0"/>
      <w:divBdr>
        <w:top w:val="none" w:sz="0" w:space="0" w:color="auto"/>
        <w:left w:val="none" w:sz="0" w:space="0" w:color="auto"/>
        <w:bottom w:val="none" w:sz="0" w:space="0" w:color="auto"/>
        <w:right w:val="none" w:sz="0" w:space="0" w:color="auto"/>
      </w:divBdr>
    </w:div>
    <w:div w:id="1636837908">
      <w:bodyDiv w:val="1"/>
      <w:marLeft w:val="0"/>
      <w:marRight w:val="0"/>
      <w:marTop w:val="0"/>
      <w:marBottom w:val="0"/>
      <w:divBdr>
        <w:top w:val="none" w:sz="0" w:space="0" w:color="auto"/>
        <w:left w:val="none" w:sz="0" w:space="0" w:color="auto"/>
        <w:bottom w:val="none" w:sz="0" w:space="0" w:color="auto"/>
        <w:right w:val="none" w:sz="0" w:space="0" w:color="auto"/>
      </w:divBdr>
    </w:div>
    <w:div w:id="1724325562">
      <w:bodyDiv w:val="1"/>
      <w:marLeft w:val="0"/>
      <w:marRight w:val="0"/>
      <w:marTop w:val="0"/>
      <w:marBottom w:val="0"/>
      <w:divBdr>
        <w:top w:val="none" w:sz="0" w:space="0" w:color="auto"/>
        <w:left w:val="none" w:sz="0" w:space="0" w:color="auto"/>
        <w:bottom w:val="none" w:sz="0" w:space="0" w:color="auto"/>
        <w:right w:val="none" w:sz="0" w:space="0" w:color="auto"/>
      </w:divBdr>
    </w:div>
    <w:div w:id="1889145035">
      <w:bodyDiv w:val="1"/>
      <w:marLeft w:val="0"/>
      <w:marRight w:val="0"/>
      <w:marTop w:val="0"/>
      <w:marBottom w:val="0"/>
      <w:divBdr>
        <w:top w:val="none" w:sz="0" w:space="0" w:color="auto"/>
        <w:left w:val="none" w:sz="0" w:space="0" w:color="auto"/>
        <w:bottom w:val="none" w:sz="0" w:space="0" w:color="auto"/>
        <w:right w:val="none" w:sz="0" w:space="0" w:color="auto"/>
      </w:divBdr>
    </w:div>
    <w:div w:id="1917665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1142/2523-2754-1201-2024-188" TargetMode="External"/><Relationship Id="rId13" Type="http://schemas.openxmlformats.org/officeDocument/2006/relationships/hyperlink" Target="https://doi.org/10.1080/15376516.2019.1566424" TargetMode="External"/><Relationship Id="rId3" Type="http://schemas.openxmlformats.org/officeDocument/2006/relationships/settings" Target="settings.xml"/><Relationship Id="rId7" Type="http://schemas.openxmlformats.org/officeDocument/2006/relationships/hyperlink" Target="https://doi.org/10.3390/ma16216881" TargetMode="External"/><Relationship Id="rId12" Type="http://schemas.openxmlformats.org/officeDocument/2006/relationships/hyperlink" Target="https://doi.org/10.3389/fmolb.2020.587012"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80/17434440.2022.2132146"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doi.org/10.3109/10731197909117581" TargetMode="External"/><Relationship Id="rId4" Type="http://schemas.openxmlformats.org/officeDocument/2006/relationships/webSettings" Target="webSettings.xml"/><Relationship Id="rId9" Type="http://schemas.openxmlformats.org/officeDocument/2006/relationships/hyperlink" Target="https://doi.org/10.1080/14686996.2022.2106156" TargetMode="External"/><Relationship Id="rId14" Type="http://schemas.openxmlformats.org/officeDocument/2006/relationships/hyperlink" Target="https://doi.org/10.2217/nnm-2019-01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3158</Words>
  <Characters>18003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Chigozirim Amaefule</dc:creator>
  <cp:keywords/>
  <dc:description/>
  <cp:lastModifiedBy>Chigozirim Amaefule</cp:lastModifiedBy>
  <cp:revision>18</cp:revision>
  <dcterms:created xsi:type="dcterms:W3CDTF">2025-03-31T20:25:00Z</dcterms:created>
  <dcterms:modified xsi:type="dcterms:W3CDTF">2025-03-31T20:31:00Z</dcterms:modified>
</cp:coreProperties>
</file>