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neomapper_icon.png"/>
                    <pic:cNvPicPr/>
                  </pic:nvPicPr>
                  <pic:blipFill>
                    <a:blip r:embed="rId10"/>
                    <a:stretch>
                      <a:fillRect/>
                    </a:stretch>
                  </pic:blipFill>
                  <pic:spPr>
                    <a:xfrm>
                      <a:off x="0" y="0"/>
                      <a:ext cx="1417320" cy="1417320"/>
                    </a:xfrm>
                    <a:prstGeom prst="rect"/>
                  </pic:spPr>
                </pic:pic>
              </a:graphicData>
            </a:graphic>
          </wp:inline>
        </w:drawing>
      </w:r>
    </w:p>
    <w:p>
      <w:pPr>
        <w:pStyle w:val="Title"/>
        <w:jc w:val="center"/>
        <w:pBdr>
          <w:top w:val="nil"/>
          <w:left w:val="nil"/>
          <w:bottom w:val="nil"/>
          <w:right w:val="nil"/>
          <w:between w:val="nil"/>
          <w:bar w:val="nil"/>
        </w:pBdr>
      </w:pPr>
      <w:r>
        <w:rPr>
          <w:b w:val="0"/>
          <w:i w:val="0"/>
        </w:rPr>
        <w:t>NEOMapper User Manual</w:t>
      </w:r>
    </w:p>
    <w:p>
      <w:pPr>
        <w:pStyle w:val="Subtitle"/>
        <w:jc w:val="center"/>
      </w:pPr>
      <w:r>
        <w:rPr>
          <w:b w:val="0"/>
          <w:i w:val="0"/>
        </w:rPr>
        <w:t>Astronomical consultation and observational planning</w:t>
      </w:r>
    </w:p>
    <w:p>
      <w:pPr>
        <w:spacing w:before="320"/>
        <w:jc w:val="center"/>
      </w:pPr>
      <w:r>
        <w:rPr>
          <w:b w:val="0"/>
          <w:i w:val="0"/>
        </w:rPr>
        <w:t>Version 4.2.0 Windows September 2026</w:t>
      </w:r>
    </w:p>
    <w:p>
      <w:pPr>
        <w:spacing w:after="480"/>
      </w:pPr>
    </w:p>
    <w:p>
      <w:pPr>
        <w:jc w:val="center"/>
      </w:pPr>
      <w:r>
        <w:rPr>
          <w:b w:val="0"/>
          <w:i w:val="0"/>
        </w:rPr>
        <w:t>This manual follows the current flow of the NEOMapper: selecting an object, consulting its data, evaluating altitude and orbital events, configuring maps, generating animations and exporting reports.</w:t>
      </w:r>
    </w:p>
    <w:p>
      <w:pPr>
        <w:spacing w:after="360"/>
      </w:pPr>
    </w:p>
    <w:p>
      <w:pPr>
        <w:jc w:val="center"/>
      </w:pPr>
      <w:r>
        <w:rPr>
          <w:b w:val="0"/>
          <w:i w:val="0"/>
        </w:rPr>
        <w:t>Responsible scientific use. The NEOMapper helps planning and dissemination. Confirm critical observations with official sources and do not use the program as the sole system for security decisions.</w:t>
      </w:r>
    </w:p>
    <w:p>
      <w:r>
        <w:br w:type="page"/>
      </w:r>
    </w:p>
    <w:p>
      <w:pPr>
        <w:pStyle w:val="Heading1"/>
        <w:keepNext/>
      </w:pPr>
      <w:r>
        <w:rPr>
          <w:b w:val="0"/>
          <w:i w:val="0"/>
        </w:rPr>
        <w:t>Content and workflow</w:t>
      </w:r>
    </w:p>
    <w:p>
      <w:r>
        <w:rPr>
          <w:b w:val="0"/>
          <w:i w:val="0"/>
        </w:rPr>
        <w:t>The program organizes work into six tabs, always visible in the side column.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427"/>
        <w:gridCol w:w="3427"/>
      </w:tblGrid>
      <w:tr>
        <w:trPr>
          <w:tblHeader/>
        </w:trPr>
        <w:tc>
          <w:tcPr>
            <w:tcW w:type="dxa" w:w="936"/>
            <w:vAlign w:val="center"/>
            <w:shd w:fill="174A7E"/>
            <w:tcMar>
              <w:top w:w="110" w:type="dxa"/>
              <w:start w:w="110" w:type="dxa"/>
              <w:bottom w:w="110" w:type="dxa"/>
              <w:end w:w="110" w:type="dxa"/>
            </w:tcMar>
          </w:tcPr>
          <w:p>
            <w:pPr>
              <w:jc w:val="center"/>
            </w:pPr>
            <w:r>
              <w:rPr>
                <w:b/>
                <w:i w:val="0"/>
              </w:rPr>
              <w:t>Order</w:t>
            </w:r>
          </w:p>
        </w:tc>
        <w:tc>
          <w:tcPr>
            <w:tcW w:type="dxa" w:w="1800"/>
            <w:vAlign w:val="center"/>
            <w:shd w:fill="174A7E"/>
            <w:tcMar>
              <w:top w:w="110" w:type="dxa"/>
              <w:start w:w="110" w:type="dxa"/>
              <w:bottom w:w="110" w:type="dxa"/>
              <w:end w:w="110" w:type="dxa"/>
            </w:tcMar>
          </w:tcPr>
          <w:p>
            <w:pPr>
              <w:jc w:val="center"/>
            </w:pPr>
            <w:r>
              <w:rPr>
                <w:b/>
                <w:i w:val="0"/>
              </w:rPr>
              <w:t>Tab</w:t>
            </w:r>
          </w:p>
        </w:tc>
        <w:tc>
          <w:tcPr>
            <w:tcW w:type="dxa" w:w="7344"/>
            <w:vAlign w:val="center"/>
            <w:shd w:fill="174A7E"/>
            <w:tcMar>
              <w:top w:w="110" w:type="dxa"/>
              <w:start w:w="110" w:type="dxa"/>
              <w:bottom w:w="110" w:type="dxa"/>
              <w:end w:w="110" w:type="dxa"/>
            </w:tcMar>
          </w:tcPr>
          <w:p>
            <w:pPr>
              <w:jc w:val="center"/>
            </w:pPr>
            <w:r>
              <w:rPr>
                <w:b/>
                <w:i w:val="0"/>
              </w:rPr>
              <w:t>Purpose</w:t>
            </w:r>
          </w:p>
        </w:tc>
      </w:tr>
      <w:tr>
        <w:tc>
          <w:tcPr>
            <w:tcW w:type="dxa" w:w="936"/>
            <w:vAlign w:val="center"/>
            <w:tcMar>
              <w:top w:w="110" w:type="dxa"/>
              <w:start w:w="110" w:type="dxa"/>
              <w:bottom w:w="110" w:type="dxa"/>
              <w:end w:w="110" w:type="dxa"/>
            </w:tcMar>
          </w:tcPr>
          <w:p>
            <w:pPr>
              <w:spacing w:after="0"/>
            </w:pPr>
            <w:r>
              <w:rPr>
                <w:b w:val="0"/>
                <w:i w:val="0"/>
              </w:rPr>
              <w:t>1</w:t>
            </w:r>
          </w:p>
        </w:tc>
        <w:tc>
          <w:tcPr>
            <w:tcW w:type="dxa" w:w="1800"/>
            <w:vAlign w:val="center"/>
            <w:tcMar>
              <w:top w:w="110" w:type="dxa"/>
              <w:start w:w="110" w:type="dxa"/>
              <w:bottom w:w="110" w:type="dxa"/>
              <w:end w:w="110" w:type="dxa"/>
            </w:tcMar>
          </w:tcPr>
          <w:p>
            <w:pPr>
              <w:spacing w:after="0"/>
            </w:pPr>
            <w:r>
              <w:rPr>
                <w:b w:val="0"/>
                <w:i w:val="0"/>
              </w:rPr>
              <w:t>Object</w:t>
            </w:r>
          </w:p>
        </w:tc>
        <w:tc>
          <w:tcPr>
            <w:tcW w:type="dxa" w:w="7344"/>
            <w:vAlign w:val="center"/>
            <w:tcMar>
              <w:top w:w="110" w:type="dxa"/>
              <w:start w:w="110" w:type="dxa"/>
              <w:bottom w:w="110" w:type="dxa"/>
              <w:end w:w="110" w:type="dxa"/>
            </w:tcMar>
          </w:tcPr>
          <w:p>
            <w:pPr>
              <w:spacing w:after="0"/>
            </w:pPr>
            <w:r>
              <w:rPr>
                <w:b w:val="0"/>
                <w:i w:val="0"/>
              </w:rPr>
              <w:t>Enter designation and date, search, use favorites and plot the Solar System.</w:t>
            </w:r>
          </w:p>
        </w:tc>
      </w:tr>
      <w:tr>
        <w:tc>
          <w:tcPr>
            <w:tcW w:type="dxa" w:w="936"/>
            <w:vAlign w:val="center"/>
            <w:tcMar>
              <w:top w:w="110" w:type="dxa"/>
              <w:start w:w="110" w:type="dxa"/>
              <w:bottom w:w="110" w:type="dxa"/>
              <w:end w:w="110" w:type="dxa"/>
            </w:tcMar>
            <w:shd w:fill="EEF5FB"/>
          </w:tcPr>
          <w:p>
            <w:pPr>
              <w:spacing w:after="0"/>
            </w:pPr>
            <w:r>
              <w:rPr>
                <w:b w:val="0"/>
                <w:i w:val="0"/>
              </w:rPr>
              <w:t>2</w:t>
            </w:r>
          </w:p>
        </w:tc>
        <w:tc>
          <w:tcPr>
            <w:tcW w:type="dxa" w:w="1800"/>
            <w:vAlign w:val="center"/>
            <w:tcMar>
              <w:top w:w="110" w:type="dxa"/>
              <w:start w:w="110" w:type="dxa"/>
              <w:bottom w:w="110" w:type="dxa"/>
              <w:end w:w="110" w:type="dxa"/>
            </w:tcMar>
            <w:shd w:fill="EEF5FB"/>
          </w:tcPr>
          <w:p>
            <w:pPr>
              <w:spacing w:after="0"/>
            </w:pPr>
            <w:r>
              <w:rPr>
                <w:b w:val="0"/>
                <w:i w:val="0"/>
              </w:rPr>
              <w:t>Observing Information</w:t>
            </w:r>
          </w:p>
        </w:tc>
        <w:tc>
          <w:tcPr>
            <w:tcW w:type="dxa" w:w="7344"/>
            <w:vAlign w:val="center"/>
            <w:tcMar>
              <w:top w:w="110" w:type="dxa"/>
              <w:start w:w="110" w:type="dxa"/>
              <w:bottom w:w="110" w:type="dxa"/>
              <w:end w:w="110" w:type="dxa"/>
            </w:tcMar>
            <w:shd w:fill="EEF5FB"/>
          </w:tcPr>
          <w:p>
            <w:pPr>
              <w:spacing w:after="0"/>
            </w:pPr>
            <w:r>
              <w:rPr>
                <w:b w:val="0"/>
                <w:i w:val="0"/>
              </w:rPr>
              <w:t>Generate altitude graph, observational window and Orbital Summary.</w:t>
            </w:r>
          </w:p>
        </w:tc>
      </w:tr>
      <w:tr>
        <w:tc>
          <w:tcPr>
            <w:tcW w:type="dxa" w:w="936"/>
            <w:vAlign w:val="center"/>
            <w:tcMar>
              <w:top w:w="110" w:type="dxa"/>
              <w:start w:w="110" w:type="dxa"/>
              <w:bottom w:w="110" w:type="dxa"/>
              <w:end w:w="110" w:type="dxa"/>
            </w:tcMar>
          </w:tcPr>
          <w:p>
            <w:pPr>
              <w:spacing w:after="0"/>
            </w:pPr>
            <w:r>
              <w:rPr>
                <w:b w:val="0"/>
                <w:i w:val="0"/>
              </w:rPr>
              <w:t>3</w:t>
            </w:r>
          </w:p>
        </w:tc>
        <w:tc>
          <w:tcPr>
            <w:tcW w:type="dxa" w:w="1800"/>
            <w:vAlign w:val="center"/>
            <w:tcMar>
              <w:top w:w="110" w:type="dxa"/>
              <w:start w:w="110" w:type="dxa"/>
              <w:bottom w:w="110" w:type="dxa"/>
              <w:end w:w="110" w:type="dxa"/>
            </w:tcMar>
          </w:tcPr>
          <w:p>
            <w:pPr>
              <w:spacing w:after="0"/>
            </w:pPr>
            <w:r>
              <w:rPr>
                <w:b w:val="0"/>
                <w:i w:val="0"/>
              </w:rPr>
              <w:t>Layers</w:t>
            </w:r>
          </w:p>
        </w:tc>
        <w:tc>
          <w:tcPr>
            <w:tcW w:type="dxa" w:w="7344"/>
            <w:vAlign w:val="center"/>
            <w:tcMar>
              <w:top w:w="110" w:type="dxa"/>
              <w:start w:w="110" w:type="dxa"/>
              <w:bottom w:w="110" w:type="dxa"/>
              <w:end w:w="110" w:type="dxa"/>
            </w:tcMar>
          </w:tcPr>
          <w:p>
            <w:pPr>
              <w:spacing w:after="0"/>
            </w:pPr>
            <w:r>
              <w:rPr>
                <w:b w:val="0"/>
                <w:i w:val="0"/>
              </w:rPr>
              <w:t>Define instant, map type, layers and open ephemeris.</w:t>
            </w:r>
          </w:p>
        </w:tc>
      </w:tr>
      <w:tr>
        <w:tc>
          <w:tcPr>
            <w:tcW w:type="dxa" w:w="936"/>
            <w:vAlign w:val="center"/>
            <w:tcMar>
              <w:top w:w="110" w:type="dxa"/>
              <w:start w:w="110" w:type="dxa"/>
              <w:bottom w:w="110" w:type="dxa"/>
              <w:end w:w="110" w:type="dxa"/>
            </w:tcMar>
            <w:shd w:fill="EEF5FB"/>
          </w:tcPr>
          <w:p>
            <w:pPr>
              <w:spacing w:after="0"/>
            </w:pPr>
            <w:r>
              <w:rPr>
                <w:b w:val="0"/>
                <w:i w:val="0"/>
              </w:rPr>
              <w:t>4</w:t>
            </w:r>
          </w:p>
        </w:tc>
        <w:tc>
          <w:tcPr>
            <w:tcW w:type="dxa" w:w="1800"/>
            <w:vAlign w:val="center"/>
            <w:tcMar>
              <w:top w:w="110" w:type="dxa"/>
              <w:start w:w="110" w:type="dxa"/>
              <w:bottom w:w="110" w:type="dxa"/>
              <w:end w:w="110" w:type="dxa"/>
            </w:tcMar>
            <w:shd w:fill="EEF5FB"/>
          </w:tcPr>
          <w:p>
            <w:pPr>
              <w:spacing w:after="0"/>
            </w:pPr>
            <w:r>
              <w:rPr>
                <w:b w:val="0"/>
                <w:i w:val="0"/>
              </w:rPr>
              <w:t>Animation</w:t>
            </w:r>
          </w:p>
        </w:tc>
        <w:tc>
          <w:tcPr>
            <w:tcW w:type="dxa" w:w="7344"/>
            <w:vAlign w:val="center"/>
            <w:tcMar>
              <w:top w:w="110" w:type="dxa"/>
              <w:start w:w="110" w:type="dxa"/>
              <w:bottom w:w="110" w:type="dxa"/>
              <w:end w:w="110" w:type="dxa"/>
            </w:tcMar>
            <w:shd w:fill="EEF5FB"/>
          </w:tcPr>
          <w:p>
            <w:pPr>
              <w:spacing w:after="0"/>
            </w:pPr>
            <w:r>
              <w:rPr>
                <w:b w:val="0"/>
                <w:i w:val="0"/>
              </w:rPr>
              <w:t>Set interval, step, speed and output format.</w:t>
            </w:r>
          </w:p>
        </w:tc>
      </w:tr>
      <w:tr>
        <w:tc>
          <w:tcPr>
            <w:tcW w:type="dxa" w:w="936"/>
            <w:vAlign w:val="center"/>
            <w:tcMar>
              <w:top w:w="110" w:type="dxa"/>
              <w:start w:w="110" w:type="dxa"/>
              <w:bottom w:w="110" w:type="dxa"/>
              <w:end w:w="110" w:type="dxa"/>
            </w:tcMar>
          </w:tcPr>
          <w:p>
            <w:pPr>
              <w:spacing w:after="0"/>
            </w:pPr>
            <w:r>
              <w:rPr>
                <w:b w:val="0"/>
                <w:i w:val="0"/>
              </w:rPr>
              <w:t>5</w:t>
            </w:r>
          </w:p>
        </w:tc>
        <w:tc>
          <w:tcPr>
            <w:tcW w:type="dxa" w:w="1800"/>
            <w:vAlign w:val="center"/>
            <w:tcMar>
              <w:top w:w="110" w:type="dxa"/>
              <w:start w:w="110" w:type="dxa"/>
              <w:bottom w:w="110" w:type="dxa"/>
              <w:end w:w="110" w:type="dxa"/>
            </w:tcMar>
          </w:tcPr>
          <w:p>
            <w:pPr>
              <w:spacing w:after="0"/>
            </w:pPr>
            <w:r>
              <w:rPr>
                <w:b w:val="0"/>
                <w:i w:val="0"/>
              </w:rPr>
              <w:t>Adjustments</w:t>
            </w:r>
          </w:p>
        </w:tc>
        <w:tc>
          <w:tcPr>
            <w:tcW w:type="dxa" w:w="7344"/>
            <w:vAlign w:val="center"/>
            <w:tcMar>
              <w:top w:w="110" w:type="dxa"/>
              <w:start w:w="110" w:type="dxa"/>
              <w:bottom w:w="110" w:type="dxa"/>
              <w:end w:w="110" w:type="dxa"/>
            </w:tcMar>
          </w:tcPr>
          <w:p>
            <w:pPr>
              <w:spacing w:after="0"/>
            </w:pPr>
            <w:r>
              <w:rPr>
                <w:b w:val="0"/>
                <w:i w:val="0"/>
              </w:rPr>
              <w:t>Configure location, time, language, unit, image and limits.</w:t>
            </w:r>
          </w:p>
        </w:tc>
      </w:tr>
      <w:tr>
        <w:tc>
          <w:tcPr>
            <w:tcW w:type="dxa" w:w="936"/>
            <w:vAlign w:val="center"/>
            <w:tcMar>
              <w:top w:w="110" w:type="dxa"/>
              <w:start w:w="110" w:type="dxa"/>
              <w:bottom w:w="110" w:type="dxa"/>
              <w:end w:w="110" w:type="dxa"/>
            </w:tcMar>
            <w:shd w:fill="EEF5FB"/>
          </w:tcPr>
          <w:p>
            <w:pPr>
              <w:spacing w:after="0"/>
            </w:pPr>
            <w:r>
              <w:rPr>
                <w:b w:val="0"/>
                <w:i w:val="0"/>
              </w:rPr>
              <w:t>6</w:t>
            </w:r>
          </w:p>
        </w:tc>
        <w:tc>
          <w:tcPr>
            <w:tcW w:type="dxa" w:w="1800"/>
            <w:vAlign w:val="center"/>
            <w:tcMar>
              <w:top w:w="110" w:type="dxa"/>
              <w:start w:w="110" w:type="dxa"/>
              <w:bottom w:w="110" w:type="dxa"/>
              <w:end w:w="110" w:type="dxa"/>
            </w:tcMar>
            <w:shd w:fill="EEF5FB"/>
          </w:tcPr>
          <w:p>
            <w:pPr>
              <w:spacing w:after="0"/>
            </w:pPr>
            <w:r>
              <w:rPr>
                <w:b w:val="0"/>
                <w:i w:val="0"/>
              </w:rPr>
              <w:t>On</w:t>
            </w:r>
          </w:p>
        </w:tc>
        <w:tc>
          <w:tcPr>
            <w:tcW w:type="dxa" w:w="7344"/>
            <w:vAlign w:val="center"/>
            <w:tcMar>
              <w:top w:w="110" w:type="dxa"/>
              <w:start w:w="110" w:type="dxa"/>
              <w:bottom w:w="110" w:type="dxa"/>
              <w:end w:w="110" w:type="dxa"/>
            </w:tcMar>
            <w:shd w:fill="EEF5FB"/>
          </w:tcPr>
          <w:p>
            <w:pPr>
              <w:spacing w:after="0"/>
            </w:pPr>
            <w:r>
              <w:rPr>
                <w:b w:val="0"/>
                <w:i w:val="0"/>
              </w:rPr>
              <w:t>Consult version, credits, channel AstroNEOS and contextual help.</w:t>
            </w:r>
          </w:p>
        </w:tc>
      </w:tr>
    </w:tbl>
    <w:p>
      <w:pPr>
        <w:spacing w:after="0"/>
      </w:pPr>
    </w:p>
    <w:p>
      <w:pPr>
        <w:pStyle w:val="Heading2"/>
        <w:keepNext/>
      </w:pPr>
      <w:r>
        <w:rPr>
          <w:b w:val="0"/>
          <w:i w:val="0"/>
        </w:rPr>
        <w:t>Recommended flow</w:t>
      </w:r>
    </w:p>
    <w:p>
      <w:pPr>
        <w:pStyle w:val="ListNumber"/>
      </w:pPr>
      <w:r>
        <w:rPr>
          <w:b w:val="0"/>
          <w:i w:val="0"/>
        </w:rPr>
        <w:t>Open Settings and confirm the location, UTC or LOCAL, language and distance unit.</w:t>
      </w:r>
    </w:p>
    <w:p>
      <w:pPr>
        <w:pStyle w:val="ListNumber"/>
      </w:pPr>
      <w:r>
        <w:rPr>
          <w:b w:val="0"/>
          <w:i w:val="0"/>
        </w:rPr>
        <w:t>In Object, enter the designation and date of observation and click Search.</w:t>
      </w:r>
    </w:p>
    <w:p>
      <w:pPr>
        <w:pStyle w:val="ListNumber"/>
      </w:pPr>
      <w:r>
        <w:rPr>
          <w:b w:val="0"/>
          <w:i w:val="0"/>
        </w:rPr>
        <w:t>Go to Observing Information, generate the altitude plot and, if desired, the Orbital Summary.</w:t>
      </w:r>
    </w:p>
    <w:p>
      <w:pPr>
        <w:pStyle w:val="ListNumber"/>
      </w:pPr>
      <w:r>
        <w:rPr>
          <w:b w:val="0"/>
          <w:i w:val="0"/>
        </w:rPr>
        <w:t>In Layers, confirm the date and time, choose the map and click Generate map.</w:t>
      </w:r>
    </w:p>
    <w:p>
      <w:pPr>
        <w:pStyle w:val="ListNumber"/>
      </w:pPr>
      <w:r>
        <w:rPr>
          <w:b w:val="0"/>
          <w:i w:val="0"/>
        </w:rPr>
        <w:t>Use Animation when you need to follow evolution over time.</w:t>
      </w:r>
    </w:p>
    <w:p>
      <w:r>
        <w:rPr>
          <w:b w:val="0"/>
          <w:i w:val="0"/>
        </w:rPr>
        <w:t>Blue buttons indicate main actions. During queries and renderings, keep track of the central message and lower status bar.</w:t>
      </w:r>
    </w:p>
    <w:p>
      <w:pPr>
        <w:pStyle w:val="Heading1"/>
        <w:keepNext/>
      </w:pPr>
      <w:r>
        <w:rPr>
          <w:b w:val="0"/>
          <w:i w:val="0"/>
        </w:rPr>
        <w:t>Installation and first adjustments</w:t>
      </w:r>
    </w:p>
    <w:p>
      <w:pPr>
        <w:pStyle w:val="Heading2"/>
        <w:keepNext/>
      </w:pPr>
      <w:r>
        <w:rPr>
          <w:b w:val="0"/>
          <w:i w:val="0"/>
        </w:rPr>
        <w:t>Installer</w:t>
      </w:r>
    </w:p>
    <w:p>
      <w:r>
        <w:rPr>
          <w:b w:val="0"/>
          <w:i w:val="0"/>
        </w:rPr>
        <w:t>Download the NEOMapper-4.2.0-Windows-x64-Setup.exe file from the official Releases page. Run the installer and open the program via the Start menu or optional Desktop shortcut.</w:t>
      </w:r>
    </w:p>
    <w:p>
      <w:pPr>
        <w:pStyle w:val="Heading2"/>
        <w:keepNext/>
      </w:pPr>
      <w:r>
        <w:rPr>
          <w:b w:val="0"/>
          <w:i w:val="0"/>
        </w:rPr>
        <w:t>Portable Edition</w:t>
      </w:r>
    </w:p>
    <w:p>
      <w:r>
        <w:rPr>
          <w:b w:val="0"/>
          <w:i w:val="0"/>
        </w:rPr>
        <w:t>Extract the entire contents of NEOMapper-Windows-x64.zip to a folder and run NEOMapper.exe. Don't just move the executable, as it depends on the internal folder it comes with.</w:t>
      </w:r>
    </w:p>
    <w:p>
      <w:pPr>
        <w:pStyle w:val="Heading2"/>
        <w:keepNext/>
      </w:pPr>
      <w:r>
        <w:rPr>
          <w:b w:val="0"/>
          <w:i w:val="0"/>
        </w:rPr>
        <w:t>Windows Warning</w:t>
      </w:r>
    </w:p>
    <w:p>
      <w:r>
        <w:rPr>
          <w:b w:val="0"/>
          <w:i w:val="0"/>
        </w:rPr>
        <w:t>Version 4.2.0 does not have a digital signature. Windows may show a reputation warning. Confirm that the file came from the official page and compare its SHA 256 with SHA256SUMS.txt.</w:t>
      </w:r>
    </w:p>
    <w:p>
      <w:pPr>
        <w:pStyle w:val="Heading2"/>
        <w:keepNext/>
      </w:pPr>
      <w:r>
        <w:rPr>
          <w:b w:val="0"/>
          <w:i w:val="0"/>
        </w:rPr>
        <w:t>Before the first search</w:t>
      </w:r>
    </w:p>
    <w:p>
      <w:pPr>
        <w:pStyle w:val="ListBullet"/>
      </w:pPr>
      <w:r>
        <w:rPr>
          <w:b w:val="0"/>
          <w:i w:val="0"/>
        </w:rPr>
        <w:t>Open Adjustments and review the reference location.</w:t>
      </w:r>
    </w:p>
    <w:p>
      <w:pPr>
        <w:pStyle w:val="ListBullet"/>
      </w:pPr>
      <w:r>
        <w:rPr>
          <w:b w:val="0"/>
          <w:i w:val="0"/>
        </w:rPr>
        <w:t>Choose UTC or LOCAL; This selection affects displayed entries and times.</w:t>
      </w:r>
    </w:p>
    <w:p>
      <w:pPr>
        <w:pStyle w:val="ListBullet"/>
      </w:pPr>
      <w:r>
        <w:rPr>
          <w:b w:val="0"/>
          <w:i w:val="0"/>
        </w:rPr>
        <w:t>Choose AU or km for all astronomical distances.</w:t>
      </w:r>
    </w:p>
    <w:p>
      <w:pPr>
        <w:pStyle w:val="ListBullet"/>
      </w:pPr>
      <w:r>
        <w:rPr>
          <w:b w:val="0"/>
          <w:i w:val="0"/>
        </w:rPr>
        <w:t>Keep HD for speed; use FHD, 2K, or 4K only when necessary.</w:t>
      </w:r>
    </w:p>
    <w:p>
      <w:r>
        <w:rPr>
          <w:b w:val="0"/>
          <w:i w:val="0"/>
        </w:rPr>
        <w:t>Consultations require internet. NEOMapper tries JPL Horizons first and uses MPES of Minor Planet Center as a contingency when applicable.</w:t>
      </w:r>
    </w:p>
    <w:p>
      <w:r>
        <w:br w:type="page"/>
      </w:r>
    </w:p>
    <w:p>
      <w:pPr>
        <w:pStyle w:val="Heading1"/>
        <w:keepNext/>
      </w:pPr>
      <w:r>
        <w:rPr>
          <w:b w:val="0"/>
          <w:i w:val="0"/>
        </w:rPr>
        <w:t>Object Tab</w:t>
      </w:r>
    </w:p>
    <w:p>
      <w:r>
        <w:rPr>
          <w:b w:val="0"/>
          <w:i w:val="0"/>
        </w:rPr>
        <w:t>This is the input of the stream. Enter a recognized designation, such as 99942, 1P or 2026 RW3, select the date and click Search.</w:t>
      </w:r>
    </w:p>
    <w:p>
      <w:pPr>
        <w:keepNext/>
        <w:jc w:val="center"/>
      </w:pPr>
      <w:r>
        <w:drawing>
          <wp:inline xmlns:a="http://schemas.openxmlformats.org/drawingml/2006/main" xmlns:pic="http://schemas.openxmlformats.org/drawingml/2006/picture">
            <wp:extent cx="6217920" cy="3730752"/>
            <wp:docPr id="2" name="Picture 2" descr="Figura 1  Aba Objeto da versão 4.2.0"/>
            <wp:cNvGraphicFramePr>
              <a:graphicFrameLocks noChangeAspect="1"/>
            </wp:cNvGraphicFramePr>
            <a:graphic>
              <a:graphicData uri="http://schemas.openxmlformats.org/drawingml/2006/picture">
                <pic:pic>
                  <pic:nvPicPr>
                    <pic:cNvPr id="0" name="01_object.png"/>
                    <pic:cNvPicPr/>
                  </pic:nvPicPr>
                  <pic:blipFill>
                    <a:blip r:embed="rId11"/>
                    <a:stretch>
                      <a:fillRect/>
                    </a:stretch>
                  </pic:blipFill>
                  <pic:spPr>
                    <a:xfrm>
                      <a:off x="0" y="0"/>
                      <a:ext cx="6217920" cy="3730752"/>
                    </a:xfrm>
                    <a:prstGeom prst="rect"/>
                  </pic:spPr>
                </pic:pic>
              </a:graphicData>
            </a:graphic>
          </wp:inline>
        </w:drawing>
      </w:r>
    </w:p>
    <w:p>
      <w:pPr>
        <w:spacing w:before="60" w:after="160"/>
        <w:jc w:val="center"/>
      </w:pPr>
      <w:r>
        <w:rPr>
          <w:b w:val="0"/>
          <w:i/>
        </w:rPr>
        <w:t>Figure 1 Object Tab of version 4.2.0</w:t>
      </w:r>
    </w:p>
    <w:p>
      <w:pPr>
        <w:pStyle w:val="Heading2"/>
        <w:keepNext/>
      </w:pPr>
      <w:r>
        <w:rPr>
          <w:b w:val="0"/>
          <w:i w:val="0"/>
        </w:rPr>
        <w:t>Search result</w:t>
      </w:r>
    </w:p>
    <w:p>
      <w:r>
        <w:rPr>
          <w:b w:val="0"/>
          <w:i w:val="0"/>
        </w:rPr>
        <w:t>A successful search shows the resolved name, distance to the Sun, distance to Earth, and magnitude. It also enables Plot Solar System and Continue to Observing Information. Changing the object or date invalidates the previous result and requires a new search.</w:t>
      </w:r>
    </w:p>
    <w:p>
      <w:pPr>
        <w:pStyle w:val="Heading2"/>
        <w:keepNext/>
      </w:pPr>
      <w:r>
        <w:rPr>
          <w:b w:val="0"/>
          <w:i w:val="0"/>
        </w:rPr>
        <w:t>Plot Solar System</w:t>
      </w:r>
    </w:p>
    <w:p>
      <w:r>
        <w:rPr>
          <w:b w:val="0"/>
          <w:i w:val="0"/>
        </w:rPr>
        <w:t>The scheme uses the heliocentric position and osculating orbit of the object on the selected date. Planets and object appear in the same ecliptic projection. The drawing serves a geometric context; it is not a numerical integration of the future orbit.</w:t>
      </w:r>
    </w:p>
    <w:p>
      <w:r>
        <w:br w:type="page"/>
      </w:r>
    </w:p>
    <w:p>
      <w:pPr>
        <w:pStyle w:val="Heading1"/>
        <w:keepNext/>
      </w:pPr>
      <w:r>
        <w:rPr>
          <w:b w:val="0"/>
          <w:i w:val="0"/>
        </w:rPr>
        <w:t>Favorites</w:t>
      </w:r>
    </w:p>
    <w:p>
      <w:r>
        <w:rPr>
          <w:b w:val="0"/>
          <w:i w:val="0"/>
        </w:rPr>
        <w:t>The Favorites button is always available. The window saves designation, name and notes on the computer and does not initiate a network query.</w:t>
      </w:r>
    </w:p>
    <w:p>
      <w:pPr>
        <w:keepNext/>
        <w:jc w:val="center"/>
      </w:pPr>
      <w:r>
        <w:drawing>
          <wp:inline xmlns:a="http://schemas.openxmlformats.org/drawingml/2006/main" xmlns:pic="http://schemas.openxmlformats.org/drawingml/2006/picture">
            <wp:extent cx="4800600" cy="4135902"/>
            <wp:docPr id="3" name="Picture 3" descr="Figura 2  Cadastro e seleção de favoritos"/>
            <wp:cNvGraphicFramePr>
              <a:graphicFrameLocks noChangeAspect="1"/>
            </wp:cNvGraphicFramePr>
            <a:graphic>
              <a:graphicData uri="http://schemas.openxmlformats.org/drawingml/2006/picture">
                <pic:pic>
                  <pic:nvPicPr>
                    <pic:cNvPr id="0" name="07_favorites.png"/>
                    <pic:cNvPicPr/>
                  </pic:nvPicPr>
                  <pic:blipFill>
                    <a:blip r:embed="rId12"/>
                    <a:stretch>
                      <a:fillRect/>
                    </a:stretch>
                  </pic:blipFill>
                  <pic:spPr>
                    <a:xfrm>
                      <a:off x="0" y="0"/>
                      <a:ext cx="4800600" cy="4135902"/>
                    </a:xfrm>
                    <a:prstGeom prst="rect"/>
                  </pic:spPr>
                </pic:pic>
              </a:graphicData>
            </a:graphic>
          </wp:inline>
        </w:drawing>
      </w:r>
    </w:p>
    <w:p>
      <w:pPr>
        <w:spacing w:before="60" w:after="160"/>
        <w:jc w:val="center"/>
      </w:pPr>
      <w:r>
        <w:rPr>
          <w:b w:val="0"/>
          <w:i/>
        </w:rPr>
        <w:t>Figure 2 Registration and selection of favorites</w:t>
      </w:r>
    </w:p>
    <w:p>
      <w:pPr>
        <w:pStyle w:val="ListBullet"/>
      </w:pPr>
      <w:r>
        <w:rPr>
          <w:b w:val="0"/>
          <w:i w:val="0"/>
        </w:rPr>
        <w:t>To register, click on New favorite, fill in the fields and choose Save favorite.</w:t>
      </w:r>
    </w:p>
    <w:p>
      <w:pPr>
        <w:pStyle w:val="ListBullet"/>
      </w:pPr>
      <w:r>
        <w:rPr>
          <w:b w:val="0"/>
          <w:i w:val="0"/>
        </w:rPr>
        <w:t>To update, select an entry, change name or notes, and save again.</w:t>
      </w:r>
    </w:p>
    <w:p>
      <w:pPr>
        <w:pStyle w:val="ListBullet"/>
      </w:pPr>
      <w:r>
        <w:rPr>
          <w:b w:val="0"/>
          <w:i w:val="0"/>
        </w:rPr>
        <w:t>To populate the Object tab, select the entry and click Use Favorite.</w:t>
      </w:r>
    </w:p>
    <w:p>
      <w:pPr>
        <w:pStyle w:val="ListBullet"/>
      </w:pPr>
      <w:r>
        <w:rPr>
          <w:b w:val="0"/>
          <w:i w:val="0"/>
        </w:rPr>
        <w:t>To delete, select the entry and click Remove Favorite.</w:t>
      </w:r>
    </w:p>
    <w:p>
      <w:r>
        <w:rPr>
          <w:b w:val="0"/>
          <w:i w:val="0"/>
        </w:rPr>
        <w:t>Saving the same designation again updates the existing record. New favorite clears the form so that another object can be registered.</w:t>
      </w:r>
    </w:p>
    <w:p>
      <w:r>
        <w:br w:type="page"/>
      </w:r>
    </w:p>
    <w:p>
      <w:pPr>
        <w:pStyle w:val="Heading1"/>
        <w:keepNext/>
      </w:pPr>
      <w:r>
        <w:rPr>
          <w:b w:val="0"/>
          <w:i w:val="0"/>
        </w:rPr>
        <w:t>Observing Information tab</w:t>
      </w:r>
    </w:p>
    <w:p>
      <w:r>
        <w:rPr>
          <w:b w:val="0"/>
          <w:i w:val="0"/>
        </w:rPr>
        <w:t>This tab brings together the night's planning. The altitude graph and Orbital Summary have independent buttons.</w:t>
      </w:r>
    </w:p>
    <w:p>
      <w:pPr>
        <w:keepNext/>
        <w:jc w:val="center"/>
      </w:pPr>
      <w:r>
        <w:drawing>
          <wp:inline xmlns:a="http://schemas.openxmlformats.org/drawingml/2006/main" xmlns:pic="http://schemas.openxmlformats.org/drawingml/2006/picture">
            <wp:extent cx="6217920" cy="3730752"/>
            <wp:docPr id="4" name="Picture 4" descr="Figura 3  Gráfico de altitude e Resumo Orbital no painel central"/>
            <wp:cNvGraphicFramePr>
              <a:graphicFrameLocks noChangeAspect="1"/>
            </wp:cNvGraphicFramePr>
            <a:graphic>
              <a:graphicData uri="http://schemas.openxmlformats.org/drawingml/2006/picture">
                <pic:pic>
                  <pic:nvPicPr>
                    <pic:cNvPr id="0" name="02_obs_information.png"/>
                    <pic:cNvPicPr/>
                  </pic:nvPicPr>
                  <pic:blipFill>
                    <a:blip r:embed="rId13"/>
                    <a:stretch>
                      <a:fillRect/>
                    </a:stretch>
                  </pic:blipFill>
                  <pic:spPr>
                    <a:xfrm>
                      <a:off x="0" y="0"/>
                      <a:ext cx="6217920" cy="3730752"/>
                    </a:xfrm>
                    <a:prstGeom prst="rect"/>
                  </pic:spPr>
                </pic:pic>
              </a:graphicData>
            </a:graphic>
          </wp:inline>
        </w:drawing>
      </w:r>
    </w:p>
    <w:p>
      <w:pPr>
        <w:spacing w:before="60" w:after="160"/>
        <w:jc w:val="center"/>
      </w:pPr>
      <w:r>
        <w:rPr>
          <w:b w:val="0"/>
          <w:i/>
        </w:rPr>
        <w:t>Figure 3 Altitude graph and Orbital Summary in the central panel</w:t>
      </w:r>
    </w:p>
    <w:p>
      <w:pPr>
        <w:pStyle w:val="Heading2"/>
        <w:keepNext/>
      </w:pPr>
      <w:r>
        <w:rPr>
          <w:b w:val="0"/>
          <w:i w:val="0"/>
        </w:rPr>
        <w:t>Altitude chart</w:t>
      </w:r>
    </w:p>
    <w:p>
      <w:r>
        <w:rPr>
          <w:b w:val="0"/>
          <w:i w:val="0"/>
        </w:rPr>
        <w:t>Plot 24-hour query altitude graph in five-minute samples. The graph shows the object's altitude, day and twilight ranges, and the window that meets the chosen thresholds. The side panel receives start, best time, end and maximum altitude from the same samples.</w:t>
      </w:r>
    </w:p>
    <w:p>
      <w:pPr>
        <w:pStyle w:val="ListBullet"/>
      </w:pPr>
      <w:r>
        <w:rPr>
          <w:b w:val="0"/>
          <w:i w:val="0"/>
        </w:rPr>
        <w:t>Minimum Window Height defines the minimum acceptable elevation for the object.</w:t>
      </w:r>
    </w:p>
    <w:p>
      <w:pPr>
        <w:pStyle w:val="ListBullet"/>
      </w:pPr>
      <w:r>
        <w:rPr>
          <w:b w:val="0"/>
          <w:i w:val="0"/>
        </w:rPr>
        <w:t>Sun height limit defines required darkness; minus 12 degrees corresponds to nautical twilight.</w:t>
      </w:r>
    </w:p>
    <w:p>
      <w:pPr>
        <w:pStyle w:val="ListBullet"/>
      </w:pPr>
      <w:r>
        <w:rPr>
          <w:b w:val="0"/>
          <w:i w:val="0"/>
        </w:rPr>
        <w:t>Show Moon appears below the graph and toggles the moon curve without recalculating the object.</w:t>
      </w:r>
    </w:p>
    <w:p>
      <w:r>
        <w:br w:type="page"/>
      </w:r>
    </w:p>
    <w:p>
      <w:pPr>
        <w:pStyle w:val="Heading1"/>
        <w:keepNext/>
      </w:pPr>
      <w:r>
        <w:rPr>
          <w:b w:val="0"/>
          <w:i w:val="0"/>
        </w:rPr>
        <w:t>Orbital Summary</w:t>
      </w:r>
    </w:p>
    <w:p>
      <w:r>
        <w:rPr>
          <w:b w:val="0"/>
          <w:i w:val="0"/>
        </w:rPr>
        <w:t>Orbital summary can be used even without generating the altitude graph. During calculation, the program shows Calculating orbital summary below the graph or in the center of the preview area.</w:t>
      </w:r>
    </w:p>
    <w:p>
      <w:pPr>
        <w:keepNext/>
        <w:jc w:val="center"/>
      </w:pPr>
      <w:r>
        <w:drawing>
          <wp:inline xmlns:a="http://schemas.openxmlformats.org/drawingml/2006/main" xmlns:pic="http://schemas.openxmlformats.org/drawingml/2006/picture">
            <wp:extent cx="6446520" cy="1623568"/>
            <wp:docPr id="5" name="Picture 5" descr="Figura 4  Resumo Orbital ampliado em unidades astronômicas"/>
            <wp:cNvGraphicFramePr>
              <a:graphicFrameLocks noChangeAspect="1"/>
            </wp:cNvGraphicFramePr>
            <a:graphic>
              <a:graphicData uri="http://schemas.openxmlformats.org/drawingml/2006/picture">
                <pic:pic>
                  <pic:nvPicPr>
                    <pic:cNvPr id="0" name="08_orbital_summary.png"/>
                    <pic:cNvPicPr/>
                  </pic:nvPicPr>
                  <pic:blipFill>
                    <a:blip r:embed="rId14"/>
                    <a:stretch>
                      <a:fillRect/>
                    </a:stretch>
                  </pic:blipFill>
                  <pic:spPr>
                    <a:xfrm>
                      <a:off x="0" y="0"/>
                      <a:ext cx="6446520" cy="1623568"/>
                    </a:xfrm>
                    <a:prstGeom prst="rect"/>
                  </pic:spPr>
                </pic:pic>
              </a:graphicData>
            </a:graphic>
          </wp:inline>
        </w:drawing>
      </w:r>
    </w:p>
    <w:p>
      <w:pPr>
        <w:spacing w:before="60" w:after="160"/>
        <w:jc w:val="center"/>
      </w:pPr>
      <w:r>
        <w:rPr>
          <w:b w:val="0"/>
          <w:i/>
        </w:rPr>
        <w:t>Figure 4 Orbital Summary enlarged in astronomical units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376"/>
            <w:vAlign w:val="center"/>
            <w:shd w:fill="174A7E"/>
            <w:tcMar>
              <w:top w:w="110" w:type="dxa"/>
              <w:start w:w="110" w:type="dxa"/>
              <w:bottom w:w="110" w:type="dxa"/>
              <w:end w:w="110" w:type="dxa"/>
            </w:tcMar>
          </w:tcPr>
          <w:p>
            <w:pPr>
              <w:jc w:val="center"/>
            </w:pPr>
            <w:r>
              <w:rPr>
                <w:b/>
                <w:i w:val="0"/>
              </w:rPr>
              <w:t>Line</w:t>
            </w:r>
          </w:p>
        </w:tc>
        <w:tc>
          <w:tcPr>
            <w:tcW w:type="dxa" w:w="7704"/>
            <w:vAlign w:val="center"/>
            <w:shd w:fill="174A7E"/>
            <w:tcMar>
              <w:top w:w="110" w:type="dxa"/>
              <w:start w:w="110" w:type="dxa"/>
              <w:bottom w:w="110" w:type="dxa"/>
              <w:end w:w="110" w:type="dxa"/>
            </w:tcMar>
          </w:tcPr>
          <w:p>
            <w:pPr>
              <w:jc w:val="center"/>
            </w:pPr>
            <w:r>
              <w:rPr>
                <w:b/>
                <w:i w:val="0"/>
              </w:rPr>
              <w:t>Meaning</w:t>
            </w:r>
          </w:p>
        </w:tc>
      </w:tr>
      <w:tr>
        <w:tc>
          <w:tcPr>
            <w:tcW w:type="dxa" w:w="2376"/>
            <w:vAlign w:val="center"/>
            <w:tcMar>
              <w:top w:w="110" w:type="dxa"/>
              <w:start w:w="110" w:type="dxa"/>
              <w:bottom w:w="110" w:type="dxa"/>
              <w:end w:w="110" w:type="dxa"/>
            </w:tcMar>
          </w:tcPr>
          <w:p>
            <w:pPr>
              <w:spacing w:after="0"/>
            </w:pPr>
            <w:r>
              <w:rPr>
                <w:b w:val="0"/>
                <w:i w:val="0"/>
              </w:rPr>
              <w:t>Perihelion</w:t>
            </w:r>
          </w:p>
        </w:tc>
        <w:tc>
          <w:tcPr>
            <w:tcW w:type="dxa" w:w="7704"/>
            <w:vAlign w:val="center"/>
            <w:tcMar>
              <w:top w:w="110" w:type="dxa"/>
              <w:start w:w="110" w:type="dxa"/>
              <w:bottom w:w="110" w:type="dxa"/>
              <w:end w:w="110" w:type="dxa"/>
            </w:tcMar>
          </w:tcPr>
          <w:p>
            <w:pPr>
              <w:spacing w:after="0"/>
            </w:pPr>
            <w:r>
              <w:rPr>
                <w:b w:val="0"/>
                <w:i w:val="0"/>
              </w:rPr>
              <w:t>Closest pass to the Sun provided or refined for the orbital solution.</w:t>
            </w:r>
          </w:p>
        </w:tc>
      </w:tr>
      <w:tr>
        <w:tc>
          <w:tcPr>
            <w:tcW w:type="dxa" w:w="2376"/>
            <w:vAlign w:val="center"/>
            <w:tcMar>
              <w:top w:w="110" w:type="dxa"/>
              <w:start w:w="110" w:type="dxa"/>
              <w:bottom w:w="110" w:type="dxa"/>
              <w:end w:w="110" w:type="dxa"/>
            </w:tcMar>
            <w:shd w:fill="EEF5FB"/>
          </w:tcPr>
          <w:p>
            <w:pPr>
              <w:spacing w:after="0"/>
            </w:pPr>
            <w:r>
              <w:rPr>
                <w:b w:val="0"/>
                <w:i w:val="0"/>
              </w:rPr>
              <w:t>Selected date</w:t>
            </w:r>
          </w:p>
        </w:tc>
        <w:tc>
          <w:tcPr>
            <w:tcW w:type="dxa" w:w="7704"/>
            <w:vAlign w:val="center"/>
            <w:tcMar>
              <w:top w:w="110" w:type="dxa"/>
              <w:start w:w="110" w:type="dxa"/>
              <w:bottom w:w="110" w:type="dxa"/>
              <w:end w:w="110" w:type="dxa"/>
            </w:tcMar>
            <w:shd w:fill="EEF5FB"/>
          </w:tcPr>
          <w:p>
            <w:pPr>
              <w:spacing w:after="0"/>
            </w:pPr>
            <w:r>
              <w:rPr>
                <w:b w:val="0"/>
                <w:i w:val="0"/>
              </w:rPr>
              <w:t>Ephemeris at the instant chosen for the map.</w:t>
            </w:r>
          </w:p>
        </w:tc>
      </w:tr>
      <w:tr>
        <w:tc>
          <w:tcPr>
            <w:tcW w:type="dxa" w:w="2376"/>
            <w:vAlign w:val="center"/>
            <w:tcMar>
              <w:top w:w="110" w:type="dxa"/>
              <w:start w:w="110" w:type="dxa"/>
              <w:bottom w:w="110" w:type="dxa"/>
              <w:end w:w="110" w:type="dxa"/>
            </w:tcMar>
          </w:tcPr>
          <w:p>
            <w:pPr>
              <w:spacing w:after="0"/>
            </w:pPr>
            <w:r>
              <w:rPr>
                <w:b w:val="0"/>
                <w:i w:val="0"/>
              </w:rPr>
              <w:t>Closer approach</w:t>
            </w:r>
          </w:p>
        </w:tc>
        <w:tc>
          <w:tcPr>
            <w:tcW w:type="dxa" w:w="7704"/>
            <w:vAlign w:val="center"/>
            <w:tcMar>
              <w:top w:w="110" w:type="dxa"/>
              <w:start w:w="110" w:type="dxa"/>
              <w:bottom w:w="110" w:type="dxa"/>
              <w:end w:w="110" w:type="dxa"/>
            </w:tcMar>
          </w:tcPr>
          <w:p>
            <w:pPr>
              <w:spacing w:after="0"/>
            </w:pPr>
            <w:r>
              <w:rPr>
                <w:b w:val="0"/>
                <w:i w:val="0"/>
              </w:rPr>
              <w:t>Shortest distance to Earth found in the range reported in the table.</w:t>
            </w:r>
          </w:p>
        </w:tc>
      </w:tr>
    </w:tbl>
    <w:p>
      <w:pPr>
        <w:spacing w:after="0"/>
      </w:pPr>
    </w:p>
    <w:p>
      <w:r>
        <w:rPr>
          <w:b w:val="0"/>
          <w:i w:val="0"/>
        </w:rPr>
        <w:t>The table includes magnitude, distances, right ascension, declination, elongation, and phase angle. Tail PA appears only for comets. Distances follow UA or km defined in Settings.</w:t>
      </w:r>
    </w:p>
    <w:p>
      <w:pPr>
        <w:pStyle w:val="Heading2"/>
        <w:keepNext/>
      </w:pPr>
      <w:r>
        <w:rPr>
          <w:b w:val="0"/>
          <w:i w:val="0"/>
        </w:rPr>
        <w:t>Long periods</w:t>
      </w:r>
    </w:p>
    <w:p>
      <w:r>
        <w:rPr>
          <w:b w:val="0"/>
          <w:i w:val="0"/>
        </w:rPr>
        <w:t>For most objects, the closest approximation is searched within plus or minus 365 days of the selected date. For long-period bound orbits, such as 1P Halley, the osculating period locates the next pass and Horizons is queried around it. The range actually searched appears under the table. The result does not represent the shortest distance of the entire orbit.</w:t>
      </w:r>
    </w:p>
    <w:p>
      <w:pPr>
        <w:pStyle w:val="ListBullet"/>
      </w:pPr>
      <w:r>
        <w:rPr>
          <w:b w:val="0"/>
          <w:i w:val="0"/>
        </w:rPr>
        <w:t>Enlarge summary opens the same table in a larger window.</w:t>
      </w:r>
    </w:p>
    <w:p>
      <w:pPr>
        <w:pStyle w:val="ListBullet"/>
      </w:pPr>
      <w:r>
        <w:rPr>
          <w:b w:val="0"/>
          <w:i w:val="0"/>
        </w:rPr>
        <w:t>Save PDF and Save CSV export already calculated data without requerying.</w:t>
      </w:r>
    </w:p>
    <w:p>
      <w:pPr>
        <w:pStyle w:val="ListBullet"/>
      </w:pPr>
      <w:r>
        <w:rPr>
          <w:b w:val="0"/>
          <w:i w:val="0"/>
        </w:rPr>
        <w:t>Help opens explanations of scientific terms and conventions.</w:t>
      </w:r>
    </w:p>
    <w:p>
      <w:r>
        <w:br w:type="page"/>
      </w:r>
    </w:p>
    <w:p>
      <w:pPr>
        <w:pStyle w:val="Heading1"/>
        <w:keepNext/>
      </w:pPr>
      <w:r>
        <w:rPr>
          <w:b w:val="0"/>
          <w:i w:val="0"/>
        </w:rPr>
        <w:t>Layers Tab</w:t>
      </w:r>
    </w:p>
    <w:p>
      <w:r>
        <w:rPr>
          <w:b w:val="0"/>
          <w:i w:val="0"/>
        </w:rPr>
        <w:t>Layers controls the timing and content of the map. The date initially comes from the Object tab, but can be changed here without modifying the original search date.</w:t>
      </w:r>
    </w:p>
    <w:p>
      <w:pPr>
        <w:keepNext/>
        <w:jc w:val="center"/>
      </w:pPr>
      <w:r>
        <w:drawing>
          <wp:inline xmlns:a="http://schemas.openxmlformats.org/drawingml/2006/main" xmlns:pic="http://schemas.openxmlformats.org/drawingml/2006/picture">
            <wp:extent cx="6217920" cy="3730752"/>
            <wp:docPr id="6" name="Picture 6" descr="Figura 5  Camadas com o tipo Mapa celeste"/>
            <wp:cNvGraphicFramePr>
              <a:graphicFrameLocks noChangeAspect="1"/>
            </wp:cNvGraphicFramePr>
            <a:graphic>
              <a:graphicData uri="http://schemas.openxmlformats.org/drawingml/2006/picture">
                <pic:pic>
                  <pic:nvPicPr>
                    <pic:cNvPr id="0" name="03_layers.png"/>
                    <pic:cNvPicPr/>
                  </pic:nvPicPr>
                  <pic:blipFill>
                    <a:blip r:embed="rId15"/>
                    <a:stretch>
                      <a:fillRect/>
                    </a:stretch>
                  </pic:blipFill>
                  <pic:spPr>
                    <a:xfrm>
                      <a:off x="0" y="0"/>
                      <a:ext cx="6217920" cy="3730752"/>
                    </a:xfrm>
                    <a:prstGeom prst="rect"/>
                  </pic:spPr>
                </pic:pic>
              </a:graphicData>
            </a:graphic>
          </wp:inline>
        </w:drawing>
      </w:r>
    </w:p>
    <w:p>
      <w:pPr>
        <w:spacing w:before="60" w:after="160"/>
        <w:jc w:val="center"/>
      </w:pPr>
      <w:r>
        <w:rPr>
          <w:b w:val="0"/>
          <w:i/>
        </w:rPr>
        <w:t>Figure 5 Layers with the Sky Map type</w:t>
      </w:r>
    </w:p>
    <w:p>
      <w:pPr>
        <w:pStyle w:val="Heading2"/>
        <w:keepNext/>
      </w:pPr>
      <w:r>
        <w:rPr>
          <w:b w:val="0"/>
          <w:i w:val="0"/>
        </w:rPr>
        <w:t>Visibility map</w:t>
      </w:r>
    </w:p>
    <w:p>
      <w:r>
        <w:rPr>
          <w:b w:val="0"/>
          <w:i w:val="0"/>
        </w:rPr>
        <w:t>Shows in which regions the object is above the horizon and allows you to combine Day and Night, civil, nautical and astronomical twilight, terminator, reference point, altitude lines and observational window frame.</w:t>
      </w:r>
    </w:p>
    <w:p>
      <w:pPr>
        <w:pStyle w:val="Heading2"/>
        <w:keepNext/>
      </w:pPr>
      <w:r>
        <w:rPr>
          <w:b w:val="0"/>
          <w:i w:val="0"/>
        </w:rPr>
        <w:t>Celestial map</w:t>
      </w:r>
    </w:p>
    <w:p>
      <w:r>
        <w:rPr>
          <w:b w:val="0"/>
          <w:i w:val="0"/>
        </w:rPr>
        <w:t>Shows the sky of the configured location. The center represents the zenith and the edge, the horizon. The limiting magnitude controls how many stars appear. The object is not artificially drawn on the horizon when it is below zero degrees.</w:t>
      </w:r>
    </w:p>
    <w:p>
      <w:pPr>
        <w:pStyle w:val="Heading2"/>
        <w:keepNext/>
      </w:pPr>
      <w:r>
        <w:rPr>
          <w:b w:val="0"/>
          <w:i w:val="0"/>
        </w:rPr>
        <w:t>Generate map</w:t>
      </w:r>
    </w:p>
    <w:p>
      <w:r>
        <w:rPr>
          <w:b w:val="0"/>
          <w:i w:val="0"/>
        </w:rPr>
        <w:t>Confirm date, time and type and click Generate map. The central message informs the current step. The PNG is automatically saved to the object folder and displayed in the preview.</w:t>
      </w:r>
    </w:p>
    <w:p>
      <w:r>
        <w:br w:type="page"/>
      </w:r>
    </w:p>
    <w:p>
      <w:pPr>
        <w:pStyle w:val="Heading1"/>
        <w:keepNext/>
      </w:pPr>
      <w:r>
        <w:rPr>
          <w:b w:val="0"/>
          <w:i w:val="0"/>
        </w:rPr>
        <w:t>Ephemeris and report</w:t>
      </w:r>
    </w:p>
    <w:p>
      <w:r>
        <w:rPr>
          <w:b w:val="0"/>
          <w:i w:val="0"/>
        </w:rPr>
        <w:t>The Ephemeris button is in the Layers tab. Enter the requested interval and step in the ephemeris window. The maximum row limit is defined in Settings and is checked before the query.</w:t>
      </w:r>
    </w:p>
    <w:p>
      <w:pPr>
        <w:pStyle w:val="ListBullet"/>
      </w:pPr>
      <w:r>
        <w:rPr>
          <w:b w:val="0"/>
          <w:i w:val="0"/>
        </w:rPr>
        <w:t>Right Ascension is displayed in hours, minutes and seconds.</w:t>
      </w:r>
    </w:p>
    <w:p>
      <w:pPr>
        <w:pStyle w:val="ListBullet"/>
      </w:pPr>
      <w:r>
        <w:rPr>
          <w:b w:val="0"/>
          <w:i w:val="0"/>
        </w:rPr>
        <w:t>Declination is displayed with sign, degrees, minutes and seconds.</w:t>
      </w:r>
    </w:p>
    <w:p>
      <w:pPr>
        <w:pStyle w:val="ListBullet"/>
      </w:pPr>
      <w:r>
        <w:rPr>
          <w:b w:val="0"/>
          <w:i w:val="0"/>
        </w:rPr>
        <w:t>Motion appears in arc seconds per minute and the position angle is measured from north to east.</w:t>
      </w:r>
    </w:p>
    <w:p>
      <w:pPr>
        <w:pStyle w:val="ListBullet"/>
      </w:pPr>
      <w:r>
        <w:rPr>
          <w:b w:val="0"/>
          <w:i w:val="0"/>
        </w:rPr>
        <w:t>Magnitude V or cometary total magnitude T is identified in the table.</w:t>
      </w:r>
    </w:p>
    <w:p>
      <w:r>
        <w:rPr>
          <w:b w:val="0"/>
          <w:i w:val="0"/>
        </w:rPr>
        <w:t>View Report generates a PDF preview of all pages. In preview, use Save PDF, Print PDF, or Close. Saving and printing use the already assembled report and do not repeat the query.</w:t>
      </w:r>
    </w:p>
    <w:p>
      <w:r>
        <w:rPr>
          <w:b w:val="0"/>
          <w:i w:val="0"/>
        </w:rPr>
        <w:t>Ephemeris reports use UTC times. Check the object, range, number of lines and origin before archiving or printing.</w:t>
      </w:r>
    </w:p>
    <w:p>
      <w:r>
        <w:br w:type="page"/>
      </w:r>
    </w:p>
    <w:p>
      <w:pPr>
        <w:pStyle w:val="Heading1"/>
        <w:keepNext/>
      </w:pPr>
      <w:r>
        <w:rPr>
          <w:b w:val="0"/>
          <w:i w:val="0"/>
        </w:rPr>
        <w:t>Animation Tab</w:t>
      </w:r>
    </w:p>
    <w:p>
      <w:pPr>
        <w:keepNext/>
        <w:jc w:val="center"/>
      </w:pPr>
      <w:r>
        <w:drawing>
          <wp:inline xmlns:a="http://schemas.openxmlformats.org/drawingml/2006/main" xmlns:pic="http://schemas.openxmlformats.org/drawingml/2006/picture">
            <wp:extent cx="6217920" cy="3730752"/>
            <wp:docPr id="7" name="Picture 7" descr="Figura 6  Controles atuais de animação"/>
            <wp:cNvGraphicFramePr>
              <a:graphicFrameLocks noChangeAspect="1"/>
            </wp:cNvGraphicFramePr>
            <a:graphic>
              <a:graphicData uri="http://schemas.openxmlformats.org/drawingml/2006/picture">
                <pic:pic>
                  <pic:nvPicPr>
                    <pic:cNvPr id="0" name="04_animation.png"/>
                    <pic:cNvPicPr/>
                  </pic:nvPicPr>
                  <pic:blipFill>
                    <a:blip r:embed="rId16"/>
                    <a:stretch>
                      <a:fillRect/>
                    </a:stretch>
                  </pic:blipFill>
                  <pic:spPr>
                    <a:xfrm>
                      <a:off x="0" y="0"/>
                      <a:ext cx="6217920" cy="3730752"/>
                    </a:xfrm>
                    <a:prstGeom prst="rect"/>
                  </pic:spPr>
                </pic:pic>
              </a:graphicData>
            </a:graphic>
          </wp:inline>
        </w:drawing>
      </w:r>
    </w:p>
    <w:p>
      <w:pPr>
        <w:spacing w:before="60" w:after="160"/>
        <w:jc w:val="center"/>
      </w:pPr>
      <w:r>
        <w:rPr>
          <w:b w:val="0"/>
          <w:i/>
        </w:rPr>
        <w:t>Figure 6 Current animation controls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376"/>
            <w:vAlign w:val="center"/>
            <w:shd w:fill="174A7E"/>
            <w:tcMar>
              <w:top w:w="110" w:type="dxa"/>
              <w:start w:w="110" w:type="dxa"/>
              <w:bottom w:w="110" w:type="dxa"/>
              <w:end w:w="110" w:type="dxa"/>
            </w:tcMar>
          </w:tcPr>
          <w:p>
            <w:pPr>
              <w:jc w:val="center"/>
            </w:pPr>
            <w:r>
              <w:rPr>
                <w:b/>
                <w:i w:val="0"/>
              </w:rPr>
              <w:t>Control</w:t>
            </w:r>
          </w:p>
        </w:tc>
        <w:tc>
          <w:tcPr>
            <w:tcW w:type="dxa" w:w="7704"/>
            <w:vAlign w:val="center"/>
            <w:shd w:fill="174A7E"/>
            <w:tcMar>
              <w:top w:w="110" w:type="dxa"/>
              <w:start w:w="110" w:type="dxa"/>
              <w:bottom w:w="110" w:type="dxa"/>
              <w:end w:w="110" w:type="dxa"/>
            </w:tcMar>
          </w:tcPr>
          <w:p>
            <w:pPr>
              <w:jc w:val="center"/>
            </w:pPr>
            <w:r>
              <w:rPr>
                <w:b/>
                <w:i w:val="0"/>
              </w:rPr>
              <w:t>Use</w:t>
            </w:r>
          </w:p>
        </w:tc>
      </w:tr>
      <w:tr>
        <w:tc>
          <w:tcPr>
            <w:tcW w:type="dxa" w:w="2376"/>
            <w:vAlign w:val="center"/>
            <w:tcMar>
              <w:top w:w="110" w:type="dxa"/>
              <w:start w:w="110" w:type="dxa"/>
              <w:bottom w:w="110" w:type="dxa"/>
              <w:end w:w="110" w:type="dxa"/>
            </w:tcMar>
          </w:tcPr>
          <w:p>
            <w:pPr>
              <w:spacing w:after="0"/>
            </w:pPr>
            <w:r>
              <w:rPr>
                <w:b w:val="0"/>
                <w:i w:val="0"/>
              </w:rPr>
              <w:t>Start and end time</w:t>
            </w:r>
          </w:p>
        </w:tc>
        <w:tc>
          <w:tcPr>
            <w:tcW w:type="dxa" w:w="7704"/>
            <w:vAlign w:val="center"/>
            <w:tcMar>
              <w:top w:w="110" w:type="dxa"/>
              <w:start w:w="110" w:type="dxa"/>
              <w:bottom w:w="110" w:type="dxa"/>
              <w:end w:w="110" w:type="dxa"/>
            </w:tcMar>
          </w:tcPr>
          <w:p>
            <w:pPr>
              <w:spacing w:after="0"/>
            </w:pPr>
            <w:r>
              <w:rPr>
                <w:b w:val="0"/>
                <w:i w:val="0"/>
              </w:rPr>
              <w:t>They define the range in UTC or LOCAL mode chosen in Settings.</w:t>
            </w:r>
          </w:p>
        </w:tc>
      </w:tr>
      <w:tr>
        <w:tc>
          <w:tcPr>
            <w:tcW w:type="dxa" w:w="2376"/>
            <w:vAlign w:val="center"/>
            <w:tcMar>
              <w:top w:w="110" w:type="dxa"/>
              <w:start w:w="110" w:type="dxa"/>
              <w:bottom w:w="110" w:type="dxa"/>
              <w:end w:w="110" w:type="dxa"/>
            </w:tcMar>
            <w:shd w:fill="EEF5FB"/>
          </w:tcPr>
          <w:p>
            <w:pPr>
              <w:spacing w:after="0"/>
            </w:pPr>
            <w:r>
              <w:rPr>
                <w:b w:val="0"/>
                <w:i w:val="0"/>
              </w:rPr>
              <w:t>Step</w:t>
            </w:r>
          </w:p>
        </w:tc>
        <w:tc>
          <w:tcPr>
            <w:tcW w:type="dxa" w:w="7704"/>
            <w:vAlign w:val="center"/>
            <w:tcMar>
              <w:top w:w="110" w:type="dxa"/>
              <w:start w:w="110" w:type="dxa"/>
              <w:bottom w:w="110" w:type="dxa"/>
              <w:end w:w="110" w:type="dxa"/>
            </w:tcMar>
            <w:shd w:fill="EEF5FB"/>
          </w:tcPr>
          <w:p>
            <w:pPr>
              <w:spacing w:after="0"/>
            </w:pPr>
            <w:r>
              <w:rPr>
                <w:b w:val="0"/>
                <w:i w:val="0"/>
              </w:rPr>
              <w:t>Accepts minutes, hour, day, week, month or year; Smaller steps generate more frames.</w:t>
            </w:r>
          </w:p>
        </w:tc>
      </w:tr>
      <w:tr>
        <w:tc>
          <w:tcPr>
            <w:tcW w:type="dxa" w:w="2376"/>
            <w:vAlign w:val="center"/>
            <w:tcMar>
              <w:top w:w="110" w:type="dxa"/>
              <w:start w:w="110" w:type="dxa"/>
              <w:bottom w:w="110" w:type="dxa"/>
              <w:end w:w="110" w:type="dxa"/>
            </w:tcMar>
          </w:tcPr>
          <w:p>
            <w:pPr>
              <w:spacing w:after="0"/>
            </w:pPr>
            <w:r>
              <w:rPr>
                <w:b w:val="0"/>
                <w:i w:val="0"/>
              </w:rPr>
              <w:t>Speed</w:t>
            </w:r>
          </w:p>
        </w:tc>
        <w:tc>
          <w:tcPr>
            <w:tcW w:type="dxa" w:w="7704"/>
            <w:vAlign w:val="center"/>
            <w:tcMar>
              <w:top w:w="110" w:type="dxa"/>
              <w:start w:w="110" w:type="dxa"/>
              <w:bottom w:w="110" w:type="dxa"/>
              <w:end w:w="110" w:type="dxa"/>
            </w:tcMar>
          </w:tcPr>
          <w:p>
            <w:pPr>
              <w:spacing w:after="0"/>
            </w:pPr>
            <w:r>
              <w:rPr>
                <w:b w:val="0"/>
                <w:i w:val="0"/>
              </w:rPr>
              <w:t>Controls the playback and rate of the GIF or MP4, without changing the calculated times.</w:t>
            </w:r>
          </w:p>
        </w:tc>
      </w:tr>
      <w:tr>
        <w:tc>
          <w:tcPr>
            <w:tcW w:type="dxa" w:w="2376"/>
            <w:vAlign w:val="center"/>
            <w:tcMar>
              <w:top w:w="110" w:type="dxa"/>
              <w:start w:w="110" w:type="dxa"/>
              <w:bottom w:w="110" w:type="dxa"/>
              <w:end w:w="110" w:type="dxa"/>
            </w:tcMar>
            <w:shd w:fill="EEF5FB"/>
          </w:tcPr>
          <w:p>
            <w:pPr>
              <w:spacing w:after="0"/>
            </w:pPr>
            <w:r>
              <w:rPr>
                <w:b w:val="0"/>
                <w:i w:val="0"/>
              </w:rPr>
              <w:t>Format</w:t>
            </w:r>
          </w:p>
        </w:tc>
        <w:tc>
          <w:tcPr>
            <w:tcW w:type="dxa" w:w="7704"/>
            <w:vAlign w:val="center"/>
            <w:tcMar>
              <w:top w:w="110" w:type="dxa"/>
              <w:start w:w="110" w:type="dxa"/>
              <w:bottom w:w="110" w:type="dxa"/>
              <w:end w:w="110" w:type="dxa"/>
            </w:tcMar>
            <w:shd w:fill="EEF5FB"/>
          </w:tcPr>
          <w:p>
            <w:pPr>
              <w:spacing w:after="0"/>
            </w:pPr>
            <w:r>
              <w:rPr>
                <w:b w:val="0"/>
                <w:i w:val="0"/>
              </w:rPr>
              <w:t>Generates GIF, MP4, both or just PNG frames.</w:t>
            </w:r>
          </w:p>
        </w:tc>
      </w:tr>
      <w:tr>
        <w:tc>
          <w:tcPr>
            <w:tcW w:type="dxa" w:w="2376"/>
            <w:vAlign w:val="center"/>
            <w:tcMar>
              <w:top w:w="110" w:type="dxa"/>
              <w:start w:w="110" w:type="dxa"/>
              <w:bottom w:w="110" w:type="dxa"/>
              <w:end w:w="110" w:type="dxa"/>
            </w:tcMar>
          </w:tcPr>
          <w:p>
            <w:pPr>
              <w:spacing w:after="0"/>
            </w:pPr>
            <w:r>
              <w:rPr>
                <w:b w:val="0"/>
                <w:i w:val="0"/>
              </w:rPr>
              <w:t>Information panel</w:t>
            </w:r>
          </w:p>
        </w:tc>
        <w:tc>
          <w:tcPr>
            <w:tcW w:type="dxa" w:w="7704"/>
            <w:vAlign w:val="center"/>
            <w:tcMar>
              <w:top w:w="110" w:type="dxa"/>
              <w:start w:w="110" w:type="dxa"/>
              <w:bottom w:w="110" w:type="dxa"/>
              <w:end w:w="110" w:type="dxa"/>
            </w:tcMar>
          </w:tcPr>
          <w:p>
            <w:pPr>
              <w:spacing w:after="0"/>
            </w:pPr>
            <w:r>
              <w:rPr>
                <w:b w:val="0"/>
                <w:i w:val="0"/>
              </w:rPr>
              <w:t>Includes object data in the visual product.</w:t>
            </w:r>
          </w:p>
        </w:tc>
      </w:tr>
      <w:tr>
        <w:tc>
          <w:tcPr>
            <w:tcW w:type="dxa" w:w="2376"/>
            <w:vAlign w:val="center"/>
            <w:tcMar>
              <w:top w:w="110" w:type="dxa"/>
              <w:start w:w="110" w:type="dxa"/>
              <w:bottom w:w="110" w:type="dxa"/>
              <w:end w:w="110" w:type="dxa"/>
            </w:tcMar>
            <w:shd w:fill="EEF5FB"/>
          </w:tcPr>
          <w:p>
            <w:pPr>
              <w:spacing w:after="0"/>
            </w:pPr>
            <w:r>
              <w:rPr>
                <w:b w:val="0"/>
                <w:i w:val="0"/>
              </w:rPr>
              <w:t>Trail</w:t>
            </w:r>
          </w:p>
        </w:tc>
        <w:tc>
          <w:tcPr>
            <w:tcW w:type="dxa" w:w="7704"/>
            <w:vAlign w:val="center"/>
            <w:tcMar>
              <w:top w:w="110" w:type="dxa"/>
              <w:start w:w="110" w:type="dxa"/>
              <w:bottom w:w="110" w:type="dxa"/>
              <w:end w:w="110" w:type="dxa"/>
            </w:tcMar>
            <w:shd w:fill="EEF5FB"/>
          </w:tcPr>
          <w:p>
            <w:pPr>
              <w:spacing w:after="0"/>
            </w:pPr>
            <w:r>
              <w:rPr>
                <w:b w:val="0"/>
                <w:i w:val="0"/>
              </w:rPr>
              <w:t>Maintains previous positions of the object on the sky map.</w:t>
            </w:r>
          </w:p>
        </w:tc>
      </w:tr>
      <w:tr>
        <w:tc>
          <w:tcPr>
            <w:tcW w:type="dxa" w:w="2376"/>
            <w:vAlign w:val="center"/>
            <w:tcMar>
              <w:top w:w="110" w:type="dxa"/>
              <w:start w:w="110" w:type="dxa"/>
              <w:bottom w:w="110" w:type="dxa"/>
              <w:end w:w="110" w:type="dxa"/>
            </w:tcMar>
          </w:tcPr>
          <w:p>
            <w:pPr>
              <w:spacing w:after="0"/>
            </w:pPr>
            <w:r>
              <w:rPr>
                <w:b w:val="0"/>
                <w:i w:val="0"/>
              </w:rPr>
              <w:t>Maintain frames</w:t>
            </w:r>
          </w:p>
        </w:tc>
        <w:tc>
          <w:tcPr>
            <w:tcW w:type="dxa" w:w="7704"/>
            <w:vAlign w:val="center"/>
            <w:tcMar>
              <w:top w:w="110" w:type="dxa"/>
              <w:start w:w="110" w:type="dxa"/>
              <w:bottom w:w="110" w:type="dxa"/>
              <w:end w:w="110" w:type="dxa"/>
            </w:tcMar>
          </w:tcPr>
          <w:p>
            <w:pPr>
              <w:spacing w:after="0"/>
            </w:pPr>
            <w:r>
              <w:rPr>
                <w:b w:val="0"/>
                <w:i w:val="0"/>
              </w:rPr>
              <w:t>Preserves individual PNGs after animation.</w:t>
            </w:r>
          </w:p>
        </w:tc>
      </w:tr>
    </w:tbl>
    <w:p>
      <w:pPr>
        <w:spacing w:after="0"/>
      </w:pPr>
    </w:p>
    <w:p>
      <w:r>
        <w:rPr>
          <w:b w:val="0"/>
          <w:i w:val="0"/>
        </w:rPr>
        <w:t>Generating animation previously validates the number of frames. Canceling stops a generation in progress. Progress appears in the dashboard and bottom bar. Opening the animations folder shows the object's output directory.</w:t>
      </w:r>
    </w:p>
    <w:p>
      <w:pPr>
        <w:pStyle w:val="Heading2"/>
        <w:keepNext/>
      </w:pPr>
      <w:r>
        <w:rPr>
          <w:b w:val="0"/>
          <w:i w:val="0"/>
        </w:rPr>
        <w:t>Player</w:t>
      </w:r>
    </w:p>
    <w:p>
      <w:r>
        <w:rPr>
          <w:b w:val="0"/>
          <w:i w:val="0"/>
        </w:rPr>
        <w:t>After generating, use Play, Previous Frame, Next Frame, Slider and Repeat. Exported GIFs repeat continuously. On the sky map, the sequence uses a continuous window above the horizon and ends when the object is no longer visible.</w:t>
      </w:r>
    </w:p>
    <w:p>
      <w:r>
        <w:br w:type="page"/>
      </w:r>
    </w:p>
    <w:p>
      <w:pPr>
        <w:pStyle w:val="Heading1"/>
        <w:keepNext/>
      </w:pPr>
      <w:r>
        <w:rPr>
          <w:b w:val="0"/>
          <w:i w:val="0"/>
        </w:rPr>
        <w:t>Settings tab</w:t>
      </w:r>
    </w:p>
    <w:p>
      <w:pPr>
        <w:keepNext/>
        <w:jc w:val="center"/>
      </w:pPr>
      <w:r>
        <w:drawing>
          <wp:inline xmlns:a="http://schemas.openxmlformats.org/drawingml/2006/main" xmlns:pic="http://schemas.openxmlformats.org/drawingml/2006/picture">
            <wp:extent cx="6217920" cy="3730752"/>
            <wp:docPr id="8" name="Picture 8" descr="Figura 7  Local de referência e preferências reunidos em Ajustes"/>
            <wp:cNvGraphicFramePr>
              <a:graphicFrameLocks noChangeAspect="1"/>
            </wp:cNvGraphicFramePr>
            <a:graphic>
              <a:graphicData uri="http://schemas.openxmlformats.org/drawingml/2006/picture">
                <pic:pic>
                  <pic:nvPicPr>
                    <pic:cNvPr id="0" name="05_settings.png"/>
                    <pic:cNvPicPr/>
                  </pic:nvPicPr>
                  <pic:blipFill>
                    <a:blip r:embed="rId17"/>
                    <a:stretch>
                      <a:fillRect/>
                    </a:stretch>
                  </pic:blipFill>
                  <pic:spPr>
                    <a:xfrm>
                      <a:off x="0" y="0"/>
                      <a:ext cx="6217920" cy="3730752"/>
                    </a:xfrm>
                    <a:prstGeom prst="rect"/>
                  </pic:spPr>
                </pic:pic>
              </a:graphicData>
            </a:graphic>
          </wp:inline>
        </w:drawing>
      </w:r>
    </w:p>
    <w:p>
      <w:pPr>
        <w:spacing w:before="60" w:after="160"/>
        <w:jc w:val="center"/>
      </w:pPr>
      <w:r>
        <w:rPr>
          <w:b w:val="0"/>
          <w:i/>
        </w:rPr>
        <w:t>Figure 7 Reference location and preferences combined in Settings</w:t>
      </w:r>
    </w:p>
    <w:p>
      <w:pPr>
        <w:pStyle w:val="Heading2"/>
        <w:keepNext/>
      </w:pPr>
      <w:r>
        <w:rPr>
          <w:b w:val="0"/>
          <w:i w:val="0"/>
        </w:rPr>
        <w:t>Reference location</w:t>
      </w:r>
    </w:p>
    <w:p>
      <w:r>
        <w:rPr>
          <w:b w:val="0"/>
          <w:i w:val="0"/>
        </w:rPr>
        <w:t>The location defines the topocentric horizon, the LOCAL zone and the reference point. Choose a preset or enter name, latitude, longitude and altitude in meters.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1944"/>
            <w:vAlign w:val="center"/>
            <w:shd w:fill="174A7E"/>
            <w:tcMar>
              <w:top w:w="110" w:type="dxa"/>
              <w:start w:w="110" w:type="dxa"/>
              <w:bottom w:w="110" w:type="dxa"/>
              <w:end w:w="110" w:type="dxa"/>
            </w:tcMar>
          </w:tcPr>
          <w:p>
            <w:pPr>
              <w:jc w:val="center"/>
            </w:pPr>
            <w:r>
              <w:rPr>
                <w:b/>
                <w:i w:val="0"/>
              </w:rPr>
              <w:t>Action</w:t>
            </w:r>
          </w:p>
        </w:tc>
        <w:tc>
          <w:tcPr>
            <w:tcW w:type="dxa" w:w="8136"/>
            <w:vAlign w:val="center"/>
            <w:shd w:fill="174A7E"/>
            <w:tcMar>
              <w:top w:w="110" w:type="dxa"/>
              <w:start w:w="110" w:type="dxa"/>
              <w:bottom w:w="110" w:type="dxa"/>
              <w:end w:w="110" w:type="dxa"/>
            </w:tcMar>
          </w:tcPr>
          <w:p>
            <w:pPr>
              <w:jc w:val="center"/>
            </w:pPr>
            <w:r>
              <w:rPr>
                <w:b/>
                <w:i w:val="0"/>
              </w:rPr>
              <w:t>Result</w:t>
            </w:r>
          </w:p>
        </w:tc>
      </w:tr>
      <w:tr>
        <w:tc>
          <w:tcPr>
            <w:tcW w:type="dxa" w:w="1944"/>
            <w:vAlign w:val="center"/>
            <w:tcMar>
              <w:top w:w="110" w:type="dxa"/>
              <w:start w:w="110" w:type="dxa"/>
              <w:bottom w:w="110" w:type="dxa"/>
              <w:end w:w="110" w:type="dxa"/>
            </w:tcMar>
          </w:tcPr>
          <w:p>
            <w:pPr>
              <w:spacing w:after="0"/>
            </w:pPr>
            <w:r>
              <w:rPr>
                <w:b w:val="0"/>
                <w:i w:val="0"/>
              </w:rPr>
              <w:t>Save</w:t>
            </w:r>
          </w:p>
        </w:tc>
        <w:tc>
          <w:tcPr>
            <w:tcW w:type="dxa" w:w="8136"/>
            <w:vAlign w:val="center"/>
            <w:tcMar>
              <w:top w:w="110" w:type="dxa"/>
              <w:start w:w="110" w:type="dxa"/>
              <w:bottom w:w="110" w:type="dxa"/>
              <w:end w:w="110" w:type="dxa"/>
            </w:tcMar>
          </w:tcPr>
          <w:p>
            <w:pPr>
              <w:spacing w:after="0"/>
            </w:pPr>
            <w:r>
              <w:rPr>
                <w:b w:val="0"/>
                <w:i w:val="0"/>
              </w:rPr>
              <w:t>Creates a new preset with the given values.</w:t>
            </w:r>
          </w:p>
        </w:tc>
      </w:tr>
      <w:tr>
        <w:tc>
          <w:tcPr>
            <w:tcW w:type="dxa" w:w="1944"/>
            <w:vAlign w:val="center"/>
            <w:tcMar>
              <w:top w:w="110" w:type="dxa"/>
              <w:start w:w="110" w:type="dxa"/>
              <w:bottom w:w="110" w:type="dxa"/>
              <w:end w:w="110" w:type="dxa"/>
            </w:tcMar>
            <w:shd w:fill="EEF5FB"/>
          </w:tcPr>
          <w:p>
            <w:pPr>
              <w:spacing w:after="0"/>
            </w:pPr>
            <w:r>
              <w:rPr>
                <w:b w:val="0"/>
                <w:i w:val="0"/>
              </w:rPr>
              <w:t>To update</w:t>
            </w:r>
          </w:p>
        </w:tc>
        <w:tc>
          <w:tcPr>
            <w:tcW w:type="dxa" w:w="8136"/>
            <w:vAlign w:val="center"/>
            <w:tcMar>
              <w:top w:w="110" w:type="dxa"/>
              <w:start w:w="110" w:type="dxa"/>
              <w:bottom w:w="110" w:type="dxa"/>
              <w:end w:w="110" w:type="dxa"/>
            </w:tcMar>
            <w:shd w:fill="EEF5FB"/>
          </w:tcPr>
          <w:p>
            <w:pPr>
              <w:spacing w:after="0"/>
            </w:pPr>
            <w:r>
              <w:rPr>
                <w:b w:val="0"/>
                <w:i w:val="0"/>
              </w:rPr>
              <w:t>Overrides the values ​​of the selected preset.</w:t>
            </w:r>
          </w:p>
        </w:tc>
      </w:tr>
      <w:tr>
        <w:tc>
          <w:tcPr>
            <w:tcW w:type="dxa" w:w="1944"/>
            <w:vAlign w:val="center"/>
            <w:tcMar>
              <w:top w:w="110" w:type="dxa"/>
              <w:start w:w="110" w:type="dxa"/>
              <w:bottom w:w="110" w:type="dxa"/>
              <w:end w:w="110" w:type="dxa"/>
            </w:tcMar>
          </w:tcPr>
          <w:p>
            <w:pPr>
              <w:spacing w:after="0"/>
            </w:pPr>
            <w:r>
              <w:rPr>
                <w:b w:val="0"/>
                <w:i w:val="0"/>
              </w:rPr>
              <w:t>Delete</w:t>
            </w:r>
          </w:p>
        </w:tc>
        <w:tc>
          <w:tcPr>
            <w:tcW w:type="dxa" w:w="8136"/>
            <w:vAlign w:val="center"/>
            <w:tcMar>
              <w:top w:w="110" w:type="dxa"/>
              <w:start w:w="110" w:type="dxa"/>
              <w:bottom w:w="110" w:type="dxa"/>
              <w:end w:w="110" w:type="dxa"/>
            </w:tcMar>
          </w:tcPr>
          <w:p>
            <w:pPr>
              <w:spacing w:after="0"/>
            </w:pPr>
            <w:r>
              <w:rPr>
                <w:b w:val="0"/>
                <w:i w:val="0"/>
              </w:rPr>
              <w:t>Removes a user-created preset.</w:t>
            </w:r>
          </w:p>
        </w:tc>
      </w:tr>
      <w:tr>
        <w:tc>
          <w:tcPr>
            <w:tcW w:type="dxa" w:w="1944"/>
            <w:vAlign w:val="center"/>
            <w:tcMar>
              <w:top w:w="110" w:type="dxa"/>
              <w:start w:w="110" w:type="dxa"/>
              <w:bottom w:w="110" w:type="dxa"/>
              <w:end w:w="110" w:type="dxa"/>
            </w:tcMar>
            <w:shd w:fill="EEF5FB"/>
          </w:tcPr>
          <w:p>
            <w:pPr>
              <w:spacing w:after="0"/>
            </w:pPr>
            <w:r>
              <w:rPr>
                <w:b w:val="0"/>
                <w:i w:val="0"/>
              </w:rPr>
              <w:t>Custom</w:t>
            </w:r>
          </w:p>
        </w:tc>
        <w:tc>
          <w:tcPr>
            <w:tcW w:type="dxa" w:w="8136"/>
            <w:vAlign w:val="center"/>
            <w:tcMar>
              <w:top w:w="110" w:type="dxa"/>
              <w:start w:w="110" w:type="dxa"/>
              <w:bottom w:w="110" w:type="dxa"/>
              <w:end w:w="110" w:type="dxa"/>
            </w:tcMar>
            <w:shd w:fill="EEF5FB"/>
          </w:tcPr>
          <w:p>
            <w:pPr>
              <w:spacing w:after="0"/>
            </w:pPr>
            <w:r>
              <w:rPr>
                <w:b w:val="0"/>
                <w:i w:val="0"/>
              </w:rPr>
              <w:t>Uses coordinates without relying on a saved preset.</w:t>
            </w:r>
          </w:p>
        </w:tc>
      </w:tr>
    </w:tbl>
    <w:p>
      <w:pPr>
        <w:spacing w:after="0"/>
      </w:pPr>
    </w:p>
    <w:p>
      <w:r>
        <w:rPr>
          <w:b w:val="0"/>
          <w:i w:val="0"/>
        </w:rPr>
        <w:t>Positive latitude indicates north; positive longitude indicates east. Review signs and altitude before interpreting the horizon or local time.</w:t>
      </w:r>
    </w:p>
    <w:p>
      <w:r>
        <w:br w:type="page"/>
      </w:r>
    </w:p>
    <w:p>
      <w:pPr>
        <w:pStyle w:val="Heading1"/>
        <w:keepNext/>
      </w:pPr>
      <w:r>
        <w:rPr>
          <w:b w:val="0"/>
          <w:i w:val="0"/>
        </w:rPr>
        <w:t>Preferences and limits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880"/>
            <w:vAlign w:val="center"/>
            <w:shd w:fill="174A7E"/>
            <w:tcMar>
              <w:top w:w="110" w:type="dxa"/>
              <w:start w:w="110" w:type="dxa"/>
              <w:bottom w:w="110" w:type="dxa"/>
              <w:end w:w="110" w:type="dxa"/>
            </w:tcMar>
          </w:tcPr>
          <w:p>
            <w:pPr>
              <w:jc w:val="center"/>
            </w:pPr>
            <w:r>
              <w:rPr>
                <w:b/>
                <w:i w:val="0"/>
              </w:rPr>
              <w:t>Adjustment</w:t>
            </w:r>
          </w:p>
        </w:tc>
        <w:tc>
          <w:tcPr>
            <w:tcW w:type="dxa" w:w="7200"/>
            <w:vAlign w:val="center"/>
            <w:shd w:fill="174A7E"/>
            <w:tcMar>
              <w:top w:w="110" w:type="dxa"/>
              <w:start w:w="110" w:type="dxa"/>
              <w:bottom w:w="110" w:type="dxa"/>
              <w:end w:w="110" w:type="dxa"/>
            </w:tcMar>
          </w:tcPr>
          <w:p>
            <w:pPr>
              <w:jc w:val="center"/>
            </w:pPr>
            <w:r>
              <w:rPr>
                <w:b/>
                <w:i w:val="0"/>
              </w:rPr>
              <w:t>Effect</w:t>
            </w:r>
          </w:p>
        </w:tc>
      </w:tr>
      <w:tr>
        <w:tc>
          <w:tcPr>
            <w:tcW w:type="dxa" w:w="2880"/>
            <w:vAlign w:val="center"/>
            <w:tcMar>
              <w:top w:w="110" w:type="dxa"/>
              <w:start w:w="110" w:type="dxa"/>
              <w:bottom w:w="110" w:type="dxa"/>
              <w:end w:w="110" w:type="dxa"/>
            </w:tcMar>
          </w:tcPr>
          <w:p>
            <w:pPr>
              <w:spacing w:after="0"/>
            </w:pPr>
            <w:r>
              <w:rPr>
                <w:b w:val="0"/>
                <w:i w:val="0"/>
              </w:rPr>
              <w:t>Time display</w:t>
            </w:r>
          </w:p>
        </w:tc>
        <w:tc>
          <w:tcPr>
            <w:tcW w:type="dxa" w:w="7200"/>
            <w:vAlign w:val="center"/>
            <w:tcMar>
              <w:top w:w="110" w:type="dxa"/>
              <w:start w:w="110" w:type="dxa"/>
              <w:bottom w:w="110" w:type="dxa"/>
              <w:end w:w="110" w:type="dxa"/>
            </w:tcMar>
          </w:tcPr>
          <w:p>
            <w:pPr>
              <w:spacing w:after="0"/>
            </w:pPr>
            <w:r>
              <w:rPr>
                <w:b w:val="0"/>
                <w:i w:val="0"/>
              </w:rPr>
              <w:t>UTC or LOCAL for entries, titles and dates displayed.</w:t>
            </w:r>
          </w:p>
        </w:tc>
      </w:tr>
      <w:tr>
        <w:tc>
          <w:tcPr>
            <w:tcW w:type="dxa" w:w="2880"/>
            <w:vAlign w:val="center"/>
            <w:tcMar>
              <w:top w:w="110" w:type="dxa"/>
              <w:start w:w="110" w:type="dxa"/>
              <w:bottom w:w="110" w:type="dxa"/>
              <w:end w:w="110" w:type="dxa"/>
            </w:tcMar>
            <w:shd w:fill="EEF5FB"/>
          </w:tcPr>
          <w:p>
            <w:pPr>
              <w:spacing w:after="0"/>
            </w:pPr>
            <w:r>
              <w:rPr>
                <w:b w:val="0"/>
                <w:i w:val="0"/>
              </w:rPr>
              <w:t>Map language</w:t>
            </w:r>
          </w:p>
        </w:tc>
        <w:tc>
          <w:tcPr>
            <w:tcW w:type="dxa" w:w="7200"/>
            <w:vAlign w:val="center"/>
            <w:tcMar>
              <w:top w:w="110" w:type="dxa"/>
              <w:start w:w="110" w:type="dxa"/>
              <w:bottom w:w="110" w:type="dxa"/>
              <w:end w:w="110" w:type="dxa"/>
            </w:tcMar>
            <w:shd w:fill="EEF5FB"/>
          </w:tcPr>
          <w:p>
            <w:pPr>
              <w:spacing w:after="0"/>
            </w:pPr>
            <w:r>
              <w:rPr>
                <w:b w:val="0"/>
                <w:i w:val="0"/>
              </w:rPr>
              <w:t>EN, PT or ES for interface, maps, help and reports.</w:t>
            </w:r>
          </w:p>
        </w:tc>
      </w:tr>
      <w:tr>
        <w:tc>
          <w:tcPr>
            <w:tcW w:type="dxa" w:w="2880"/>
            <w:vAlign w:val="center"/>
            <w:tcMar>
              <w:top w:w="110" w:type="dxa"/>
              <w:start w:w="110" w:type="dxa"/>
              <w:bottom w:w="110" w:type="dxa"/>
              <w:end w:w="110" w:type="dxa"/>
            </w:tcMar>
          </w:tcPr>
          <w:p>
            <w:pPr>
              <w:spacing w:after="0"/>
            </w:pPr>
            <w:r>
              <w:rPr>
                <w:b w:val="0"/>
                <w:i w:val="0"/>
              </w:rPr>
              <w:t>Image size</w:t>
            </w:r>
          </w:p>
        </w:tc>
        <w:tc>
          <w:tcPr>
            <w:tcW w:type="dxa" w:w="7200"/>
            <w:vAlign w:val="center"/>
            <w:tcMar>
              <w:top w:w="110" w:type="dxa"/>
              <w:start w:w="110" w:type="dxa"/>
              <w:bottom w:w="110" w:type="dxa"/>
              <w:end w:w="110" w:type="dxa"/>
            </w:tcMar>
          </w:tcPr>
          <w:p>
            <w:pPr>
              <w:spacing w:after="0"/>
            </w:pPr>
            <w:r>
              <w:rPr>
                <w:b w:val="0"/>
                <w:i w:val="0"/>
              </w:rPr>
              <w:t>HD, FHD, 2K or 4K; Larger sizes require more memory and time.</w:t>
            </w:r>
          </w:p>
        </w:tc>
      </w:tr>
      <w:tr>
        <w:tc>
          <w:tcPr>
            <w:tcW w:type="dxa" w:w="2880"/>
            <w:vAlign w:val="center"/>
            <w:tcMar>
              <w:top w:w="110" w:type="dxa"/>
              <w:start w:w="110" w:type="dxa"/>
              <w:bottom w:w="110" w:type="dxa"/>
              <w:end w:w="110" w:type="dxa"/>
            </w:tcMar>
            <w:shd w:fill="EEF5FB"/>
          </w:tcPr>
          <w:p>
            <w:pPr>
              <w:spacing w:after="0"/>
            </w:pPr>
            <w:r>
              <w:rPr>
                <w:b w:val="0"/>
                <w:i w:val="0"/>
              </w:rPr>
              <w:t>DPI</w:t>
            </w:r>
          </w:p>
        </w:tc>
        <w:tc>
          <w:tcPr>
            <w:tcW w:type="dxa" w:w="7200"/>
            <w:vAlign w:val="center"/>
            <w:tcMar>
              <w:top w:w="110" w:type="dxa"/>
              <w:start w:w="110" w:type="dxa"/>
              <w:bottom w:w="110" w:type="dxa"/>
              <w:end w:w="110" w:type="dxa"/>
            </w:tcMar>
            <w:shd w:fill="EEF5FB"/>
          </w:tcPr>
          <w:p>
            <w:pPr>
              <w:spacing w:after="0"/>
            </w:pPr>
            <w:r>
              <w:rPr>
                <w:b w:val="0"/>
                <w:i w:val="0"/>
              </w:rPr>
              <w:t>Sets the density of the rendered file.</w:t>
            </w:r>
          </w:p>
        </w:tc>
      </w:tr>
      <w:tr>
        <w:tc>
          <w:tcPr>
            <w:tcW w:type="dxa" w:w="2880"/>
            <w:vAlign w:val="center"/>
            <w:tcMar>
              <w:top w:w="110" w:type="dxa"/>
              <w:start w:w="110" w:type="dxa"/>
              <w:bottom w:w="110" w:type="dxa"/>
              <w:end w:w="110" w:type="dxa"/>
            </w:tcMar>
          </w:tcPr>
          <w:p>
            <w:pPr>
              <w:spacing w:after="0"/>
            </w:pPr>
            <w:r>
              <w:rPr>
                <w:b w:val="0"/>
                <w:i w:val="0"/>
              </w:rPr>
              <w:t>Distance unit</w:t>
            </w:r>
          </w:p>
        </w:tc>
        <w:tc>
          <w:tcPr>
            <w:tcW w:type="dxa" w:w="7200"/>
            <w:vAlign w:val="center"/>
            <w:tcMar>
              <w:top w:w="110" w:type="dxa"/>
              <w:start w:w="110" w:type="dxa"/>
              <w:bottom w:w="110" w:type="dxa"/>
              <w:end w:w="110" w:type="dxa"/>
            </w:tcMar>
          </w:tcPr>
          <w:p>
            <w:pPr>
              <w:spacing w:after="0"/>
            </w:pPr>
            <w:r>
              <w:rPr>
                <w:b w:val="0"/>
                <w:i w:val="0"/>
              </w:rPr>
              <w:t>AU or km on cards, maps, Solar System, summary and new animations.</w:t>
            </w:r>
          </w:p>
        </w:tc>
      </w:tr>
      <w:tr>
        <w:tc>
          <w:tcPr>
            <w:tcW w:type="dxa" w:w="2880"/>
            <w:vAlign w:val="center"/>
            <w:tcMar>
              <w:top w:w="110" w:type="dxa"/>
              <w:start w:w="110" w:type="dxa"/>
              <w:bottom w:w="110" w:type="dxa"/>
              <w:end w:w="110" w:type="dxa"/>
            </w:tcMar>
            <w:shd w:fill="EEF5FB"/>
          </w:tcPr>
          <w:p>
            <w:pPr>
              <w:spacing w:after="0"/>
            </w:pPr>
            <w:r>
              <w:rPr>
                <w:b w:val="0"/>
                <w:i w:val="0"/>
              </w:rPr>
              <w:t>Frame Limit</w:t>
            </w:r>
          </w:p>
        </w:tc>
        <w:tc>
          <w:tcPr>
            <w:tcW w:type="dxa" w:w="7200"/>
            <w:vAlign w:val="center"/>
            <w:tcMar>
              <w:top w:w="110" w:type="dxa"/>
              <w:start w:w="110" w:type="dxa"/>
              <w:bottom w:w="110" w:type="dxa"/>
              <w:end w:w="110" w:type="dxa"/>
            </w:tcMar>
            <w:shd w:fill="EEF5FB"/>
          </w:tcPr>
          <w:p>
            <w:pPr>
              <w:spacing w:after="0"/>
            </w:pPr>
            <w:r>
              <w:rPr>
                <w:b w:val="0"/>
                <w:i w:val="0"/>
              </w:rPr>
              <w:t>Stops excessive animation requests before rendering.</w:t>
            </w:r>
          </w:p>
        </w:tc>
      </w:tr>
      <w:tr>
        <w:tc>
          <w:tcPr>
            <w:tcW w:type="dxa" w:w="2880"/>
            <w:vAlign w:val="center"/>
            <w:tcMar>
              <w:top w:w="110" w:type="dxa"/>
              <w:start w:w="110" w:type="dxa"/>
              <w:bottom w:w="110" w:type="dxa"/>
              <w:end w:w="110" w:type="dxa"/>
            </w:tcMar>
          </w:tcPr>
          <w:p>
            <w:pPr>
              <w:spacing w:after="0"/>
            </w:pPr>
            <w:r>
              <w:rPr>
                <w:b w:val="0"/>
                <w:i w:val="0"/>
              </w:rPr>
              <w:t>Ephemeris limit</w:t>
            </w:r>
          </w:p>
        </w:tc>
        <w:tc>
          <w:tcPr>
            <w:tcW w:type="dxa" w:w="7200"/>
            <w:vAlign w:val="center"/>
            <w:tcMar>
              <w:top w:w="110" w:type="dxa"/>
              <w:start w:w="110" w:type="dxa"/>
              <w:bottom w:w="110" w:type="dxa"/>
              <w:end w:w="110" w:type="dxa"/>
            </w:tcMar>
          </w:tcPr>
          <w:p>
            <w:pPr>
              <w:spacing w:after="0"/>
            </w:pPr>
            <w:r>
              <w:rPr>
                <w:b w:val="0"/>
                <w:i w:val="0"/>
              </w:rPr>
              <w:t>Stop orders with too many lines before querying.</w:t>
            </w:r>
          </w:p>
        </w:tc>
      </w:tr>
    </w:tbl>
    <w:p>
      <w:pPr>
        <w:spacing w:after="0"/>
      </w:pPr>
    </w:p>
    <w:p>
      <w:r>
        <w:rPr>
          <w:b w:val="0"/>
          <w:i w:val="0"/>
        </w:rPr>
        <w:t>Preferences are saved automatically. Changing the unit updates already loaded static cards and graphics; Old animations need to be generated again to change their texts.</w:t>
      </w:r>
    </w:p>
    <w:p>
      <w:pPr>
        <w:pStyle w:val="Heading2"/>
        <w:keepNext/>
      </w:pPr>
      <w:r>
        <w:rPr>
          <w:b w:val="0"/>
          <w:i w:val="0"/>
        </w:rPr>
        <w:t>UTC and LOCAL</w:t>
      </w:r>
    </w:p>
    <w:p>
      <w:r>
        <w:rPr>
          <w:b w:val="0"/>
          <w:i w:val="0"/>
        </w:rPr>
        <w:t>UTC is the universal presentation scale. LOCAL uses the zone determined by the observer coordinates. When planning an observation near midnight, check the full date displayed, as the conversion may change the calendar day.</w:t>
      </w:r>
    </w:p>
    <w:p>
      <w:r>
        <w:br w:type="page"/>
      </w:r>
    </w:p>
    <w:p>
      <w:pPr>
        <w:pStyle w:val="Heading1"/>
        <w:keepNext/>
      </w:pPr>
      <w:r>
        <w:rPr>
          <w:b w:val="0"/>
          <w:i w:val="0"/>
        </w:rPr>
        <w:t>About and help tab</w:t>
      </w:r>
    </w:p>
    <w:p>
      <w:pPr>
        <w:keepNext/>
        <w:jc w:val="center"/>
      </w:pPr>
      <w:r>
        <w:drawing>
          <wp:inline xmlns:a="http://schemas.openxmlformats.org/drawingml/2006/main" xmlns:pic="http://schemas.openxmlformats.org/drawingml/2006/picture">
            <wp:extent cx="6217920" cy="3730752"/>
            <wp:docPr id="9" name="Picture 9" descr="Figura 8  Sobre com versão, créditos e acesso à ajuda"/>
            <wp:cNvGraphicFramePr>
              <a:graphicFrameLocks noChangeAspect="1"/>
            </wp:cNvGraphicFramePr>
            <a:graphic>
              <a:graphicData uri="http://schemas.openxmlformats.org/drawingml/2006/picture">
                <pic:pic>
                  <pic:nvPicPr>
                    <pic:cNvPr id="0" name="06_about.png"/>
                    <pic:cNvPicPr/>
                  </pic:nvPicPr>
                  <pic:blipFill>
                    <a:blip r:embed="rId18"/>
                    <a:stretch>
                      <a:fillRect/>
                    </a:stretch>
                  </pic:blipFill>
                  <pic:spPr>
                    <a:xfrm>
                      <a:off x="0" y="0"/>
                      <a:ext cx="6217920" cy="3730752"/>
                    </a:xfrm>
                    <a:prstGeom prst="rect"/>
                  </pic:spPr>
                </pic:pic>
              </a:graphicData>
            </a:graphic>
          </wp:inline>
        </w:drawing>
      </w:r>
    </w:p>
    <w:p>
      <w:pPr>
        <w:spacing w:before="60" w:after="160"/>
        <w:jc w:val="center"/>
      </w:pPr>
      <w:r>
        <w:rPr>
          <w:b w:val="0"/>
          <w:i/>
        </w:rPr>
        <w:t>Figure 8 About with version, credits and access to help</w:t>
      </w:r>
    </w:p>
    <w:p>
      <w:r>
        <w:rPr>
          <w:b w:val="0"/>
          <w:i w:val="0"/>
        </w:rPr>
        <w:t>About presents the installed version, the purpose of the software and the Hipparcos catalog credits. The stellar subset is credited to ESA and is subject to the CC BY NC 3.0 IGO license.</w:t>
      </w:r>
    </w:p>
    <w:p>
      <w:r>
        <w:rPr>
          <w:b w:val="0"/>
          <w:i w:val="0"/>
        </w:rPr>
        <w:t>NEOMapper is brought to you by the SONEAR Observatory and the AstroNEOS channel. The subscribe link opens the channel in your default browser.</w:t>
      </w:r>
    </w:p>
    <w:p>
      <w:pPr>
        <w:pStyle w:val="Heading2"/>
        <w:keepNext/>
      </w:pPr>
      <w:r>
        <w:rPr>
          <w:b w:val="0"/>
          <w:i w:val="0"/>
        </w:rPr>
        <w:t>Contextual help</w:t>
      </w:r>
    </w:p>
    <w:p>
      <w:r>
        <w:rPr>
          <w:b w:val="0"/>
          <w:i w:val="0"/>
        </w:rPr>
        <w:t>The Help button opens a glossary with right ascension, declination, elongation, phase angle, tail PA, magnitude, times, Orbital Summary references, observation limits and units. Headers and scientific cells also have hover explanations.</w:t>
      </w:r>
    </w:p>
    <w:p>
      <w:r>
        <w:rPr>
          <w:b w:val="0"/>
          <w:i w:val="0"/>
        </w:rPr>
        <w:t>Help follows the language selected in Settings.</w:t>
      </w:r>
    </w:p>
    <w:p>
      <w:r>
        <w:br w:type="page"/>
      </w:r>
    </w:p>
    <w:p>
      <w:pPr>
        <w:pStyle w:val="Heading1"/>
        <w:keepNext/>
      </w:pPr>
      <w:r>
        <w:rPr>
          <w:b w:val="0"/>
          <w:i w:val="0"/>
        </w:rPr>
        <w:t>User files and data</w:t>
      </w:r>
    </w:p>
    <w:p>
      <w:r>
        <w:rPr>
          <w:b w:val="0"/>
          <w:i w:val="0"/>
        </w:rPr>
        <w:t>NEOMapper writes settings, favorites, logs and products outside the installed folder.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376"/>
            <w:vAlign w:val="center"/>
            <w:shd w:fill="174A7E"/>
            <w:tcMar>
              <w:top w:w="110" w:type="dxa"/>
              <w:start w:w="110" w:type="dxa"/>
              <w:bottom w:w="110" w:type="dxa"/>
              <w:end w:w="110" w:type="dxa"/>
            </w:tcMar>
          </w:tcPr>
          <w:p>
            <w:pPr>
              <w:jc w:val="center"/>
            </w:pPr>
            <w:r>
              <w:rPr>
                <w:b/>
                <w:i w:val="0"/>
              </w:rPr>
              <w:t>Content</w:t>
            </w:r>
          </w:p>
        </w:tc>
        <w:tc>
          <w:tcPr>
            <w:tcW w:type="dxa" w:w="7704"/>
            <w:vAlign w:val="center"/>
            <w:shd w:fill="174A7E"/>
            <w:tcMar>
              <w:top w:w="110" w:type="dxa"/>
              <w:start w:w="110" w:type="dxa"/>
              <w:bottom w:w="110" w:type="dxa"/>
              <w:end w:w="110" w:type="dxa"/>
            </w:tcMar>
          </w:tcPr>
          <w:p>
            <w:pPr>
              <w:jc w:val="center"/>
            </w:pPr>
            <w:r>
              <w:rPr>
                <w:b/>
                <w:i w:val="0"/>
              </w:rPr>
              <w:t>Default location</w:t>
            </w:r>
          </w:p>
        </w:tc>
      </w:tr>
      <w:tr>
        <w:tc>
          <w:tcPr>
            <w:tcW w:type="dxa" w:w="2376"/>
            <w:vAlign w:val="center"/>
            <w:tcMar>
              <w:top w:w="110" w:type="dxa"/>
              <w:start w:w="110" w:type="dxa"/>
              <w:bottom w:w="110" w:type="dxa"/>
              <w:end w:w="110" w:type="dxa"/>
            </w:tcMar>
          </w:tcPr>
          <w:p>
            <w:pPr>
              <w:spacing w:after="0"/>
            </w:pPr>
            <w:r>
              <w:rPr>
                <w:b w:val="0"/>
                <w:i w:val="0"/>
              </w:rPr>
              <w:t>Settings</w:t>
            </w:r>
          </w:p>
        </w:tc>
        <w:tc>
          <w:tcPr>
            <w:tcW w:type="dxa" w:w="7704"/>
            <w:vAlign w:val="center"/>
            <w:tcMar>
              <w:top w:w="110" w:type="dxa"/>
              <w:start w:w="110" w:type="dxa"/>
              <w:bottom w:w="110" w:type="dxa"/>
              <w:end w:w="110" w:type="dxa"/>
            </w:tcMar>
          </w:tcPr>
          <w:p>
            <w:pPr>
              <w:spacing w:after="0"/>
            </w:pPr>
            <w:r>
              <w:rPr>
                <w:b w:val="0"/>
                <w:i w:val="0"/>
              </w:rPr>
              <w:t>%LOCALAPPDATA%\NEOMapper\NEOMapper_config.ini</w:t>
            </w:r>
          </w:p>
        </w:tc>
      </w:tr>
      <w:tr>
        <w:tc>
          <w:tcPr>
            <w:tcW w:type="dxa" w:w="2376"/>
            <w:vAlign w:val="center"/>
            <w:tcMar>
              <w:top w:w="110" w:type="dxa"/>
              <w:start w:w="110" w:type="dxa"/>
              <w:bottom w:w="110" w:type="dxa"/>
              <w:end w:w="110" w:type="dxa"/>
            </w:tcMar>
            <w:shd w:fill="EEF5FB"/>
          </w:tcPr>
          <w:p>
            <w:pPr>
              <w:spacing w:after="0"/>
            </w:pPr>
            <w:r>
              <w:rPr>
                <w:b w:val="0"/>
                <w:i w:val="0"/>
              </w:rPr>
              <w:t>Favorites</w:t>
            </w:r>
          </w:p>
        </w:tc>
        <w:tc>
          <w:tcPr>
            <w:tcW w:type="dxa" w:w="7704"/>
            <w:vAlign w:val="center"/>
            <w:tcMar>
              <w:top w:w="110" w:type="dxa"/>
              <w:start w:w="110" w:type="dxa"/>
              <w:bottom w:w="110" w:type="dxa"/>
              <w:end w:w="110" w:type="dxa"/>
            </w:tcMar>
            <w:shd w:fill="EEF5FB"/>
          </w:tcPr>
          <w:p>
            <w:pPr>
              <w:spacing w:after="0"/>
            </w:pPr>
            <w:r>
              <w:rPr>
                <w:b w:val="0"/>
                <w:i w:val="0"/>
              </w:rPr>
              <w:t>%LOCALAPPDATA%\NEOMapper\favorites.json</w:t>
            </w:r>
          </w:p>
        </w:tc>
      </w:tr>
      <w:tr>
        <w:tc>
          <w:tcPr>
            <w:tcW w:type="dxa" w:w="2376"/>
            <w:vAlign w:val="center"/>
            <w:tcMar>
              <w:top w:w="110" w:type="dxa"/>
              <w:start w:w="110" w:type="dxa"/>
              <w:bottom w:w="110" w:type="dxa"/>
              <w:end w:w="110" w:type="dxa"/>
            </w:tcMar>
          </w:tcPr>
          <w:p>
            <w:pPr>
              <w:spacing w:after="0"/>
            </w:pPr>
            <w:r>
              <w:rPr>
                <w:b w:val="0"/>
                <w:i w:val="0"/>
              </w:rPr>
              <w:t>Maps and animations</w:t>
            </w:r>
          </w:p>
        </w:tc>
        <w:tc>
          <w:tcPr>
            <w:tcW w:type="dxa" w:w="7704"/>
            <w:vAlign w:val="center"/>
            <w:tcMar>
              <w:top w:w="110" w:type="dxa"/>
              <w:start w:w="110" w:type="dxa"/>
              <w:bottom w:w="110" w:type="dxa"/>
              <w:end w:w="110" w:type="dxa"/>
            </w:tcMar>
          </w:tcPr>
          <w:p>
            <w:pPr>
              <w:spacing w:after="0"/>
            </w:pPr>
            <w:r>
              <w:rPr>
                <w:b w:val="0"/>
                <w:i w:val="0"/>
              </w:rPr>
              <w:t>%LOCALAPPDATA%\NEOMapper\output\&lt;object&gt;-&lt;date&gt;</w:t>
            </w:r>
          </w:p>
        </w:tc>
      </w:tr>
      <w:tr>
        <w:tc>
          <w:tcPr>
            <w:tcW w:type="dxa" w:w="2376"/>
            <w:vAlign w:val="center"/>
            <w:tcMar>
              <w:top w:w="110" w:type="dxa"/>
              <w:start w:w="110" w:type="dxa"/>
              <w:bottom w:w="110" w:type="dxa"/>
              <w:end w:w="110" w:type="dxa"/>
            </w:tcMar>
            <w:shd w:fill="EEF5FB"/>
          </w:tcPr>
          <w:p>
            <w:pPr>
              <w:spacing w:after="0"/>
            </w:pPr>
            <w:r>
              <w:rPr>
                <w:b w:val="0"/>
                <w:i w:val="0"/>
              </w:rPr>
              <w:t>Logs</w:t>
            </w:r>
          </w:p>
        </w:tc>
        <w:tc>
          <w:tcPr>
            <w:tcW w:type="dxa" w:w="7704"/>
            <w:vAlign w:val="center"/>
            <w:tcMar>
              <w:top w:w="110" w:type="dxa"/>
              <w:start w:w="110" w:type="dxa"/>
              <w:bottom w:w="110" w:type="dxa"/>
              <w:end w:w="110" w:type="dxa"/>
            </w:tcMar>
            <w:shd w:fill="EEF5FB"/>
          </w:tcPr>
          <w:p>
            <w:pPr>
              <w:spacing w:after="0"/>
            </w:pPr>
            <w:r>
              <w:rPr>
                <w:b w:val="0"/>
                <w:i w:val="0"/>
              </w:rPr>
              <w:t>%LOCALAPPDATA%\NEOMapper\logs</w:t>
            </w:r>
          </w:p>
        </w:tc>
      </w:tr>
    </w:tbl>
    <w:p>
      <w:pPr>
        <w:spacing w:after="0"/>
      </w:pPr>
    </w:p>
    <w:p>
      <w:r>
        <w:rPr>
          <w:b w:val="0"/>
          <w:i w:val="0"/>
        </w:rPr>
        <w:t>Each output folder combines a Windows-safe designation with the local generation date. Images, graphics and animations of the same object and day are brought together.</w:t>
      </w:r>
    </w:p>
    <w:p>
      <w:pPr>
        <w:pStyle w:val="Heading2"/>
        <w:keepNext/>
      </w:pPr>
      <w:r>
        <w:rPr>
          <w:b w:val="0"/>
          <w:i w:val="0"/>
        </w:rPr>
        <w:t>Privacy and network</w:t>
      </w:r>
    </w:p>
    <w:p>
      <w:r>
        <w:rPr>
          <w:b w:val="0"/>
          <w:i w:val="0"/>
        </w:rPr>
        <w:t>The application does not have its own account or telemetry. When querying an object, it sends the designation, time and necessary parameters to JPL Horizons or Minor Planet Center. Error logs are on the computer and may contain technical details of the query.</w:t>
      </w:r>
    </w:p>
    <w:p>
      <w:r>
        <w:br w:type="page"/>
      </w:r>
    </w:p>
    <w:p>
      <w:pPr>
        <w:pStyle w:val="Heading1"/>
        <w:keepNext/>
      </w:pPr>
      <w:r>
        <w:rPr>
          <w:b w:val="0"/>
          <w:i w:val="0"/>
        </w:rPr>
        <w:t>Troubleshooting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952"/>
            <w:vAlign w:val="center"/>
            <w:shd w:fill="174A7E"/>
            <w:tcMar>
              <w:top w:w="110" w:type="dxa"/>
              <w:start w:w="110" w:type="dxa"/>
              <w:bottom w:w="110" w:type="dxa"/>
              <w:end w:w="110" w:type="dxa"/>
            </w:tcMar>
          </w:tcPr>
          <w:p>
            <w:pPr>
              <w:jc w:val="center"/>
            </w:pPr>
            <w:r>
              <w:rPr>
                <w:b/>
                <w:i w:val="0"/>
              </w:rPr>
              <w:t>Symptom</w:t>
            </w:r>
          </w:p>
        </w:tc>
        <w:tc>
          <w:tcPr>
            <w:tcW w:type="dxa" w:w="7128"/>
            <w:vAlign w:val="center"/>
            <w:shd w:fill="174A7E"/>
            <w:tcMar>
              <w:top w:w="110" w:type="dxa"/>
              <w:start w:w="110" w:type="dxa"/>
              <w:bottom w:w="110" w:type="dxa"/>
              <w:end w:w="110" w:type="dxa"/>
            </w:tcMar>
          </w:tcPr>
          <w:p>
            <w:pPr>
              <w:jc w:val="center"/>
            </w:pPr>
            <w:r>
              <w:rPr>
                <w:b/>
                <w:i w:val="0"/>
              </w:rPr>
              <w:t>Recommended Action</w:t>
            </w:r>
          </w:p>
        </w:tc>
      </w:tr>
      <w:tr>
        <w:tc>
          <w:tcPr>
            <w:tcW w:type="dxa" w:w="2952"/>
            <w:vAlign w:val="center"/>
            <w:tcMar>
              <w:top w:w="110" w:type="dxa"/>
              <w:start w:w="110" w:type="dxa"/>
              <w:bottom w:w="110" w:type="dxa"/>
              <w:end w:w="110" w:type="dxa"/>
            </w:tcMar>
          </w:tcPr>
          <w:p>
            <w:pPr>
              <w:spacing w:after="0"/>
            </w:pPr>
            <w:r>
              <w:rPr>
                <w:b w:val="0"/>
                <w:i w:val="0"/>
              </w:rPr>
              <w:t>Object not found</w:t>
            </w:r>
          </w:p>
        </w:tc>
        <w:tc>
          <w:tcPr>
            <w:tcW w:type="dxa" w:w="7128"/>
            <w:vAlign w:val="center"/>
            <w:tcMar>
              <w:top w:w="110" w:type="dxa"/>
              <w:start w:w="110" w:type="dxa"/>
              <w:bottom w:w="110" w:type="dxa"/>
              <w:end w:w="110" w:type="dxa"/>
            </w:tcMar>
          </w:tcPr>
          <w:p>
            <w:pPr>
              <w:spacing w:after="0"/>
            </w:pPr>
            <w:r>
              <w:rPr>
                <w:b w:val="0"/>
                <w:i w:val="0"/>
              </w:rPr>
              <w:t>Review the designation and connection. Please wait and try again if the provider is unavailable.</w:t>
            </w:r>
          </w:p>
        </w:tc>
      </w:tr>
      <w:tr>
        <w:tc>
          <w:tcPr>
            <w:tcW w:type="dxa" w:w="2952"/>
            <w:vAlign w:val="center"/>
            <w:tcMar>
              <w:top w:w="110" w:type="dxa"/>
              <w:start w:w="110" w:type="dxa"/>
              <w:bottom w:w="110" w:type="dxa"/>
              <w:end w:w="110" w:type="dxa"/>
            </w:tcMar>
            <w:shd w:fill="EEF5FB"/>
          </w:tcPr>
          <w:p>
            <w:pPr>
              <w:spacing w:after="0"/>
            </w:pPr>
            <w:r>
              <w:rPr>
                <w:b w:val="0"/>
                <w:i w:val="0"/>
              </w:rPr>
              <w:t>Next buttons disabled</w:t>
            </w:r>
          </w:p>
        </w:tc>
        <w:tc>
          <w:tcPr>
            <w:tcW w:type="dxa" w:w="7128"/>
            <w:vAlign w:val="center"/>
            <w:tcMar>
              <w:top w:w="110" w:type="dxa"/>
              <w:start w:w="110" w:type="dxa"/>
              <w:bottom w:w="110" w:type="dxa"/>
              <w:end w:w="110" w:type="dxa"/>
            </w:tcMar>
            <w:shd w:fill="EEF5FB"/>
          </w:tcPr>
          <w:p>
            <w:pPr>
              <w:spacing w:after="0"/>
            </w:pPr>
            <w:r>
              <w:rPr>
                <w:b w:val="0"/>
                <w:i w:val="0"/>
              </w:rPr>
              <w:t>Click Search again after changing object or date.</w:t>
            </w:r>
          </w:p>
        </w:tc>
      </w:tr>
      <w:tr>
        <w:tc>
          <w:tcPr>
            <w:tcW w:type="dxa" w:w="2952"/>
            <w:vAlign w:val="center"/>
            <w:tcMar>
              <w:top w:w="110" w:type="dxa"/>
              <w:start w:w="110" w:type="dxa"/>
              <w:bottom w:w="110" w:type="dxa"/>
              <w:end w:w="110" w:type="dxa"/>
            </w:tcMar>
          </w:tcPr>
          <w:p>
            <w:pPr>
              <w:spacing w:after="0"/>
            </w:pPr>
            <w:r>
              <w:rPr>
                <w:b w:val="0"/>
                <w:i w:val="0"/>
              </w:rPr>
              <w:t>Chart without green window</w:t>
            </w:r>
          </w:p>
        </w:tc>
        <w:tc>
          <w:tcPr>
            <w:tcW w:type="dxa" w:w="7128"/>
            <w:vAlign w:val="center"/>
            <w:tcMar>
              <w:top w:w="110" w:type="dxa"/>
              <w:start w:w="110" w:type="dxa"/>
              <w:bottom w:w="110" w:type="dxa"/>
              <w:end w:w="110" w:type="dxa"/>
            </w:tcMar>
          </w:tcPr>
          <w:p>
            <w:pPr>
              <w:spacing w:after="0"/>
            </w:pPr>
            <w:r>
              <w:rPr>
                <w:b w:val="0"/>
                <w:i w:val="0"/>
              </w:rPr>
              <w:t>Review minimum altitude and solar limit; the object may not meet both criteria.</w:t>
            </w:r>
          </w:p>
        </w:tc>
      </w:tr>
      <w:tr>
        <w:tc>
          <w:tcPr>
            <w:tcW w:type="dxa" w:w="2952"/>
            <w:vAlign w:val="center"/>
            <w:tcMar>
              <w:top w:w="110" w:type="dxa"/>
              <w:start w:w="110" w:type="dxa"/>
              <w:bottom w:w="110" w:type="dxa"/>
              <w:end w:w="110" w:type="dxa"/>
            </w:tcMar>
            <w:shd w:fill="EEF5FB"/>
          </w:tcPr>
          <w:p>
            <w:pPr>
              <w:spacing w:after="0"/>
            </w:pPr>
            <w:r>
              <w:rPr>
                <w:b w:val="0"/>
                <w:i w:val="0"/>
              </w:rPr>
              <w:t>Summary delay</w:t>
            </w:r>
          </w:p>
        </w:tc>
        <w:tc>
          <w:tcPr>
            <w:tcW w:type="dxa" w:w="7128"/>
            <w:vAlign w:val="center"/>
            <w:tcMar>
              <w:top w:w="110" w:type="dxa"/>
              <w:start w:w="110" w:type="dxa"/>
              <w:bottom w:w="110" w:type="dxa"/>
              <w:end w:w="110" w:type="dxa"/>
            </w:tcMar>
            <w:shd w:fill="EEF5FB"/>
          </w:tcPr>
          <w:p>
            <w:pPr>
              <w:spacing w:after="0"/>
            </w:pPr>
            <w:r>
              <w:rPr>
                <w:b w:val="0"/>
                <w:i w:val="0"/>
              </w:rPr>
              <w:t>The search can consult hundreds of epochs and, in long periods, the next orbital passage.</w:t>
            </w:r>
          </w:p>
        </w:tc>
      </w:tr>
      <w:tr>
        <w:tc>
          <w:tcPr>
            <w:tcW w:type="dxa" w:w="2952"/>
            <w:vAlign w:val="center"/>
            <w:tcMar>
              <w:top w:w="110" w:type="dxa"/>
              <w:start w:w="110" w:type="dxa"/>
              <w:bottom w:w="110" w:type="dxa"/>
              <w:end w:w="110" w:type="dxa"/>
            </w:tcMar>
          </w:tcPr>
          <w:p>
            <w:pPr>
              <w:spacing w:after="0"/>
            </w:pPr>
            <w:r>
              <w:rPr>
                <w:b w:val="0"/>
                <w:i w:val="0"/>
              </w:rPr>
              <w:t>Closer approximation does not appear</w:t>
            </w:r>
          </w:p>
        </w:tc>
        <w:tc>
          <w:tcPr>
            <w:tcW w:type="dxa" w:w="7128"/>
            <w:vAlign w:val="center"/>
            <w:tcMar>
              <w:top w:w="110" w:type="dxa"/>
              <w:start w:w="110" w:type="dxa"/>
              <w:bottom w:w="110" w:type="dxa"/>
              <w:end w:w="110" w:type="dxa"/>
            </w:tcMar>
          </w:tcPr>
          <w:p>
            <w:pPr>
              <w:spacing w:after="0"/>
            </w:pPr>
            <w:r>
              <w:rPr>
                <w:b w:val="0"/>
                <w:i w:val="0"/>
              </w:rPr>
              <w:t>The compact table must show three rows; Maximize the window and confirm that you are using version 4.2.0.</w:t>
            </w:r>
          </w:p>
        </w:tc>
      </w:tr>
      <w:tr>
        <w:tc>
          <w:tcPr>
            <w:tcW w:type="dxa" w:w="2952"/>
            <w:vAlign w:val="center"/>
            <w:tcMar>
              <w:top w:w="110" w:type="dxa"/>
              <w:start w:w="110" w:type="dxa"/>
              <w:bottom w:w="110" w:type="dxa"/>
              <w:end w:w="110" w:type="dxa"/>
            </w:tcMar>
            <w:shd w:fill="EEF5FB"/>
          </w:tcPr>
          <w:p>
            <w:pPr>
              <w:spacing w:after="0"/>
            </w:pPr>
            <w:r>
              <w:rPr>
                <w:b w:val="0"/>
                <w:i w:val="0"/>
              </w:rPr>
              <w:t>Sky map without object</w:t>
            </w:r>
          </w:p>
        </w:tc>
        <w:tc>
          <w:tcPr>
            <w:tcW w:type="dxa" w:w="7128"/>
            <w:vAlign w:val="center"/>
            <w:tcMar>
              <w:top w:w="110" w:type="dxa"/>
              <w:start w:w="110" w:type="dxa"/>
              <w:bottom w:w="110" w:type="dxa"/>
              <w:end w:w="110" w:type="dxa"/>
            </w:tcMar>
            <w:shd w:fill="EEF5FB"/>
          </w:tcPr>
          <w:p>
            <w:pPr>
              <w:spacing w:after="0"/>
            </w:pPr>
            <w:r>
              <w:rPr>
                <w:b w:val="0"/>
                <w:i w:val="0"/>
              </w:rPr>
              <w:t>Check the altitude. Below the horizon, the marker is not artificially shifted to the edge.</w:t>
            </w:r>
          </w:p>
        </w:tc>
      </w:tr>
      <w:tr>
        <w:tc>
          <w:tcPr>
            <w:tcW w:type="dxa" w:w="2952"/>
            <w:vAlign w:val="center"/>
            <w:tcMar>
              <w:top w:w="110" w:type="dxa"/>
              <w:start w:w="110" w:type="dxa"/>
              <w:bottom w:w="110" w:type="dxa"/>
              <w:end w:w="110" w:type="dxa"/>
            </w:tcMar>
          </w:tcPr>
          <w:p>
            <w:pPr>
              <w:spacing w:after="0"/>
            </w:pPr>
            <w:r>
              <w:rPr>
                <w:b w:val="0"/>
                <w:i w:val="0"/>
              </w:rPr>
              <w:t>Animation refused</w:t>
            </w:r>
          </w:p>
        </w:tc>
        <w:tc>
          <w:tcPr>
            <w:tcW w:type="dxa" w:w="7128"/>
            <w:vAlign w:val="center"/>
            <w:tcMar>
              <w:top w:w="110" w:type="dxa"/>
              <w:start w:w="110" w:type="dxa"/>
              <w:bottom w:w="110" w:type="dxa"/>
              <w:end w:w="110" w:type="dxa"/>
            </w:tcMar>
          </w:tcPr>
          <w:p>
            <w:pPr>
              <w:spacing w:after="0"/>
            </w:pPr>
            <w:r>
              <w:rPr>
                <w:b w:val="0"/>
                <w:i w:val="0"/>
              </w:rPr>
              <w:t>Increase the pitch, decrease the interval, or consciously raise the frame limit in Adjustments.</w:t>
            </w:r>
          </w:p>
        </w:tc>
      </w:tr>
      <w:tr>
        <w:tc>
          <w:tcPr>
            <w:tcW w:type="dxa" w:w="2952"/>
            <w:vAlign w:val="center"/>
            <w:tcMar>
              <w:top w:w="110" w:type="dxa"/>
              <w:start w:w="110" w:type="dxa"/>
              <w:bottom w:w="110" w:type="dxa"/>
              <w:end w:w="110" w:type="dxa"/>
            </w:tcMar>
            <w:shd w:fill="EEF5FB"/>
          </w:tcPr>
          <w:p>
            <w:pPr>
              <w:spacing w:after="0"/>
            </w:pPr>
            <w:r>
              <w:rPr>
                <w:b w:val="0"/>
                <w:i w:val="0"/>
              </w:rPr>
              <w:t>MP4 fails</w:t>
            </w:r>
          </w:p>
        </w:tc>
        <w:tc>
          <w:tcPr>
            <w:tcW w:type="dxa" w:w="7128"/>
            <w:vAlign w:val="center"/>
            <w:tcMar>
              <w:top w:w="110" w:type="dxa"/>
              <w:start w:w="110" w:type="dxa"/>
              <w:bottom w:w="110" w:type="dxa"/>
              <w:end w:w="110" w:type="dxa"/>
            </w:tcMar>
            <w:shd w:fill="EEF5FB"/>
          </w:tcPr>
          <w:p>
            <w:pPr>
              <w:spacing w:after="0"/>
            </w:pPr>
            <w:r>
              <w:rPr>
                <w:b w:val="0"/>
                <w:i w:val="0"/>
              </w:rPr>
              <w:t>Check the animation log and try GIF; the encoder may be unavailable.</w:t>
            </w:r>
          </w:p>
        </w:tc>
      </w:tr>
      <w:tr>
        <w:tc>
          <w:tcPr>
            <w:tcW w:type="dxa" w:w="2952"/>
            <w:vAlign w:val="center"/>
            <w:tcMar>
              <w:top w:w="110" w:type="dxa"/>
              <w:start w:w="110" w:type="dxa"/>
              <w:bottom w:w="110" w:type="dxa"/>
              <w:end w:w="110" w:type="dxa"/>
            </w:tcMar>
          </w:tcPr>
          <w:p>
            <w:pPr>
              <w:spacing w:after="0"/>
            </w:pPr>
            <w:r>
              <w:rPr>
                <w:b w:val="0"/>
                <w:i w:val="0"/>
              </w:rPr>
              <w:t>Unexpected time</w:t>
            </w:r>
          </w:p>
        </w:tc>
        <w:tc>
          <w:tcPr>
            <w:tcW w:type="dxa" w:w="7128"/>
            <w:vAlign w:val="center"/>
            <w:tcMar>
              <w:top w:w="110" w:type="dxa"/>
              <w:start w:w="110" w:type="dxa"/>
              <w:bottom w:w="110" w:type="dxa"/>
              <w:end w:w="110" w:type="dxa"/>
            </w:tcMar>
          </w:tcPr>
          <w:p>
            <w:pPr>
              <w:spacing w:after="0"/>
            </w:pPr>
            <w:r>
              <w:rPr>
                <w:b w:val="0"/>
                <w:i w:val="0"/>
              </w:rPr>
              <w:t>Confirm UTC or LOCAL and review the observer's latitude and longitude.</w:t>
            </w:r>
          </w:p>
        </w:tc>
      </w:tr>
      <w:tr>
        <w:tc>
          <w:tcPr>
            <w:tcW w:type="dxa" w:w="2952"/>
            <w:vAlign w:val="center"/>
            <w:tcMar>
              <w:top w:w="110" w:type="dxa"/>
              <w:start w:w="110" w:type="dxa"/>
              <w:bottom w:w="110" w:type="dxa"/>
              <w:end w:w="110" w:type="dxa"/>
            </w:tcMar>
            <w:shd w:fill="EEF5FB"/>
          </w:tcPr>
          <w:p>
            <w:pPr>
              <w:spacing w:after="0"/>
            </w:pPr>
            <w:r>
              <w:rPr>
                <w:b w:val="0"/>
                <w:i w:val="0"/>
              </w:rPr>
              <w:t>Laptop won't open</w:t>
            </w:r>
          </w:p>
        </w:tc>
        <w:tc>
          <w:tcPr>
            <w:tcW w:type="dxa" w:w="7128"/>
            <w:vAlign w:val="center"/>
            <w:tcMar>
              <w:top w:w="110" w:type="dxa"/>
              <w:start w:w="110" w:type="dxa"/>
              <w:bottom w:w="110" w:type="dxa"/>
              <w:end w:w="110" w:type="dxa"/>
            </w:tcMar>
            <w:shd w:fill="EEF5FB"/>
          </w:tcPr>
          <w:p>
            <w:pPr>
              <w:spacing w:after="0"/>
            </w:pPr>
            <w:r>
              <w:rPr>
                <w:b w:val="0"/>
                <w:i w:val="0"/>
              </w:rPr>
              <w:t>Extract the entire ZIP and keep NEOMapper.exe in the internal folder.</w:t>
            </w:r>
          </w:p>
        </w:tc>
      </w:tr>
    </w:tbl>
    <w:p>
      <w:pPr>
        <w:spacing w:after="0"/>
      </w:pPr>
    </w:p>
    <w:p>
      <w:r>
        <w:br w:type="page"/>
      </w:r>
    </w:p>
    <w:p>
      <w:pPr>
        <w:pStyle w:val="Heading1"/>
        <w:keepNext/>
      </w:pPr>
      <w:r>
        <w:rPr>
          <w:b w:val="0"/>
          <w:i w:val="0"/>
        </w:rPr>
        <w:t>Quick reference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3096"/>
            <w:vAlign w:val="center"/>
            <w:shd w:fill="174A7E"/>
            <w:tcMar>
              <w:top w:w="110" w:type="dxa"/>
              <w:start w:w="110" w:type="dxa"/>
              <w:bottom w:w="110" w:type="dxa"/>
              <w:end w:w="110" w:type="dxa"/>
            </w:tcMar>
          </w:tcPr>
          <w:p>
            <w:pPr>
              <w:jc w:val="center"/>
            </w:pPr>
            <w:r>
              <w:rPr>
                <w:b/>
                <w:i w:val="0"/>
              </w:rPr>
              <w:t>Objective</w:t>
            </w:r>
          </w:p>
        </w:tc>
        <w:tc>
          <w:tcPr>
            <w:tcW w:type="dxa" w:w="6984"/>
            <w:vAlign w:val="center"/>
            <w:shd w:fill="174A7E"/>
            <w:tcMar>
              <w:top w:w="110" w:type="dxa"/>
              <w:start w:w="110" w:type="dxa"/>
              <w:bottom w:w="110" w:type="dxa"/>
              <w:end w:w="110" w:type="dxa"/>
            </w:tcMar>
          </w:tcPr>
          <w:p>
            <w:pPr>
              <w:jc w:val="center"/>
            </w:pPr>
            <w:r>
              <w:rPr>
                <w:b/>
                <w:i w:val="0"/>
              </w:rPr>
              <w:t>Path</w:t>
            </w:r>
          </w:p>
        </w:tc>
      </w:tr>
      <w:tr>
        <w:tc>
          <w:tcPr>
            <w:tcW w:type="dxa" w:w="3096"/>
            <w:vAlign w:val="center"/>
            <w:tcMar>
              <w:top w:w="110" w:type="dxa"/>
              <w:start w:w="110" w:type="dxa"/>
              <w:bottom w:w="110" w:type="dxa"/>
              <w:end w:w="110" w:type="dxa"/>
            </w:tcMar>
          </w:tcPr>
          <w:p>
            <w:pPr>
              <w:spacing w:after="0"/>
            </w:pPr>
            <w:r>
              <w:rPr>
                <w:b w:val="0"/>
                <w:i w:val="0"/>
              </w:rPr>
              <w:t>Query object</w:t>
            </w:r>
          </w:p>
        </w:tc>
        <w:tc>
          <w:tcPr>
            <w:tcW w:type="dxa" w:w="6984"/>
            <w:vAlign w:val="center"/>
            <w:tcMar>
              <w:top w:w="110" w:type="dxa"/>
              <w:start w:w="110" w:type="dxa"/>
              <w:bottom w:w="110" w:type="dxa"/>
              <w:end w:w="110" w:type="dxa"/>
            </w:tcMar>
          </w:tcPr>
          <w:p>
            <w:pPr>
              <w:spacing w:after="0"/>
            </w:pPr>
            <w:r>
              <w:rPr>
                <w:b w:val="0"/>
                <w:i w:val="0"/>
              </w:rPr>
              <w:t>Object → designation and date → Search</w:t>
            </w:r>
          </w:p>
        </w:tc>
      </w:tr>
      <w:tr>
        <w:tc>
          <w:tcPr>
            <w:tcW w:type="dxa" w:w="3096"/>
            <w:vAlign w:val="center"/>
            <w:tcMar>
              <w:top w:w="110" w:type="dxa"/>
              <w:start w:w="110" w:type="dxa"/>
              <w:bottom w:w="110" w:type="dxa"/>
              <w:end w:w="110" w:type="dxa"/>
            </w:tcMar>
            <w:shd w:fill="EEF5FB"/>
          </w:tcPr>
          <w:p>
            <w:pPr>
              <w:spacing w:after="0"/>
            </w:pPr>
            <w:r>
              <w:rPr>
                <w:b w:val="0"/>
                <w:i w:val="0"/>
              </w:rPr>
              <w:t>Save object</w:t>
            </w:r>
          </w:p>
        </w:tc>
        <w:tc>
          <w:tcPr>
            <w:tcW w:type="dxa" w:w="6984"/>
            <w:vAlign w:val="center"/>
            <w:tcMar>
              <w:top w:w="110" w:type="dxa"/>
              <w:start w:w="110" w:type="dxa"/>
              <w:bottom w:w="110" w:type="dxa"/>
              <w:end w:w="110" w:type="dxa"/>
            </w:tcMar>
            <w:shd w:fill="EEF5FB"/>
          </w:tcPr>
          <w:p>
            <w:pPr>
              <w:spacing w:after="0"/>
            </w:pPr>
            <w:r>
              <w:rPr>
                <w:b w:val="0"/>
                <w:i w:val="0"/>
              </w:rPr>
              <w:t>Object → Favorites → New Favorite → Save Favorite</w:t>
            </w:r>
          </w:p>
        </w:tc>
      </w:tr>
      <w:tr>
        <w:tc>
          <w:tcPr>
            <w:tcW w:type="dxa" w:w="3096"/>
            <w:vAlign w:val="center"/>
            <w:tcMar>
              <w:top w:w="110" w:type="dxa"/>
              <w:start w:w="110" w:type="dxa"/>
              <w:bottom w:w="110" w:type="dxa"/>
              <w:end w:w="110" w:type="dxa"/>
            </w:tcMar>
          </w:tcPr>
          <w:p>
            <w:pPr>
              <w:spacing w:after="0"/>
            </w:pPr>
            <w:r>
              <w:rPr>
                <w:b w:val="0"/>
                <w:i w:val="0"/>
              </w:rPr>
              <w:t>See orbit</w:t>
            </w:r>
          </w:p>
        </w:tc>
        <w:tc>
          <w:tcPr>
            <w:tcW w:type="dxa" w:w="6984"/>
            <w:vAlign w:val="center"/>
            <w:tcMar>
              <w:top w:w="110" w:type="dxa"/>
              <w:start w:w="110" w:type="dxa"/>
              <w:bottom w:w="110" w:type="dxa"/>
              <w:end w:w="110" w:type="dxa"/>
            </w:tcMar>
          </w:tcPr>
          <w:p>
            <w:pPr>
              <w:spacing w:after="0"/>
            </w:pPr>
            <w:r>
              <w:rPr>
                <w:b w:val="0"/>
                <w:i w:val="0"/>
              </w:rPr>
              <w:t>Object → Search → Plot Solar System</w:t>
            </w:r>
          </w:p>
        </w:tc>
      </w:tr>
      <w:tr>
        <w:tc>
          <w:tcPr>
            <w:tcW w:type="dxa" w:w="3096"/>
            <w:vAlign w:val="center"/>
            <w:tcMar>
              <w:top w:w="110" w:type="dxa"/>
              <w:start w:w="110" w:type="dxa"/>
              <w:bottom w:w="110" w:type="dxa"/>
              <w:end w:w="110" w:type="dxa"/>
            </w:tcMar>
            <w:shd w:fill="EEF5FB"/>
          </w:tcPr>
          <w:p>
            <w:pPr>
              <w:spacing w:after="0"/>
            </w:pPr>
            <w:r>
              <w:rPr>
                <w:b w:val="0"/>
                <w:i w:val="0"/>
              </w:rPr>
              <w:t>Plan the night</w:t>
            </w:r>
          </w:p>
        </w:tc>
        <w:tc>
          <w:tcPr>
            <w:tcW w:type="dxa" w:w="6984"/>
            <w:vAlign w:val="center"/>
            <w:tcMar>
              <w:top w:w="110" w:type="dxa"/>
              <w:start w:w="110" w:type="dxa"/>
              <w:bottom w:w="110" w:type="dxa"/>
              <w:end w:w="110" w:type="dxa"/>
            </w:tcMar>
            <w:shd w:fill="EEF5FB"/>
          </w:tcPr>
          <w:p>
            <w:pPr>
              <w:spacing w:after="0"/>
            </w:pPr>
            <w:r>
              <w:rPr>
                <w:b w:val="0"/>
                <w:i w:val="0"/>
              </w:rPr>
              <w:t>Observing Information → limits → Plot altitude graph</w:t>
            </w:r>
          </w:p>
        </w:tc>
      </w:tr>
      <w:tr>
        <w:tc>
          <w:tcPr>
            <w:tcW w:type="dxa" w:w="3096"/>
            <w:vAlign w:val="center"/>
            <w:tcMar>
              <w:top w:w="110" w:type="dxa"/>
              <w:start w:w="110" w:type="dxa"/>
              <w:bottom w:w="110" w:type="dxa"/>
              <w:end w:w="110" w:type="dxa"/>
            </w:tcMar>
          </w:tcPr>
          <w:p>
            <w:pPr>
              <w:spacing w:after="0"/>
            </w:pPr>
            <w:r>
              <w:rPr>
                <w:b w:val="0"/>
                <w:i w:val="0"/>
              </w:rPr>
              <w:t>Calculate events</w:t>
            </w:r>
          </w:p>
        </w:tc>
        <w:tc>
          <w:tcPr>
            <w:tcW w:type="dxa" w:w="6984"/>
            <w:vAlign w:val="center"/>
            <w:tcMar>
              <w:top w:w="110" w:type="dxa"/>
              <w:start w:w="110" w:type="dxa"/>
              <w:bottom w:w="110" w:type="dxa"/>
              <w:end w:w="110" w:type="dxa"/>
            </w:tcMar>
          </w:tcPr>
          <w:p>
            <w:pPr>
              <w:spacing w:after="0"/>
            </w:pPr>
            <w:r>
              <w:rPr>
                <w:b w:val="0"/>
                <w:i w:val="0"/>
              </w:rPr>
              <w:t>Observing Information → Orbital Summary</w:t>
            </w:r>
          </w:p>
        </w:tc>
      </w:tr>
      <w:tr>
        <w:tc>
          <w:tcPr>
            <w:tcW w:type="dxa" w:w="3096"/>
            <w:vAlign w:val="center"/>
            <w:tcMar>
              <w:top w:w="110" w:type="dxa"/>
              <w:start w:w="110" w:type="dxa"/>
              <w:bottom w:w="110" w:type="dxa"/>
              <w:end w:w="110" w:type="dxa"/>
            </w:tcMar>
            <w:shd w:fill="EEF5FB"/>
          </w:tcPr>
          <w:p>
            <w:pPr>
              <w:spacing w:after="0"/>
            </w:pPr>
            <w:r>
              <w:rPr>
                <w:b w:val="0"/>
                <w:i w:val="0"/>
              </w:rPr>
              <w:t>Export summary</w:t>
            </w:r>
          </w:p>
        </w:tc>
        <w:tc>
          <w:tcPr>
            <w:tcW w:type="dxa" w:w="6984"/>
            <w:vAlign w:val="center"/>
            <w:tcMar>
              <w:top w:w="110" w:type="dxa"/>
              <w:start w:w="110" w:type="dxa"/>
              <w:bottom w:w="110" w:type="dxa"/>
              <w:end w:w="110" w:type="dxa"/>
            </w:tcMar>
            <w:shd w:fill="EEF5FB"/>
          </w:tcPr>
          <w:p>
            <w:pPr>
              <w:spacing w:after="0"/>
            </w:pPr>
            <w:r>
              <w:rPr>
                <w:b w:val="0"/>
                <w:i w:val="0"/>
              </w:rPr>
              <w:t>Calculated Summary → Save PDF or Save CSV</w:t>
            </w:r>
          </w:p>
        </w:tc>
      </w:tr>
      <w:tr>
        <w:tc>
          <w:tcPr>
            <w:tcW w:type="dxa" w:w="3096"/>
            <w:vAlign w:val="center"/>
            <w:tcMar>
              <w:top w:w="110" w:type="dxa"/>
              <w:start w:w="110" w:type="dxa"/>
              <w:bottom w:w="110" w:type="dxa"/>
              <w:end w:w="110" w:type="dxa"/>
            </w:tcMar>
          </w:tcPr>
          <w:p>
            <w:pPr>
              <w:spacing w:after="0"/>
            </w:pPr>
            <w:r>
              <w:rPr>
                <w:b w:val="0"/>
                <w:i w:val="0"/>
              </w:rPr>
              <w:t>Generate map</w:t>
            </w:r>
          </w:p>
        </w:tc>
        <w:tc>
          <w:tcPr>
            <w:tcW w:type="dxa" w:w="6984"/>
            <w:vAlign w:val="center"/>
            <w:tcMar>
              <w:top w:w="110" w:type="dxa"/>
              <w:start w:w="110" w:type="dxa"/>
              <w:bottom w:w="110" w:type="dxa"/>
              <w:end w:w="110" w:type="dxa"/>
            </w:tcMar>
          </w:tcPr>
          <w:p>
            <w:pPr>
              <w:spacing w:after="0"/>
            </w:pPr>
            <w:r>
              <w:rPr>
                <w:b w:val="0"/>
                <w:i w:val="0"/>
              </w:rPr>
              <w:t>Layers → date and time → type → Generate map</w:t>
            </w:r>
          </w:p>
        </w:tc>
      </w:tr>
      <w:tr>
        <w:tc>
          <w:tcPr>
            <w:tcW w:type="dxa" w:w="3096"/>
            <w:vAlign w:val="center"/>
            <w:tcMar>
              <w:top w:w="110" w:type="dxa"/>
              <w:start w:w="110" w:type="dxa"/>
              <w:bottom w:w="110" w:type="dxa"/>
              <w:end w:w="110" w:type="dxa"/>
            </w:tcMar>
            <w:shd w:fill="EEF5FB"/>
          </w:tcPr>
          <w:p>
            <w:pPr>
              <w:spacing w:after="0"/>
            </w:pPr>
            <w:r>
              <w:rPr>
                <w:b w:val="0"/>
                <w:i w:val="0"/>
              </w:rPr>
              <w:t>See ephemeris</w:t>
            </w:r>
          </w:p>
        </w:tc>
        <w:tc>
          <w:tcPr>
            <w:tcW w:type="dxa" w:w="6984"/>
            <w:vAlign w:val="center"/>
            <w:tcMar>
              <w:top w:w="110" w:type="dxa"/>
              <w:start w:w="110" w:type="dxa"/>
              <w:bottom w:w="110" w:type="dxa"/>
              <w:end w:w="110" w:type="dxa"/>
            </w:tcMar>
            <w:shd w:fill="EEF5FB"/>
          </w:tcPr>
          <w:p>
            <w:pPr>
              <w:spacing w:after="0"/>
            </w:pPr>
            <w:r>
              <w:rPr>
                <w:b w:val="0"/>
                <w:i w:val="0"/>
              </w:rPr>
              <w:t>Layers → Ephemeris → View report</w:t>
            </w:r>
          </w:p>
        </w:tc>
      </w:tr>
      <w:tr>
        <w:tc>
          <w:tcPr>
            <w:tcW w:type="dxa" w:w="3096"/>
            <w:vAlign w:val="center"/>
            <w:tcMar>
              <w:top w:w="110" w:type="dxa"/>
              <w:start w:w="110" w:type="dxa"/>
              <w:bottom w:w="110" w:type="dxa"/>
              <w:end w:w="110" w:type="dxa"/>
            </w:tcMar>
          </w:tcPr>
          <w:p>
            <w:pPr>
              <w:spacing w:after="0"/>
            </w:pPr>
            <w:r>
              <w:rPr>
                <w:b w:val="0"/>
                <w:i w:val="0"/>
              </w:rPr>
              <w:t>Create animation</w:t>
            </w:r>
          </w:p>
        </w:tc>
        <w:tc>
          <w:tcPr>
            <w:tcW w:type="dxa" w:w="6984"/>
            <w:vAlign w:val="center"/>
            <w:tcMar>
              <w:top w:w="110" w:type="dxa"/>
              <w:start w:w="110" w:type="dxa"/>
              <w:bottom w:w="110" w:type="dxa"/>
              <w:end w:w="110" w:type="dxa"/>
            </w:tcMar>
          </w:tcPr>
          <w:p>
            <w:pPr>
              <w:spacing w:after="0"/>
            </w:pPr>
            <w:r>
              <w:rPr>
                <w:b w:val="0"/>
                <w:i w:val="0"/>
              </w:rPr>
              <w:t>Animation → range and step → Generate animation</w:t>
            </w:r>
          </w:p>
        </w:tc>
      </w:tr>
      <w:tr>
        <w:tc>
          <w:tcPr>
            <w:tcW w:type="dxa" w:w="3096"/>
            <w:vAlign w:val="center"/>
            <w:tcMar>
              <w:top w:w="110" w:type="dxa"/>
              <w:start w:w="110" w:type="dxa"/>
              <w:bottom w:w="110" w:type="dxa"/>
              <w:end w:w="110" w:type="dxa"/>
            </w:tcMar>
            <w:shd w:fill="EEF5FB"/>
          </w:tcPr>
          <w:p>
            <w:pPr>
              <w:spacing w:after="0"/>
            </w:pPr>
            <w:r>
              <w:rPr>
                <w:b w:val="0"/>
                <w:i w:val="0"/>
              </w:rPr>
              <w:t>Change location</w:t>
            </w:r>
          </w:p>
        </w:tc>
        <w:tc>
          <w:tcPr>
            <w:tcW w:type="dxa" w:w="6984"/>
            <w:vAlign w:val="center"/>
            <w:tcMar>
              <w:top w:w="110" w:type="dxa"/>
              <w:start w:w="110" w:type="dxa"/>
              <w:bottom w:w="110" w:type="dxa"/>
              <w:end w:w="110" w:type="dxa"/>
            </w:tcMar>
            <w:shd w:fill="EEF5FB"/>
          </w:tcPr>
          <w:p>
            <w:pPr>
              <w:spacing w:after="0"/>
            </w:pPr>
            <w:r>
              <w:rPr>
                <w:b w:val="0"/>
                <w:i w:val="0"/>
              </w:rPr>
              <w:t>Settings → Reference location</w:t>
            </w:r>
          </w:p>
        </w:tc>
      </w:tr>
      <w:tr>
        <w:tc>
          <w:tcPr>
            <w:tcW w:type="dxa" w:w="3096"/>
            <w:vAlign w:val="center"/>
            <w:tcMar>
              <w:top w:w="110" w:type="dxa"/>
              <w:start w:w="110" w:type="dxa"/>
              <w:bottom w:w="110" w:type="dxa"/>
              <w:end w:w="110" w:type="dxa"/>
            </w:tcMar>
          </w:tcPr>
          <w:p>
            <w:pPr>
              <w:spacing w:after="0"/>
            </w:pPr>
            <w:r>
              <w:rPr>
                <w:b w:val="0"/>
                <w:i w:val="0"/>
              </w:rPr>
              <w:t>Change language or unit</w:t>
            </w:r>
          </w:p>
        </w:tc>
        <w:tc>
          <w:tcPr>
            <w:tcW w:type="dxa" w:w="6984"/>
            <w:vAlign w:val="center"/>
            <w:tcMar>
              <w:top w:w="110" w:type="dxa"/>
              <w:start w:w="110" w:type="dxa"/>
              <w:bottom w:w="110" w:type="dxa"/>
              <w:end w:w="110" w:type="dxa"/>
            </w:tcMar>
          </w:tcPr>
          <w:p>
            <w:pPr>
              <w:spacing w:after="0"/>
            </w:pPr>
            <w:r>
              <w:rPr>
                <w:b w:val="0"/>
                <w:i w:val="0"/>
              </w:rPr>
              <w:t>Settings → Map language or Distance unit</w:t>
            </w:r>
          </w:p>
        </w:tc>
      </w:tr>
      <w:tr>
        <w:tc>
          <w:tcPr>
            <w:tcW w:type="dxa" w:w="3096"/>
            <w:vAlign w:val="center"/>
            <w:tcMar>
              <w:top w:w="110" w:type="dxa"/>
              <w:start w:w="110" w:type="dxa"/>
              <w:bottom w:w="110" w:type="dxa"/>
              <w:end w:w="110" w:type="dxa"/>
            </w:tcMar>
            <w:shd w:fill="EEF5FB"/>
          </w:tcPr>
          <w:p>
            <w:pPr>
              <w:spacing w:after="0"/>
            </w:pPr>
            <w:r>
              <w:rPr>
                <w:b w:val="0"/>
                <w:i w:val="0"/>
              </w:rPr>
              <w:t>Consult terms</w:t>
            </w:r>
          </w:p>
        </w:tc>
        <w:tc>
          <w:tcPr>
            <w:tcW w:type="dxa" w:w="6984"/>
            <w:vAlign w:val="center"/>
            <w:tcMar>
              <w:top w:w="110" w:type="dxa"/>
              <w:start w:w="110" w:type="dxa"/>
              <w:bottom w:w="110" w:type="dxa"/>
              <w:end w:w="110" w:type="dxa"/>
            </w:tcMar>
            <w:shd w:fill="EEF5FB"/>
          </w:tcPr>
          <w:p>
            <w:pPr>
              <w:spacing w:after="0"/>
            </w:pPr>
            <w:r>
              <w:rPr>
                <w:b w:val="0"/>
                <w:i w:val="0"/>
              </w:rPr>
              <w:t>About → Help or Orbital Summary → Help</w:t>
            </w:r>
          </w:p>
        </w:tc>
      </w:tr>
    </w:tbl>
    <w:p>
      <w:pPr>
        <w:spacing w:after="0"/>
      </w:pPr>
    </w:p>
    <w:p>
      <w:pPr>
        <w:pStyle w:val="Heading2"/>
        <w:keepNext/>
      </w:pPr>
      <w:r>
        <w:rPr>
          <w:b w:val="0"/>
          <w:i w:val="0"/>
        </w:rPr>
        <w:t>Limitations</w:t>
      </w:r>
    </w:p>
    <w:p>
      <w:pPr>
        <w:pStyle w:val="ListBullet"/>
      </w:pPr>
      <w:r>
        <w:rPr>
          <w:b w:val="0"/>
          <w:i w:val="0"/>
        </w:rPr>
        <w:t>There is no complete local ephemeris bank; most queries are network dependent.</w:t>
      </w:r>
    </w:p>
    <w:p>
      <w:pPr>
        <w:pStyle w:val="ListBullet"/>
      </w:pPr>
      <w:r>
        <w:rPr>
          <w:b w:val="0"/>
          <w:i w:val="0"/>
        </w:rPr>
        <w:t>Orbits and future predictions may change when providers update the orbital solution.</w:t>
      </w:r>
    </w:p>
    <w:p>
      <w:pPr>
        <w:pStyle w:val="ListBullet"/>
      </w:pPr>
      <w:r>
        <w:rPr>
          <w:b w:val="0"/>
          <w:i w:val="0"/>
        </w:rPr>
        <w:t>The closest approximation of the summary is valid for the displayed range, not for the entire history of the object.</w:t>
      </w:r>
    </w:p>
    <w:p>
      <w:pPr>
        <w:pStyle w:val="ListBullet"/>
      </w:pPr>
      <w:r>
        <w:rPr>
          <w:b w:val="0"/>
          <w:i w:val="0"/>
        </w:rPr>
        <w:t>The program does not control telescopes and does not publish products directly to the web.</w:t>
      </w:r>
    </w:p>
    <w:p>
      <w:pPr>
        <w:spacing w:before="320"/>
        <w:jc w:val="center"/>
      </w:pPr>
      <w:r>
        <w:rPr>
          <w:b/>
          <w:i w:val="0"/>
        </w:rPr>
        <w:t>End of NEOMapper 4.2.0 User Manual</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ptos Display" w:hAnsi="Aptos Display"/>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NEOMapper User Manual</dc:title>
  <dc:subject>NEOMapper 4.2.0 — English</dc:subject>
  <dc:creator>NEOMapper</dc:creator>
  <cp:keywords/>
  <dc:description>generated by python-docx</dc:description>
  <cp:lastModifiedBy/>
  <cp:revision>1</cp:revision>
  <dcterms:created xsi:type="dcterms:W3CDTF">2013-12-23T23:15:00Z</dcterms:created>
  <dcterms:modified xsi:type="dcterms:W3CDTF">2013-12-23T23:15:00Z</dcterms:modified>
  <cp:category/>
</cp:coreProperties>
</file>