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37C99F" w14:textId="77777777" w:rsidR="009D4C53" w:rsidRDefault="009D4C53" w:rsidP="009D4C53">
      <w:pPr>
        <w:rPr>
          <w:b/>
          <w:bCs/>
        </w:rPr>
      </w:pPr>
      <w:r>
        <w:rPr>
          <w:b/>
          <w:bCs/>
        </w:rPr>
        <w:t>Appendix A: Deriving Inverse Relationship</w:t>
      </w:r>
    </w:p>
    <w:p w14:paraId="401141C8" w14:textId="52DF5BC7" w:rsidR="00125B8A" w:rsidRDefault="009D4C53" w:rsidP="009D4C53">
      <w:r>
        <w:t xml:space="preserve">Utilizing the figure below, I will derive the inverse relationship using the geometric approach. </w:t>
      </w:r>
    </w:p>
    <w:p w14:paraId="5DD0CB77" w14:textId="3377540A" w:rsidR="009D4C53" w:rsidRDefault="009D4C53" w:rsidP="009D4C53">
      <w:pPr>
        <w:jc w:val="center"/>
      </w:pPr>
      <w:r w:rsidRPr="009D4C53">
        <w:drawing>
          <wp:inline distT="0" distB="0" distL="0" distR="0" wp14:anchorId="7825B49A" wp14:editId="1A3662C1">
            <wp:extent cx="2693618" cy="3853643"/>
            <wp:effectExtent l="0" t="8572" r="3492" b="3493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713837" cy="38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FD9E1" w14:textId="28CFB661" w:rsidR="009D4C53" w:rsidRDefault="009D4C53" w:rsidP="009D4C53">
      <w:r>
        <w:t xml:space="preserve">Noting a couple of relationships here: </w:t>
      </w:r>
    </w:p>
    <w:p w14:paraId="43948187" w14:textId="6DC22EE4" w:rsidR="009D4C53" w:rsidRPr="009D4C53" w:rsidRDefault="009D4C53" w:rsidP="009D4C53">
      <w:pPr>
        <w:rPr>
          <w:rFonts w:eastAsiaTheme="minorEastAsia"/>
        </w:rPr>
      </w:pP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-2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</m:oMath>
    </w:p>
    <w:p w14:paraId="4D8DC741" w14:textId="37BD6326" w:rsidR="009D4C53" w:rsidRDefault="009D4C53" w:rsidP="009D4C53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77917BF9" w14:textId="5F0D031A" w:rsidR="009D4C53" w:rsidRDefault="009D4C53" w:rsidP="009D4C53">
      <w:pPr>
        <w:rPr>
          <w:rFonts w:eastAsiaTheme="minorEastAsia"/>
        </w:rPr>
      </w:pPr>
      <w:r>
        <w:rPr>
          <w:rFonts w:eastAsiaTheme="minorEastAsia"/>
        </w:rPr>
        <w:t xml:space="preserve">Develop an expression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:</w:t>
      </w:r>
    </w:p>
    <w:p w14:paraId="113CECB1" w14:textId="36B08DEE" w:rsidR="009D4C53" w:rsidRPr="00A8614E" w:rsidRDefault="009D4C53" w:rsidP="009D4C53">
      <w:pPr>
        <w:rPr>
          <w:rFonts w:eastAsiaTheme="minorEastAsia"/>
        </w:rPr>
      </w:pPr>
      <w:r>
        <w:rPr>
          <w:rFonts w:eastAsiaTheme="minorEastAsia"/>
        </w:rPr>
        <w:tab/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+2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5CCE4290" w14:textId="3F65D9ED" w:rsidR="00A8614E" w:rsidRDefault="00A8614E" w:rsidP="009D4C53">
      <w:pPr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y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/>
              </w:rPr>
              <m:t>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den>
        </m:f>
      </m:oMath>
    </w:p>
    <w:p w14:paraId="4CE11F43" w14:textId="487F2593" w:rsidR="00A8614E" w:rsidRDefault="00A8614E" w:rsidP="009D4C53">
      <w:pPr>
        <w:rPr>
          <w:rFonts w:eastAsiaTheme="minorEastAsia"/>
        </w:rPr>
      </w:pPr>
      <w:r>
        <w:rPr>
          <w:rFonts w:eastAsiaTheme="minorEastAsia"/>
        </w:rPr>
        <w:t xml:space="preserve">Utilizing some more defined geometry,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may be referenced in terms of these other relationships:</w:t>
      </w:r>
    </w:p>
    <w:p w14:paraId="50D16173" w14:textId="0E0E50CA" w:rsidR="00A8614E" w:rsidRPr="00A8614E" w:rsidRDefault="00A8614E" w:rsidP="009D4C53">
      <w:pPr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6D9BB6A3" w14:textId="67A5494D" w:rsidR="00A8614E" w:rsidRPr="00A8614E" w:rsidRDefault="00A8614E" w:rsidP="009D4C53">
      <w:pPr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tan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  <m:ctrlPr>
                  <w:rPr>
                    <w:rFonts w:ascii="Cambria Math" w:eastAsiaTheme="minorEastAsia" w:hAnsi="Cambria Math"/>
                  </w:rPr>
                </m:ctrlPr>
              </m:sup>
            </m:sSup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den>
                </m:f>
              </m:e>
            </m:d>
          </m:e>
        </m:func>
      </m:oMath>
    </w:p>
    <w:p w14:paraId="4AF9FB9E" w14:textId="0B06D07B" w:rsidR="00A8614E" w:rsidRDefault="00A8614E" w:rsidP="009D4C53">
      <w:pPr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tan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  <m:ctrlPr>
                  <w:rPr>
                    <w:rFonts w:ascii="Cambria Math" w:eastAsiaTheme="minorEastAsia" w:hAnsi="Cambria Math"/>
                  </w:rPr>
                </m:ctrlPr>
              </m:sup>
            </m:sSup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den>
                </m:f>
              </m:e>
            </m:d>
          </m:e>
        </m:func>
      </m:oMath>
    </w:p>
    <w:p w14:paraId="04D18405" w14:textId="52819AE9" w:rsidR="001B0CA9" w:rsidRDefault="00A8614E" w:rsidP="009D4C53">
      <w:pPr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tan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  <m:ctrlPr>
                  <w:rPr>
                    <w:rFonts w:ascii="Cambria Math" w:eastAsiaTheme="minorEastAsia" w:hAnsi="Cambria Math"/>
                  </w:rPr>
                </m:ctrlPr>
              </m:sup>
            </m:sSup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den>
                </m:f>
              </m:e>
            </m:d>
            <m:r>
              <w:rPr>
                <w:rFonts w:ascii="Cambria Math" w:eastAsiaTheme="minorEastAsia" w:hAnsi="Cambria Math"/>
              </w:rPr>
              <m:t xml:space="preserve">- 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tan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sup>
                </m:sSup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d>
              </m:e>
            </m:func>
          </m:e>
        </m:func>
      </m:oMath>
    </w:p>
    <w:p w14:paraId="5120B74F" w14:textId="5EEDA2AE" w:rsidR="001B0CA9" w:rsidRDefault="001B0CA9" w:rsidP="009D4C53">
      <w:pPr>
        <w:rPr>
          <w:rFonts w:eastAsiaTheme="minorEastAsia"/>
        </w:rPr>
      </w:pPr>
      <w:r>
        <w:rPr>
          <w:rFonts w:eastAsiaTheme="minorEastAsia"/>
        </w:rPr>
        <w:t xml:space="preserve">This leaves us with the ability to uses either the elbow up or down orientations, which when re-deriving above gives us the final relationships of: </w:t>
      </w:r>
    </w:p>
    <w:p w14:paraId="036852B1" w14:textId="3FEA89B9" w:rsidR="001B0CA9" w:rsidRDefault="001B0CA9" w:rsidP="009D4C53">
      <w:pPr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σ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  <m:ctrlPr>
                  <w:rPr>
                    <w:rFonts w:ascii="Cambria Math" w:eastAsiaTheme="minorEastAsia" w:hAnsi="Cambria Math"/>
                  </w:rPr>
                </m:ctrlPr>
              </m:sup>
            </m:sSup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den>
                </m:f>
              </m:e>
            </m:d>
          </m:e>
        </m:func>
      </m:oMath>
    </w:p>
    <w:p w14:paraId="5AD129B2" w14:textId="6671704F" w:rsidR="001B0CA9" w:rsidRPr="001B0CA9" w:rsidRDefault="001B0CA9" w:rsidP="001B0CA9">
      <w:pPr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tan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σ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tan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e>
          </m:func>
        </m:oMath>
      </m:oMathPara>
    </w:p>
    <w:sectPr w:rsidR="001B0CA9" w:rsidRPr="001B0C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F2E"/>
    <w:rsid w:val="0003144C"/>
    <w:rsid w:val="00074740"/>
    <w:rsid w:val="00125B8A"/>
    <w:rsid w:val="00187F06"/>
    <w:rsid w:val="001B0CA9"/>
    <w:rsid w:val="00256D47"/>
    <w:rsid w:val="008D4BC1"/>
    <w:rsid w:val="00902190"/>
    <w:rsid w:val="009C387E"/>
    <w:rsid w:val="009D4C53"/>
    <w:rsid w:val="00A8614E"/>
    <w:rsid w:val="00BB655B"/>
    <w:rsid w:val="00BE1DE6"/>
    <w:rsid w:val="00CF79A7"/>
    <w:rsid w:val="00E14F2E"/>
    <w:rsid w:val="00EB7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D1435"/>
  <w15:chartTrackingRefBased/>
  <w15:docId w15:val="{44EF4C52-83E5-42EB-A152-AD84CFC84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14F2E"/>
    <w:rPr>
      <w:color w:val="808080"/>
    </w:rPr>
  </w:style>
  <w:style w:type="table" w:styleId="TableGrid">
    <w:name w:val="Table Grid"/>
    <w:basedOn w:val="TableNormal"/>
    <w:uiPriority w:val="39"/>
    <w:rsid w:val="000747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James</dc:creator>
  <cp:keywords/>
  <dc:description/>
  <cp:lastModifiedBy>Cameron James</cp:lastModifiedBy>
  <cp:revision>7</cp:revision>
  <dcterms:created xsi:type="dcterms:W3CDTF">2021-02-25T20:44:00Z</dcterms:created>
  <dcterms:modified xsi:type="dcterms:W3CDTF">2021-02-26T03:59:00Z</dcterms:modified>
</cp:coreProperties>
</file>