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ormal"/>
        <w:spacing w:after="0" w:before="0"/>
      </w:pPr>
      <w:r>
        <w:drawing>
          <wp:inline distT="0" distB="0" distL="0" distR="0">
            <wp:extent cx="2304000" cy="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04000" cy="291840"/>
                    </a:xfrm>
                    <a:prstGeom prst="rect">
                      <a:avLst/>
                    </a:prstGeom>
                  </pic:spPr>
                </pic:pic>
              </a:graphicData>
            </a:graphic>
          </wp:inline>
        </w:drawing>
      </w:r>
      <w:r>
        <w:drawing>
          <wp:anchor distT="0" distB="0" distL="0" distR="0" simplePos="0" allowOverlap="1" behindDoc="1" locked="0" layoutInCell="1" relativeHeight="2106000">
            <wp:simplePos x="0" y="0"/>
            <wp:positionH relativeFrom="page">
              <wp:posOffset>-27000</wp:posOffset>
            </wp:positionH>
            <wp:positionV relativeFrom="page">
              <wp:posOffset>8604000</wp:posOffset>
            </wp:positionV>
            <wp:extent cx="7614000" cy="21060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614000" cy="2106000"/>
                    </a:xfrm>
                    <a:prstGeom prst="rect">
                      <a:avLst/>
                    </a:prstGeom>
                  </pic:spPr>
                </pic:pic>
              </a:graphicData>
            </a:graphic>
          </wp:anchor>
        </w:drawing>
      </w:r>
    </w:p>
    <w:p>
      <w:pPr>
        <w:pStyle w:val="Normal"/>
        <w:spacing w:after="0" w:before="2948"/>
      </w:pPr>
    </w:p>
    <w:p>
      <w:pPr>
        <w:pStyle w:val="Eyebrow"/>
      </w:pPr>
      <w:r>
        <w:t xml:space="preserve">Platform overview</w:t>
      </w:r>
    </w:p>
    <w:p>
      <w:pPr>
        <w:pStyle w:val="Title"/>
      </w:pPr>
      <w:r>
        <w:t xml:space="preserve">Volt Streaming platform overview</w:t>
      </w:r>
    </w:p>
    <w:p>
      <w:pPr>
        <w:pStyle w:val="Subtitle"/>
      </w:pPr>
      <w:r>
        <w:t xml:space="preserve">Live channels, events and radio, with every live hour recorded into a library that can go back on air.</w:t>
      </w:r>
    </w:p>
    <w:p>
      <w:pPr>
        <w:pStyle w:val="Normal"/>
        <w:spacing w:after="240" w:before="0"/>
      </w:pPr>
    </w:p>
    <w:tbl>
      <w:tblPr>
        <w:tblW w:type="dxa" w:w="5669"/>
        <w:tblBorders>
          <w:top w:val="single" w:color="DFE4EE" w:sz="6"/>
          <w:left w:val="none" w:color="auto" w:sz="0"/>
          <w:bottom w:val="single" w:color="DFE4EE" w:sz="6"/>
          <w:right w:val="none" w:color="auto" w:sz="0"/>
          <w:insideH w:val="single" w:color="DFE4EE" w:sz="6"/>
          <w:insideV w:val="none" w:color="auto" w:sz="0"/>
        </w:tblBorders>
      </w:tblPr>
      <w:tblGrid>
        <w:gridCol w:w="1814"/>
        <w:gridCol w:w="3855"/>
      </w:tblGrid>
      <w:tr>
        <w:trPr>
          <w:cantSplit/>
        </w:trPr>
        <w:tc>
          <w:tcPr>
            <w:tcW w:type="dxa" w:w="1814"/>
            <w:tcMar>
              <w:top w:type="dxa" w:w="85"/>
              <w:left w:type="dxa" w:w="0"/>
              <w:bottom w:type="dxa" w:w="85"/>
              <w:right w:type="dxa" w:w="113"/>
            </w:tcMar>
          </w:tcPr>
          <w:p>
            <w:pPr>
              <w:pStyle w:val="TableText"/>
            </w:pPr>
            <w:r>
              <w:t xml:space="preserve">Version</w:t>
            </w:r>
          </w:p>
        </w:tc>
        <w:tc>
          <w:tcPr>
            <w:tcW w:type="dxa" w:w="3855"/>
            <w:tcMar>
              <w:top w:type="dxa" w:w="85"/>
              <w:left w:type="dxa" w:w="113"/>
              <w:bottom w:type="dxa" w:w="85"/>
              <w:right w:type="dxa" w:w="0"/>
            </w:tcMar>
          </w:tcPr>
          <w:p>
            <w:pPr>
              <w:pStyle w:val="TableText"/>
            </w:pPr>
            <w:r>
              <w:rPr>
                <w:color w:val="0F1218"/>
              </w:rPr>
              <w:t xml:space="preserve">1.0</w:t>
            </w:r>
          </w:p>
        </w:tc>
      </w:tr>
      <w:tr>
        <w:trPr>
          <w:cantSplit/>
        </w:trPr>
        <w:tc>
          <w:tcPr>
            <w:tcW w:type="dxa" w:w="1814"/>
            <w:tcMar>
              <w:top w:type="dxa" w:w="85"/>
              <w:left w:type="dxa" w:w="0"/>
              <w:bottom w:type="dxa" w:w="85"/>
              <w:right w:type="dxa" w:w="113"/>
            </w:tcMar>
          </w:tcPr>
          <w:p>
            <w:pPr>
              <w:pStyle w:val="TableText"/>
            </w:pPr>
            <w:r>
              <w:t xml:space="preserve">Date</w:t>
            </w:r>
          </w:p>
        </w:tc>
        <w:tc>
          <w:tcPr>
            <w:tcW w:type="dxa" w:w="3855"/>
            <w:tcMar>
              <w:top w:type="dxa" w:w="85"/>
              <w:left w:type="dxa" w:w="113"/>
              <w:bottom w:type="dxa" w:w="85"/>
              <w:right w:type="dxa" w:w="0"/>
            </w:tcMar>
          </w:tcPr>
          <w:p>
            <w:pPr>
              <w:pStyle w:val="TableText"/>
            </w:pPr>
            <w:r>
              <w:rPr>
                <w:color w:val="0F1218"/>
              </w:rPr>
              <w:t xml:space="preserve">19 October 2026</w:t>
            </w:r>
          </w:p>
        </w:tc>
      </w:tr>
      <w:tr>
        <w:trPr>
          <w:cantSplit/>
        </w:trPr>
        <w:tc>
          <w:tcPr>
            <w:tcW w:type="dxa" w:w="1814"/>
            <w:tcMar>
              <w:top w:type="dxa" w:w="85"/>
              <w:left w:type="dxa" w:w="0"/>
              <w:bottom w:type="dxa" w:w="85"/>
              <w:right w:type="dxa" w:w="113"/>
            </w:tcMar>
          </w:tcPr>
          <w:p>
            <w:pPr>
              <w:pStyle w:val="TableText"/>
            </w:pPr>
            <w:r>
              <w:t xml:space="preserve">Author</w:t>
            </w:r>
          </w:p>
        </w:tc>
        <w:tc>
          <w:tcPr>
            <w:tcW w:type="dxa" w:w="3855"/>
            <w:tcMar>
              <w:top w:type="dxa" w:w="85"/>
              <w:left w:type="dxa" w:w="113"/>
              <w:bottom w:type="dxa" w:w="85"/>
              <w:right w:type="dxa" w:w="0"/>
            </w:tcMar>
          </w:tcPr>
          <w:p>
            <w:pPr>
              <w:pStyle w:val="TableText"/>
            </w:pPr>
            <w:r>
              <w:rPr>
                <w:color w:val="0F1218"/>
              </w:rPr>
              <w:t xml:space="preserve">Christian Budden</w:t>
            </w:r>
          </w:p>
        </w:tc>
      </w:tr>
      <w:tr>
        <w:trPr>
          <w:cantSplit/>
        </w:trPr>
        <w:tc>
          <w:tcPr>
            <w:tcW w:type="dxa" w:w="1814"/>
            <w:tcMar>
              <w:top w:type="dxa" w:w="85"/>
              <w:left w:type="dxa" w:w="0"/>
              <w:bottom w:type="dxa" w:w="85"/>
              <w:right w:type="dxa" w:w="113"/>
            </w:tcMar>
          </w:tcPr>
          <w:p>
            <w:pPr>
              <w:pStyle w:val="TableText"/>
            </w:pPr>
            <w:r>
              <w:t xml:space="preserve">Status</w:t>
            </w:r>
          </w:p>
        </w:tc>
        <w:tc>
          <w:tcPr>
            <w:tcW w:type="dxa" w:w="3855"/>
            <w:tcMar>
              <w:top w:type="dxa" w:w="85"/>
              <w:left w:type="dxa" w:w="113"/>
              <w:bottom w:type="dxa" w:w="85"/>
              <w:right w:type="dxa" w:w="0"/>
            </w:tcMar>
          </w:tcPr>
          <w:p>
            <w:pPr>
              <w:pStyle w:val="TableText"/>
            </w:pPr>
            <w:r>
              <w:rPr>
                <w:color w:val="0F1218"/>
              </w:rPr>
              <w:t xml:space="preserve">Draft</w:t>
            </w:r>
          </w:p>
        </w:tc>
      </w:tr>
    </w:tbl>
    <w:p>
      <w:pPr>
        <w:pStyle w:val="TOCHeading"/>
        <w:pageBreakBefore/>
      </w:pPr>
      <w:r>
        <w:t xml:space="preserve">Contents</w:t>
      </w:r>
    </w:p>
    <w:p>
      <w:pPr>
        <w:pStyle w:val="TOC1"/>
      </w:pPr>
      <w:r>
        <w:fldChar w:fldCharType="begin"/>
      </w:r>
      <w:r>
        <w:instrText xml:space="preserve"> TOC \o "1-2" \h \z \u </w:instrText>
      </w:r>
      <w:r>
        <w:fldChar w:fldCharType="separate"/>
      </w:r>
      <w:r>
        <w:t xml:space="preserve">Introduction</w:t>
      </w:r>
      <w:r>
        <w:tab/>
      </w:r>
      <w:r>
        <w:t>3</w:t>
      </w:r>
    </w:p>
    <w:p>
      <w:pPr>
        <w:pStyle w:val="TOC2"/>
      </w:pPr>
      <w:r>
        <w:t xml:space="preserve">Who uses Volt</w:t>
      </w:r>
      <w:r>
        <w:tab/>
      </w:r>
      <w:r>
        <w:t>3</w:t>
      </w:r>
    </w:p>
    <w:p>
      <w:pPr>
        <w:pStyle w:val="TOC1"/>
      </w:pPr>
      <w:r>
        <w:t xml:space="preserve">Live channels and failover</w:t>
      </w:r>
      <w:r>
        <w:tab/>
      </w:r>
      <w:r>
        <w:t>3</w:t>
      </w:r>
    </w:p>
    <w:p>
      <w:pPr>
        <w:pStyle w:val="TOC2"/>
      </w:pPr>
      <w:r>
        <w:t xml:space="preserve">Primary and backup inputs</w:t>
      </w:r>
      <w:r>
        <w:tab/>
      </w:r>
      <w:r>
        <w:t>3</w:t>
      </w:r>
    </w:p>
    <w:p>
      <w:pPr>
        <w:pStyle w:val="TOC2"/>
      </w:pPr>
      <w:r>
        <w:t xml:space="preserve">Monitoring the pipeline</w:t>
      </w:r>
      <w:r>
        <w:tab/>
      </w:r>
      <w:r>
        <w:t>3</w:t>
      </w:r>
    </w:p>
    <w:p>
      <w:pPr>
        <w:pStyle w:val="TOC2"/>
      </w:pPr>
      <w:r>
        <w:t xml:space="preserve">Captions and translation</w:t>
      </w:r>
      <w:r>
        <w:tab/>
      </w:r>
      <w:r>
        <w:t>4</w:t>
      </w:r>
    </w:p>
    <w:p>
      <w:pPr>
        <w:pStyle w:val="TOC1"/>
      </w:pPr>
      <w:r>
        <w:t xml:space="preserve">Live </w:t>
      </w:r>
      <w:r>
        <w:rPr>
          <w:rFonts w:ascii="Arial" w:hAnsi="Arial" w:cs="Arial"/>
        </w:rPr>
        <w:t>→</w:t>
      </w:r>
      <w:r>
        <w:t xml:space="preserve"> VOD</w:t>
      </w:r>
      <w:r>
        <w:tab/>
      </w:r>
      <w:r>
        <w:t>4</w:t>
      </w:r>
    </w:p>
    <w:p>
      <w:pPr>
        <w:pStyle w:val="TOC2"/>
      </w:pPr>
      <w:r>
        <w:t xml:space="preserve">The recording workbench</w:t>
      </w:r>
      <w:r>
        <w:tab/>
      </w:r>
      <w:r>
        <w:t>4</w:t>
      </w:r>
    </w:p>
    <w:p>
      <w:pPr>
        <w:pStyle w:val="TOC2"/>
      </w:pPr>
      <w:r>
        <w:t xml:space="preserve">Publishing from the library</w:t>
      </w:r>
      <w:r>
        <w:tab/>
      </w:r>
      <w:r>
        <w:t>4</w:t>
      </w:r>
    </w:p>
    <w:p>
      <w:pPr>
        <w:pStyle w:val="TOC1"/>
      </w:pPr>
      <w:r>
        <w:t xml:space="preserve">VOD </w:t>
      </w:r>
      <w:r>
        <w:rPr>
          <w:rFonts w:ascii="Arial" w:hAnsi="Arial" w:cs="Arial"/>
        </w:rPr>
        <w:t>→</w:t>
      </w:r>
      <w:r>
        <w:t xml:space="preserve"> Live</w:t>
      </w:r>
      <w:r>
        <w:tab/>
      </w:r>
      <w:r>
        <w:t>5</w:t>
      </w:r>
    </w:p>
    <w:p>
      <w:pPr>
        <w:pStyle w:val="TOC1"/>
      </w:pPr>
      <w:r>
        <w:t xml:space="preserve">How the signal flows</w:t>
      </w:r>
      <w:r>
        <w:tab/>
      </w:r>
      <w:r>
        <w:t>6</w:t>
      </w:r>
    </w:p>
    <w:p>
      <w:pPr>
        <w:pStyle w:val="TOC1"/>
      </w:pPr>
      <w:r>
        <w:t xml:space="preserve">Specification</w:t>
      </w:r>
      <w:r>
        <w:tab/>
      </w:r>
      <w:r>
        <w:t>6</w:t>
      </w:r>
    </w:p>
    <w:p>
      <w:pPr>
        <w:pStyle w:val="TOC1"/>
      </w:pPr>
      <w:r>
        <w:t xml:space="preserve">Next steps</w:t>
      </w:r>
      <w:r>
        <w:tab/>
      </w:r>
      <w:r>
        <w:t>7</w:t>
      </w:r>
      <w:r>
        <w:fldChar w:fldCharType="end"/>
      </w:r>
    </w:p>
    <w:p>
      <w:pPr>
        <w:pStyle w:val="Heading1"/>
        <w:pageBreakBefore/>
      </w:pPr>
      <w:r>
        <w:t xml:space="preserve">Introduction</w:t>
      </w:r>
    </w:p>
    <w:p>
      <w:pPr>
        <w:pStyle w:val="Normal"/>
      </w:pPr>
      <w:r>
        <w:t xml:space="preserve">Volt Streaming is a live-first streaming platform. It runs live channels, live events, radio stations, FAST channels and loops from one place, and it records what goes on air so that every live hour becomes part of a media library.</w:t>
      </w:r>
    </w:p>
    <w:p>
      <w:pPr>
        <w:pStyle w:val="Normal"/>
      </w:pPr>
      <w:r>
        <w:t xml:space="preserve">Two workflows sit at the centre of Volt:</w:t>
      </w:r>
    </w:p>
    <w:p>
      <w:pPr>
        <w:pStyle w:val="ListBullet"/>
        <w:numPr>
          <w:ilvl w:val="0"/>
          <w:numId w:val="2"/>
        </w:numPr>
      </w:pPr>
      <w:r>
        <w:rPr>
          <w:b/>
          <w:bCs/>
        </w:rPr>
        <w:t xml:space="preserve">Live </w:t>
      </w:r>
      <w:r>
        <w:rPr>
          <w:rFonts w:ascii="Arial" w:cs="Arial" w:eastAsia="Arial" w:hAnsi="Arial"/>
          <w:b/>
          <w:bCs/>
        </w:rPr>
        <w:t xml:space="preserve">→</w:t>
      </w:r>
      <w:r>
        <w:rPr>
          <w:b/>
          <w:bCs/>
        </w:rPr>
        <w:t xml:space="preserve"> VOD. </w:t>
      </w:r>
      <w:r>
        <w:t xml:space="preserve">Volt records every channel as it airs. Operators clip and publish from the recording while the channel is still live.</w:t>
      </w:r>
    </w:p>
    <w:p>
      <w:pPr>
        <w:pStyle w:val="ListBullet"/>
        <w:numPr>
          <w:ilvl w:val="0"/>
          <w:numId w:val="2"/>
        </w:numPr>
      </w:pPr>
      <w:r>
        <w:rPr>
          <w:b/>
          <w:bCs/>
        </w:rPr>
        <w:t xml:space="preserve">VOD </w:t>
      </w:r>
      <w:r>
        <w:rPr>
          <w:rFonts w:ascii="Arial" w:cs="Arial" w:eastAsia="Arial" w:hAnsi="Arial"/>
          <w:b/>
          <w:bCs/>
        </w:rPr>
        <w:t xml:space="preserve">→</w:t>
      </w:r>
      <w:r>
        <w:rPr>
          <w:b/>
          <w:bCs/>
        </w:rPr>
        <w:t xml:space="preserve"> Live. </w:t>
      </w:r>
      <w:r>
        <w:t xml:space="preserve">Volt turns a media library into a scheduled channel, so an archive can go back on air as a FAST channel.</w:t>
      </w:r>
    </w:p>
    <w:p>
      <w:pPr>
        <w:pStyle w:val="Normal"/>
      </w:pPr>
      <w:r>
        <w:t xml:space="preserve">This document describes how Volt handles live channels and failover, how the two workflows run, and what the platform supports. It is written for broadcast engineers and operators who are planning a move to Volt.</w:t>
      </w:r>
    </w:p>
    <w:p>
      <w:pPr>
        <w:pStyle w:val="Heading2"/>
      </w:pPr>
      <w:r>
        <w:t xml:space="preserve">Who uses Volt</w:t>
      </w:r>
    </w:p>
    <w:p>
      <w:pPr>
        <w:pStyle w:val="Normal"/>
      </w:pPr>
      <w:r>
        <w:t xml:space="preserve">Operators use Volt to take channels on and off air, watch the signal, handle failover and cut clips. Editors and producers use the media library to review and publish. Administrators manage tenants, users, roles and API keys for each app.</w:t>
      </w:r>
    </w:p>
    <w:p>
      <w:pPr>
        <w:pStyle w:val="Heading1"/>
      </w:pPr>
      <w:r>
        <w:t xml:space="preserve">Live channels and failover</w:t>
      </w:r>
    </w:p>
    <w:p>
      <w:pPr>
        <w:pStyle w:val="Normal"/>
      </w:pPr>
      <w:r>
        <w:t xml:space="preserve">A Volt live channel takes a contribution feed over SRT or RTMP, encodes it into renditions and delivers it in HLS and DASH. Each channel can have a primary and a backup input.</w:t>
      </w:r>
    </w:p>
    <w:p>
      <w:pPr>
        <w:pStyle w:val="Heading2"/>
      </w:pPr>
      <w:r>
        <w:t xml:space="preserve">Primary and backup inputs</w:t>
      </w:r>
    </w:p>
    <w:p>
      <w:pPr>
        <w:pStyle w:val="Normal"/>
      </w:pPr>
      <w:r>
        <w:t xml:space="preserve">When the primary input fails, Volt switches to the backup automatically and keeps the channel on air. If both inputs are lost, Volt puts the slate on air so viewers see a holding image rather than a frozen picture. When the signal returns, the operator takes the channel back to live.</w:t>
      </w:r>
    </w:p>
    <w:p>
      <w:pPr>
        <w:pStyle w:val="Heading2"/>
      </w:pPr>
      <w:r>
        <w:t xml:space="preserve">Monitoring the pipeline</w:t>
      </w:r>
    </w:p>
    <w:p>
      <w:pPr>
        <w:pStyle w:val="Normal"/>
      </w:pPr>
      <w:r>
        <w:t xml:space="preserve">Every channel shows a five-gate pipeline strip: </w:t>
      </w:r>
      <w:r>
        <w:rPr>
          <w:rStyle w:val="InlineCode"/>
        </w:rPr>
        <w:t xml:space="preserve">Server </w:t>
      </w:r>
      <w:r>
        <w:rPr>
          <w:rStyle w:val="InlineCode"/>
          <w:rFonts w:ascii="Arial" w:cs="Arial" w:eastAsia="Arial" w:hAnsi="Arial"/>
        </w:rPr>
        <w:t xml:space="preserve">→</w:t>
      </w:r>
      <w:r>
        <w:rPr>
          <w:rStyle w:val="InlineCode"/>
        </w:rPr>
        <w:t xml:space="preserve"> Input </w:t>
      </w:r>
      <w:r>
        <w:rPr>
          <w:rStyle w:val="InlineCode"/>
          <w:rFonts w:ascii="Arial" w:cs="Arial" w:eastAsia="Arial" w:hAnsi="Arial"/>
        </w:rPr>
        <w:t xml:space="preserve">→</w:t>
      </w:r>
      <w:r>
        <w:rPr>
          <w:rStyle w:val="InlineCode"/>
        </w:rPr>
        <w:t xml:space="preserve"> Encoder </w:t>
      </w:r>
      <w:r>
        <w:rPr>
          <w:rStyle w:val="InlineCode"/>
          <w:rFonts w:ascii="Arial" w:cs="Arial" w:eastAsia="Arial" w:hAnsi="Arial"/>
        </w:rPr>
        <w:t xml:space="preserve">→</w:t>
      </w:r>
      <w:r>
        <w:rPr>
          <w:rStyle w:val="InlineCode"/>
        </w:rPr>
        <w:t xml:space="preserve"> Output </w:t>
      </w:r>
      <w:r>
        <w:rPr>
          <w:rStyle w:val="InlineCode"/>
          <w:rFonts w:ascii="Arial" w:cs="Arial" w:eastAsia="Arial" w:hAnsi="Arial"/>
        </w:rPr>
        <w:t xml:space="preserve">→</w:t>
      </w:r>
      <w:r>
        <w:rPr>
          <w:rStyle w:val="InlineCode"/>
        </w:rPr>
        <w:t xml:space="preserve"> On air</w:t>
      </w:r>
      <w:r>
        <w:t xml:space="preserve">. Each gate carries its own state, so an operator can see where a problem starts before viewers notice it. Monitoring collects the same states across all channels, and Multiview shows the encoder output of each channel side by side.</w:t>
      </w:r>
    </w:p>
    <w:p>
      <w:pPr>
        <w:pStyle w:val="Callout"/>
      </w:pPr>
      <w:r>
        <w:rPr>
          <w:b/>
          <w:bCs/>
        </w:rPr>
        <w:t xml:space="preserve">Calm on the bad night. </w:t>
      </w:r>
      <w:r>
        <w:t xml:space="preserve">Volt explains what happened and what it did. For example: “No signal on the primary input. Volt switched to the backup at 14:02:11.”</w:t>
      </w:r>
    </w:p>
    <w:p>
      <w:pPr>
        <w:pStyle w:val="Figure"/>
        <w:keepNext/>
      </w:pPr>
      <w:r>
        <w:drawing>
          <wp:inline distT="0" distB="0" distL="0" distR="0">
            <wp:extent cx="6120000" cy="253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0000" cy="2539800"/>
                    </a:xfrm>
                    <a:prstGeom prst="rect">
                      <a:avLst/>
                    </a:prstGeom>
                  </pic:spPr>
                </pic:pic>
              </a:graphicData>
            </a:graphic>
          </wp:inline>
        </w:drawing>
      </w:r>
    </w:p>
    <w:p>
      <w:pPr>
        <w:pStyle w:val="Caption"/>
      </w:pPr>
      <w:r>
        <w:t xml:space="preserve">Figure 1. Channel 2 Live after the primary input failed. The backup is on air and the Input gate shows the degraded state.</w:t>
      </w:r>
    </w:p>
    <w:p>
      <w:pPr>
        <w:pStyle w:val="Heading2"/>
      </w:pPr>
      <w:r>
        <w:t xml:space="preserve">Captions and translation</w:t>
      </w:r>
    </w:p>
    <w:p>
      <w:pPr>
        <w:pStyle w:val="Normal"/>
      </w:pPr>
      <w:r>
        <w:t xml:space="preserve">Volt adds live subtitles to a channel as it airs and can translate them into other languages. Viewers choose a caption language in the player, and the captions stay in the recording for later use.</w:t>
      </w:r>
    </w:p>
    <w:p>
      <w:pPr>
        <w:pStyle w:val="Heading1"/>
      </w:pPr>
      <w:r>
        <w:t xml:space="preserve">Live </w:t>
      </w:r>
      <w:r>
        <w:rPr>
          <w:rFonts w:ascii="Arial" w:cs="Arial" w:eastAsia="Arial" w:hAnsi="Arial"/>
        </w:rPr>
        <w:t xml:space="preserve">→</w:t>
      </w:r>
      <w:r>
        <w:t xml:space="preserve"> VOD</w:t>
      </w:r>
    </w:p>
    <w:p>
      <w:pPr>
        <w:pStyle w:val="Normal"/>
      </w:pPr>
      <w:r>
        <w:t xml:space="preserve">Recording starts when the channel goes on air. Volt records every channel continuously and shows each recording on a timeline, with gaps and slate periods marked so that an editor knows exactly what is in the recording.</w:t>
      </w:r>
    </w:p>
    <w:p>
      <w:pPr>
        <w:pStyle w:val="Heading2"/>
      </w:pPr>
      <w:r>
        <w:t xml:space="preserve">The recording workbench</w:t>
      </w:r>
    </w:p>
    <w:p>
      <w:pPr>
        <w:pStyle w:val="Normal"/>
      </w:pPr>
      <w:r>
        <w:t xml:space="preserve">The recording workbench is where clips are made. The editor scrubs with the keyboard, finds a moment by searching the captions, marks the in and out points and creates the clip. Volt does this while the channel is still live, so a goal or a quote can be published within minutes.</w:t>
      </w:r>
    </w:p>
    <w:p>
      <w:pPr>
        <w:pStyle w:val="Heading2"/>
      </w:pPr>
      <w:r>
        <w:t xml:space="preserve">Publishing from the library</w:t>
      </w:r>
    </w:p>
    <w:p>
      <w:pPr>
        <w:pStyle w:val="Normal"/>
      </w:pPr>
      <w:r>
        <w:t xml:space="preserve">New clips go to the media library. Publishing rules decide where each item goes and when it is available, and every app is a publishing point with its own access rules. The image library holds thumbnails and artwork for each item.</w:t>
      </w:r>
    </w:p>
    <w:p>
      <w:pPr>
        <w:pStyle w:val="Figure"/>
        <w:keepNext/>
      </w:pPr>
      <w:r>
        <w:drawing>
          <wp:inline distT="0" distB="0" distL="0" distR="0">
            <wp:extent cx="5400000" cy="333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000" cy="3334500"/>
                    </a:xfrm>
                    <a:prstGeom prst="rect">
                      <a:avLst/>
                    </a:prstGeom>
                  </pic:spPr>
                </pic:pic>
              </a:graphicData>
            </a:graphic>
          </wp:inline>
        </w:drawing>
      </w:r>
    </w:p>
    <w:p>
      <w:pPr>
        <w:pStyle w:val="Caption"/>
      </w:pPr>
      <w:r>
        <w:t xml:space="preserve">Figure 2. The recording workbench for Channel 2 Live, with caption search, the gap markers and the audio envelope.</w:t>
      </w:r>
    </w:p>
    <w:p>
      <w:pPr>
        <w:pStyle w:val="Heading1"/>
      </w:pPr>
      <w:r>
        <w:t xml:space="preserve">VOD </w:t>
      </w:r>
      <w:r>
        <w:rPr>
          <w:rFonts w:ascii="Arial" w:cs="Arial" w:eastAsia="Arial" w:hAnsi="Arial"/>
        </w:rPr>
        <w:t xml:space="preserve">→</w:t>
      </w:r>
      <w:r>
        <w:t xml:space="preserve"> Live</w:t>
      </w:r>
    </w:p>
    <w:p>
      <w:pPr>
        <w:pStyle w:val="Normal"/>
      </w:pPr>
      <w:r>
        <w:t xml:space="preserve">The second workflow runs the other way. Volt turns items in the media library into a scheduled channel: a FAST channel built from a playlist, or a loop that repeats a set of programmes.</w:t>
      </w:r>
    </w:p>
    <w:p>
      <w:pPr>
        <w:pStyle w:val="ListBullet"/>
        <w:numPr>
          <w:ilvl w:val="0"/>
          <w:numId w:val="2"/>
        </w:numPr>
      </w:pPr>
      <w:r>
        <w:t xml:space="preserve">Build the schedule in the EPG, or import it from an XMLTV file.</w:t>
      </w:r>
    </w:p>
    <w:p>
      <w:pPr>
        <w:pStyle w:val="ListBullet"/>
        <w:numPr>
          <w:ilvl w:val="0"/>
          <w:numId w:val="2"/>
        </w:numPr>
      </w:pPr>
      <w:r>
        <w:t xml:space="preserve">Add programmes from the media library, including clips made from recordings.</w:t>
      </w:r>
    </w:p>
    <w:p>
      <w:pPr>
        <w:pStyle w:val="ListBullet"/>
        <w:numPr>
          <w:ilvl w:val="0"/>
          <w:numId w:val="2"/>
        </w:numPr>
      </w:pPr>
      <w:r>
        <w:t xml:space="preserve">Volt plays the schedule out as a channel, delivered in HLS and DASH like any live channel.</w:t>
      </w:r>
    </w:p>
    <w:p>
      <w:pPr>
        <w:pStyle w:val="Normal"/>
      </w:pPr>
      <w:r>
        <w:t xml:space="preserve">Watchfolders and ingest bring new files into the library, so a channel can be fed from the same place the editors already work.</w:t>
      </w:r>
    </w:p>
    <w:p>
      <w:pPr>
        <w:pStyle w:val="Figure"/>
        <w:keepNext/>
      </w:pPr>
      <w:r>
        <w:drawing>
          <wp:inline distT="0" distB="0" distL="0" distR="0">
            <wp:extent cx="4680000" cy="236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80000" cy="2363400"/>
                    </a:xfrm>
                    <a:prstGeom prst="rect">
                      <a:avLst/>
                    </a:prstGeom>
                  </pic:spPr>
                </pic:pic>
              </a:graphicData>
            </a:graphic>
          </wp:inline>
        </w:drawing>
      </w:r>
    </w:p>
    <w:p>
      <w:pPr>
        <w:pStyle w:val="Caption"/>
      </w:pPr>
      <w:r>
        <w:t xml:space="preserve">Figure 3. The EPG lists channels, radio stations and events with what is on now and next.</w:t>
      </w:r>
    </w:p>
    <w:p>
      <w:pPr>
        <w:pStyle w:val="Heading1"/>
      </w:pPr>
      <w:r>
        <w:t xml:space="preserve">How the signal flows</w:t>
      </w:r>
    </w:p>
    <w:p>
      <w:pPr>
        <w:pStyle w:val="Normal"/>
      </w:pPr>
      <w:r>
        <w:t xml:space="preserve">The diagram shows a live channel from camera to viewer, and the two workflows inside the Volt platform. The live signal runs left to right along the top. Recordings and the library sit below it, and the FAST channel joins the delivery path.</w:t>
      </w:r>
    </w:p>
    <w:p>
      <w:pPr>
        <w:pStyle w:val="Figure"/>
        <w:keepNext/>
      </w:pPr>
      <w:r>
        <w:drawing>
          <wp:inline distT="0" distB="0" distL="0" distR="0">
            <wp:extent cx="6120000" cy="25231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0000" cy="2523158"/>
                    </a:xfrm>
                    <a:prstGeom prst="rect">
                      <a:avLst/>
                    </a:prstGeom>
                  </pic:spPr>
                </pic:pic>
              </a:graphicData>
            </a:graphic>
          </wp:inline>
        </w:drawing>
      </w:r>
    </w:p>
    <w:p>
      <w:pPr>
        <w:pStyle w:val="Caption"/>
      </w:pPr>
      <w:r>
        <w:t xml:space="preserve">Figure 4. Signal flow for a live channel with a backup input, Live </w:t>
      </w:r>
      <w:r>
        <w:rPr>
          <w:rFonts w:ascii="Arial" w:cs="Arial" w:eastAsia="Arial" w:hAnsi="Arial"/>
        </w:rPr>
        <w:t xml:space="preserve">→</w:t>
      </w:r>
      <w:r>
        <w:t xml:space="preserve"> VOD recording and a VOD </w:t>
      </w:r>
      <w:r>
        <w:rPr>
          <w:rFonts w:ascii="Arial" w:cs="Arial" w:eastAsia="Arial" w:hAnsi="Arial"/>
        </w:rPr>
        <w:t xml:space="preserve">→</w:t>
      </w:r>
      <w:r>
        <w:t xml:space="preserve"> Live FAST channel.</w:t>
      </w:r>
    </w:p>
    <w:p>
      <w:pPr>
        <w:pStyle w:val="Heading1"/>
      </w:pPr>
      <w:r>
        <w:t xml:space="preserve">Specification</w:t>
      </w:r>
    </w:p>
    <w:p>
      <w:pPr>
        <w:pStyle w:val="Normal"/>
      </w:pPr>
      <w:r>
        <w:t xml:space="preserve">The table summarises what Volt supports today.</w:t>
      </w:r>
    </w:p>
    <w:tbl>
      <w:tblPr>
        <w:tblStyle w:val="VoltTable"/>
        <w:tblW w:type="dxa" w:w="9637"/>
        <w:tblBorders>
          <w:top w:val="single" w:color="DFE4EE" w:sz="6"/>
          <w:left w:val="none" w:color="auto" w:sz="0"/>
          <w:bottom w:val="single" w:color="DFE4EE" w:sz="6"/>
          <w:right w:val="none" w:color="auto" w:sz="0"/>
          <w:insideH w:val="single" w:color="DFE4EE" w:sz="6"/>
          <w:insideV w:val="none" w:color="auto" w:sz="0"/>
        </w:tblBorders>
      </w:tblPr>
      <w:tblGrid>
        <w:gridCol w:w="2154"/>
        <w:gridCol w:w="7483"/>
      </w:tblGrid>
      <w:tr>
        <w:trPr>
          <w:cantSplit/>
          <w:tblHeader/>
        </w:trPr>
        <w:tc>
          <w:tcPr>
            <w:tcW w:type="dxa" w:w="2154"/>
            <w:shd w:fill="E4E9F2" w:color="auto" w:val="clear"/>
            <w:tcMar>
              <w:top w:type="dxa" w:w="85"/>
              <w:left w:type="dxa" w:w="113"/>
              <w:bottom w:type="dxa" w:w="85"/>
              <w:right w:type="dxa" w:w="113"/>
            </w:tcMar>
            <w:vAlign w:val="top"/>
          </w:tcPr>
          <w:p>
            <w:pPr>
              <w:pStyle w:val="TableText"/>
            </w:pPr>
            <w:r>
              <w:rPr>
                <w:b/>
                <w:bCs/>
                <w:color w:val="0F1218"/>
              </w:rPr>
              <w:t xml:space="preserve">Area</w:t>
            </w:r>
          </w:p>
        </w:tc>
        <w:tc>
          <w:tcPr>
            <w:tcW w:type="dxa" w:w="7483"/>
            <w:shd w:fill="E4E9F2" w:color="auto" w:val="clear"/>
            <w:tcMar>
              <w:top w:type="dxa" w:w="85"/>
              <w:left w:type="dxa" w:w="113"/>
              <w:bottom w:type="dxa" w:w="85"/>
              <w:right w:type="dxa" w:w="113"/>
            </w:tcMar>
            <w:vAlign w:val="top"/>
          </w:tcPr>
          <w:p>
            <w:pPr>
              <w:pStyle w:val="TableText"/>
            </w:pPr>
            <w:r>
              <w:rPr>
                <w:b/>
                <w:bCs/>
                <w:color w:val="0F1218"/>
              </w:rPr>
              <w:t xml:space="preserve">What Volt provides</w:t>
            </w:r>
          </w:p>
        </w:tc>
      </w:tr>
      <w:tr>
        <w:trPr>
          <w:cantSplit/>
        </w:trPr>
        <w:tc>
          <w:tcPr>
            <w:tcW w:type="dxa" w:w="2154"/>
            <w:tcMar>
              <w:top w:type="dxa" w:w="85"/>
              <w:left w:type="dxa" w:w="113"/>
              <w:bottom w:type="dxa" w:w="85"/>
              <w:right w:type="dxa" w:w="113"/>
            </w:tcMar>
            <w:vAlign w:val="top"/>
          </w:tcPr>
          <w:p>
            <w:pPr>
              <w:pStyle w:val="TableText"/>
            </w:pPr>
            <w:r>
              <w:t xml:space="preserve">Stream types</w:t>
            </w:r>
          </w:p>
        </w:tc>
        <w:tc>
          <w:tcPr>
            <w:tcW w:type="dxa" w:w="7483"/>
            <w:tcMar>
              <w:top w:type="dxa" w:w="85"/>
              <w:left w:type="dxa" w:w="113"/>
              <w:bottom w:type="dxa" w:w="85"/>
              <w:right w:type="dxa" w:w="113"/>
            </w:tcMar>
            <w:vAlign w:val="top"/>
          </w:tcPr>
          <w:p>
            <w:pPr>
              <w:pStyle w:val="TableText"/>
            </w:pPr>
            <w:r>
              <w:t xml:space="preserve">Live channels, live events, radio stations, FAST channels and loops</w:t>
            </w:r>
          </w:p>
        </w:tc>
      </w:tr>
      <w:tr>
        <w:trPr>
          <w:cantSplit/>
        </w:trPr>
        <w:tc>
          <w:tcPr>
            <w:tcW w:type="dxa" w:w="2154"/>
            <w:tcMar>
              <w:top w:type="dxa" w:w="85"/>
              <w:left w:type="dxa" w:w="113"/>
              <w:bottom w:type="dxa" w:w="85"/>
              <w:right w:type="dxa" w:w="113"/>
            </w:tcMar>
            <w:vAlign w:val="top"/>
          </w:tcPr>
          <w:p>
            <w:pPr>
              <w:pStyle w:val="TableText"/>
            </w:pPr>
            <w:r>
              <w:t xml:space="preserve">Ingest</w:t>
            </w:r>
          </w:p>
        </w:tc>
        <w:tc>
          <w:tcPr>
            <w:tcW w:type="dxa" w:w="7483"/>
            <w:tcMar>
              <w:top w:type="dxa" w:w="85"/>
              <w:left w:type="dxa" w:w="113"/>
              <w:bottom w:type="dxa" w:w="85"/>
              <w:right w:type="dxa" w:w="113"/>
            </w:tcMar>
            <w:vAlign w:val="top"/>
          </w:tcPr>
          <w:p>
            <w:pPr>
              <w:pStyle w:val="TableText"/>
            </w:pPr>
            <w:r>
              <w:rPr>
                <w:rStyle w:val="InlineCode"/>
              </w:rPr>
              <w:t xml:space="preserve">SRT</w:t>
            </w:r>
            <w:r>
              <w:t xml:space="preserve"> and </w:t>
            </w:r>
            <w:r>
              <w:rPr>
                <w:rStyle w:val="InlineCode"/>
              </w:rPr>
              <w:t xml:space="preserve">RTMP</w:t>
            </w:r>
            <w:r>
              <w:t xml:space="preserve"> contribution, watchfolders and file ingest</w:t>
            </w:r>
          </w:p>
        </w:tc>
      </w:tr>
      <w:tr>
        <w:trPr>
          <w:cantSplit/>
        </w:trPr>
        <w:tc>
          <w:tcPr>
            <w:tcW w:type="dxa" w:w="2154"/>
            <w:tcMar>
              <w:top w:type="dxa" w:w="85"/>
              <w:left w:type="dxa" w:w="113"/>
              <w:bottom w:type="dxa" w:w="85"/>
              <w:right w:type="dxa" w:w="113"/>
            </w:tcMar>
            <w:vAlign w:val="top"/>
          </w:tcPr>
          <w:p>
            <w:pPr>
              <w:pStyle w:val="TableText"/>
            </w:pPr>
            <w:r>
              <w:t xml:space="preserve">Delivery</w:t>
            </w:r>
          </w:p>
        </w:tc>
        <w:tc>
          <w:tcPr>
            <w:tcW w:type="dxa" w:w="7483"/>
            <w:tcMar>
              <w:top w:type="dxa" w:w="85"/>
              <w:left w:type="dxa" w:w="113"/>
              <w:bottom w:type="dxa" w:w="85"/>
              <w:right w:type="dxa" w:w="113"/>
            </w:tcMar>
            <w:vAlign w:val="top"/>
          </w:tcPr>
          <w:p>
            <w:pPr>
              <w:pStyle w:val="TableText"/>
            </w:pPr>
            <w:r>
              <w:rPr>
                <w:rStyle w:val="InlineCode"/>
              </w:rPr>
              <w:t xml:space="preserve">HLS</w:t>
            </w:r>
            <w:r>
              <w:t xml:space="preserve"> and </w:t>
            </w:r>
            <w:r>
              <w:rPr>
                <w:rStyle w:val="InlineCode"/>
              </w:rPr>
              <w:t xml:space="preserve">DASH</w:t>
            </w:r>
            <w:r>
              <w:t xml:space="preserve"> output, player SDK and embeds</w:t>
            </w:r>
          </w:p>
        </w:tc>
      </w:tr>
      <w:tr>
        <w:trPr>
          <w:cantSplit/>
        </w:trPr>
        <w:tc>
          <w:tcPr>
            <w:tcW w:type="dxa" w:w="2154"/>
            <w:tcMar>
              <w:top w:type="dxa" w:w="85"/>
              <w:left w:type="dxa" w:w="113"/>
              <w:bottom w:type="dxa" w:w="85"/>
              <w:right w:type="dxa" w:w="113"/>
            </w:tcMar>
            <w:vAlign w:val="top"/>
          </w:tcPr>
          <w:p>
            <w:pPr>
              <w:pStyle w:val="TableText"/>
            </w:pPr>
            <w:r>
              <w:t xml:space="preserve">Failover</w:t>
            </w:r>
          </w:p>
        </w:tc>
        <w:tc>
          <w:tcPr>
            <w:tcW w:type="dxa" w:w="7483"/>
            <w:tcMar>
              <w:top w:type="dxa" w:w="85"/>
              <w:left w:type="dxa" w:w="113"/>
              <w:bottom w:type="dxa" w:w="85"/>
              <w:right w:type="dxa" w:w="113"/>
            </w:tcMar>
            <w:vAlign w:val="top"/>
          </w:tcPr>
          <w:p>
            <w:pPr>
              <w:pStyle w:val="TableText"/>
            </w:pPr>
            <w:r>
              <w:t xml:space="preserve">Primary and backup inputs with automatic switch, and a slate when both inputs are lost</w:t>
            </w:r>
          </w:p>
        </w:tc>
      </w:tr>
      <w:tr>
        <w:trPr>
          <w:cantSplit/>
        </w:trPr>
        <w:tc>
          <w:tcPr>
            <w:tcW w:type="dxa" w:w="2154"/>
            <w:tcMar>
              <w:top w:type="dxa" w:w="85"/>
              <w:left w:type="dxa" w:w="113"/>
              <w:bottom w:type="dxa" w:w="85"/>
              <w:right w:type="dxa" w:w="113"/>
            </w:tcMar>
            <w:vAlign w:val="top"/>
          </w:tcPr>
          <w:p>
            <w:pPr>
              <w:pStyle w:val="TableText"/>
            </w:pPr>
            <w:r>
              <w:t xml:space="preserve">Captions</w:t>
            </w:r>
          </w:p>
        </w:tc>
        <w:tc>
          <w:tcPr>
            <w:tcW w:type="dxa" w:w="7483"/>
            <w:tcMar>
              <w:top w:type="dxa" w:w="85"/>
              <w:left w:type="dxa" w:w="113"/>
              <w:bottom w:type="dxa" w:w="85"/>
              <w:right w:type="dxa" w:w="113"/>
            </w:tcMar>
            <w:vAlign w:val="top"/>
          </w:tcPr>
          <w:p>
            <w:pPr>
              <w:pStyle w:val="TableText"/>
            </w:pPr>
            <w:r>
              <w:t xml:space="preserve">Live subtitles and captions, with translation</w:t>
            </w:r>
          </w:p>
        </w:tc>
      </w:tr>
      <w:tr>
        <w:trPr>
          <w:cantSplit/>
        </w:trPr>
        <w:tc>
          <w:tcPr>
            <w:tcW w:type="dxa" w:w="2154"/>
            <w:tcMar>
              <w:top w:type="dxa" w:w="85"/>
              <w:left w:type="dxa" w:w="113"/>
              <w:bottom w:type="dxa" w:w="85"/>
              <w:right w:type="dxa" w:w="113"/>
            </w:tcMar>
            <w:vAlign w:val="top"/>
          </w:tcPr>
          <w:p>
            <w:pPr>
              <w:pStyle w:val="TableText"/>
            </w:pPr>
            <w:r>
              <w:t xml:space="preserve">Monitoring</w:t>
            </w:r>
          </w:p>
        </w:tc>
        <w:tc>
          <w:tcPr>
            <w:tcW w:type="dxa" w:w="7483"/>
            <w:tcMar>
              <w:top w:type="dxa" w:w="85"/>
              <w:left w:type="dxa" w:w="113"/>
              <w:bottom w:type="dxa" w:w="85"/>
              <w:right w:type="dxa" w:w="113"/>
            </w:tcMar>
            <w:vAlign w:val="top"/>
          </w:tcPr>
          <w:p>
            <w:pPr>
              <w:pStyle w:val="TableText"/>
            </w:pPr>
            <w:r>
              <w:t xml:space="preserve">Five-gate pipeline strip per channel, monitoring across channels and Multiview</w:t>
            </w:r>
          </w:p>
        </w:tc>
      </w:tr>
      <w:tr>
        <w:trPr>
          <w:cantSplit/>
        </w:trPr>
        <w:tc>
          <w:tcPr>
            <w:tcW w:type="dxa" w:w="2154"/>
            <w:tcMar>
              <w:top w:type="dxa" w:w="85"/>
              <w:left w:type="dxa" w:w="113"/>
              <w:bottom w:type="dxa" w:w="85"/>
              <w:right w:type="dxa" w:w="113"/>
            </w:tcMar>
            <w:vAlign w:val="top"/>
          </w:tcPr>
          <w:p>
            <w:pPr>
              <w:pStyle w:val="TableText"/>
            </w:pPr>
            <w:r>
              <w:t xml:space="preserve">Scheduling</w:t>
            </w:r>
          </w:p>
        </w:tc>
        <w:tc>
          <w:tcPr>
            <w:tcW w:type="dxa" w:w="7483"/>
            <w:tcMar>
              <w:top w:type="dxa" w:w="85"/>
              <w:left w:type="dxa" w:w="113"/>
              <w:bottom w:type="dxa" w:w="85"/>
              <w:right w:type="dxa" w:w="113"/>
            </w:tcMar>
            <w:vAlign w:val="top"/>
          </w:tcPr>
          <w:p>
            <w:pPr>
              <w:pStyle w:val="TableText"/>
            </w:pPr>
            <w:r>
              <w:t xml:space="preserve">EPG with XMLTV import</w:t>
            </w:r>
          </w:p>
        </w:tc>
      </w:tr>
      <w:tr>
        <w:trPr>
          <w:cantSplit/>
        </w:trPr>
        <w:tc>
          <w:tcPr>
            <w:tcW w:type="dxa" w:w="2154"/>
            <w:tcMar>
              <w:top w:type="dxa" w:w="85"/>
              <w:left w:type="dxa" w:w="113"/>
              <w:bottom w:type="dxa" w:w="85"/>
              <w:right w:type="dxa" w:w="113"/>
            </w:tcMar>
            <w:vAlign w:val="top"/>
          </w:tcPr>
          <w:p>
            <w:pPr>
              <w:pStyle w:val="TableText"/>
            </w:pPr>
            <w:r>
              <w:t xml:space="preserve">Recordings</w:t>
            </w:r>
          </w:p>
        </w:tc>
        <w:tc>
          <w:tcPr>
            <w:tcW w:type="dxa" w:w="7483"/>
            <w:tcMar>
              <w:top w:type="dxa" w:w="85"/>
              <w:left w:type="dxa" w:w="113"/>
              <w:bottom w:type="dxa" w:w="85"/>
              <w:right w:type="dxa" w:w="113"/>
            </w:tcMar>
            <w:vAlign w:val="top"/>
          </w:tcPr>
          <w:p>
            <w:pPr>
              <w:pStyle w:val="TableText"/>
            </w:pPr>
            <w:r>
              <w:t xml:space="preserve">Recordings timeline and recording workbench with clip creation</w:t>
            </w:r>
          </w:p>
        </w:tc>
      </w:tr>
      <w:tr>
        <w:trPr>
          <w:cantSplit/>
        </w:trPr>
        <w:tc>
          <w:tcPr>
            <w:tcW w:type="dxa" w:w="2154"/>
            <w:tcMar>
              <w:top w:type="dxa" w:w="85"/>
              <w:left w:type="dxa" w:w="113"/>
              <w:bottom w:type="dxa" w:w="85"/>
              <w:right w:type="dxa" w:w="113"/>
            </w:tcMar>
            <w:vAlign w:val="top"/>
          </w:tcPr>
          <w:p>
            <w:pPr>
              <w:pStyle w:val="TableText"/>
            </w:pPr>
            <w:r>
              <w:t xml:space="preserve">Media Library</w:t>
            </w:r>
          </w:p>
        </w:tc>
        <w:tc>
          <w:tcPr>
            <w:tcW w:type="dxa" w:w="7483"/>
            <w:tcMar>
              <w:top w:type="dxa" w:w="85"/>
              <w:left w:type="dxa" w:w="113"/>
              <w:bottom w:type="dxa" w:w="85"/>
              <w:right w:type="dxa" w:w="113"/>
            </w:tcMar>
            <w:vAlign w:val="top"/>
          </w:tcPr>
          <w:p>
            <w:pPr>
              <w:pStyle w:val="TableText"/>
            </w:pPr>
            <w:r>
              <w:t xml:space="preserve">Publishing rules, image library and apps as publishing points</w:t>
            </w:r>
          </w:p>
        </w:tc>
      </w:tr>
      <w:tr>
        <w:trPr>
          <w:cantSplit/>
        </w:trPr>
        <w:tc>
          <w:tcPr>
            <w:tcW w:type="dxa" w:w="2154"/>
            <w:tcMar>
              <w:top w:type="dxa" w:w="85"/>
              <w:left w:type="dxa" w:w="113"/>
              <w:bottom w:type="dxa" w:w="85"/>
              <w:right w:type="dxa" w:w="113"/>
            </w:tcMar>
            <w:vAlign w:val="top"/>
          </w:tcPr>
          <w:p>
            <w:pPr>
              <w:pStyle w:val="TableText"/>
            </w:pPr>
            <w:r>
              <w:t xml:space="preserve">Analytics</w:t>
            </w:r>
          </w:p>
        </w:tc>
        <w:tc>
          <w:tcPr>
            <w:tcW w:type="dxa" w:w="7483"/>
            <w:tcMar>
              <w:top w:type="dxa" w:w="85"/>
              <w:left w:type="dxa" w:w="113"/>
              <w:bottom w:type="dxa" w:w="85"/>
              <w:right w:type="dxa" w:w="113"/>
            </w:tcMar>
            <w:vAlign w:val="top"/>
          </w:tcPr>
          <w:p>
            <w:pPr>
              <w:pStyle w:val="TableText"/>
            </w:pPr>
            <w:r>
              <w:t xml:space="preserve">Audience and quality of service (QoS)</w:t>
            </w:r>
          </w:p>
        </w:tc>
      </w:tr>
      <w:tr>
        <w:trPr>
          <w:cantSplit/>
        </w:trPr>
        <w:tc>
          <w:tcPr>
            <w:tcW w:type="dxa" w:w="2154"/>
            <w:tcMar>
              <w:top w:type="dxa" w:w="85"/>
              <w:left w:type="dxa" w:w="113"/>
              <w:bottom w:type="dxa" w:w="85"/>
              <w:right w:type="dxa" w:w="113"/>
            </w:tcMar>
            <w:vAlign w:val="top"/>
          </w:tcPr>
          <w:p>
            <w:pPr>
              <w:pStyle w:val="TableText"/>
            </w:pPr>
            <w:r>
              <w:t xml:space="preserve">Platform</w:t>
            </w:r>
          </w:p>
        </w:tc>
        <w:tc>
          <w:tcPr>
            <w:tcW w:type="dxa" w:w="7483"/>
            <w:tcMar>
              <w:top w:type="dxa" w:w="85"/>
              <w:left w:type="dxa" w:w="113"/>
              <w:bottom w:type="dxa" w:w="85"/>
              <w:right w:type="dxa" w:w="113"/>
            </w:tcMar>
            <w:vAlign w:val="top"/>
          </w:tcPr>
          <w:p>
            <w:pPr>
              <w:pStyle w:val="TableText"/>
            </w:pPr>
            <w:r>
              <w:t xml:space="preserve">Multi-tenant SaaS with roles, and an API with keys per app</w:t>
            </w:r>
          </w:p>
        </w:tc>
      </w:tr>
    </w:tbl>
    <w:p>
      <w:pPr>
        <w:pStyle w:val="Caption"/>
      </w:pPr>
      <w:r>
        <w:t xml:space="preserve">Table 1. Volt platform capabilities.</w:t>
      </w:r>
    </w:p>
    <w:p>
      <w:pPr>
        <w:pStyle w:val="Heading1"/>
      </w:pPr>
      <w:r>
        <w:t xml:space="preserve">Next steps</w:t>
      </w:r>
    </w:p>
    <w:p>
      <w:pPr>
        <w:pStyle w:val="Normal"/>
      </w:pPr>
      <w:r>
        <w:t xml:space="preserve">A Volt evaluation usually follows four steps:</w:t>
      </w:r>
    </w:p>
    <w:p>
      <w:pPr>
        <w:pStyle w:val="ListNumber"/>
        <w:numPr>
          <w:ilvl w:val="0"/>
          <w:numId w:val="3"/>
        </w:numPr>
      </w:pPr>
      <w:r>
        <w:t xml:space="preserve">Agree the channels, events and radio stations to bring across, and their inputs.</w:t>
      </w:r>
    </w:p>
    <w:p>
      <w:pPr>
        <w:pStyle w:val="ListNumber"/>
        <w:numPr>
          <w:ilvl w:val="0"/>
          <w:numId w:val="3"/>
        </w:numPr>
      </w:pPr>
      <w:r>
        <w:t xml:space="preserve">Set up a tenant with demo channels and connect a test feed over SRT or RTMP.</w:t>
      </w:r>
    </w:p>
    <w:p>
      <w:pPr>
        <w:pStyle w:val="ListNumber"/>
        <w:numPr>
          <w:ilvl w:val="0"/>
          <w:numId w:val="3"/>
        </w:numPr>
      </w:pPr>
      <w:r>
        <w:t xml:space="preserve">Run Live </w:t>
      </w:r>
      <w:r>
        <w:rPr>
          <w:rFonts w:ascii="Arial" w:cs="Arial" w:eastAsia="Arial" w:hAnsi="Arial"/>
        </w:rPr>
        <w:t xml:space="preserve">→</w:t>
      </w:r>
      <w:r>
        <w:t xml:space="preserve"> VOD on one channel: record, clip and publish while it is on air.</w:t>
      </w:r>
    </w:p>
    <w:p>
      <w:pPr>
        <w:pStyle w:val="ListNumber"/>
        <w:numPr>
          <w:ilvl w:val="0"/>
          <w:numId w:val="3"/>
        </w:numPr>
      </w:pPr>
      <w:r>
        <w:t xml:space="preserve">Build a FAST channel from the library and review the analytics together.</w:t>
      </w:r>
    </w:p>
    <w:p>
      <w:pPr>
        <w:pStyle w:val="Callout"/>
      </w:pPr>
      <w:r>
        <w:rPr>
          <w:b/>
          <w:bCs/>
        </w:rPr>
        <w:t xml:space="preserve">See it live. </w:t>
      </w:r>
      <w:r>
        <w:t xml:space="preserve">Book a demo to see Volt running Channel 2, Sports Live and Radio One, including a failover to backup and a clip published while the channel is on air.</w:t>
      </w:r>
    </w:p>
    <w:sectPr>
      <w:headerReference w:type="default" r:id="rId7"/>
      <w:headerReference w:type="first" r:id="rId8"/>
      <w:footerReference w:type="default" r:id="rId9"/>
      <w:footerReference w:type="first" r:id="rId10"/>
      <w:pgSz w:w="11906" w:h="16838" w:orient="portrait"/>
      <w:pgMar w:top="1417" w:right="1134" w:bottom="1247"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638"/>
      </w:tabs>
    </w:pPr>
    <w:r>
      <w:t xml:space="preserve">Volt Streaming · Confidential	</w:t>
    </w: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eader"/>
      <w:tabs>
        <w:tab w:val="right" w:pos="9638"/>
      </w:tabs>
    </w:pPr>
    <w:r>
      <w:drawing>
        <wp:inline distT="0" distB="0" distL="0" distR="0">
          <wp:extent cx="1008000" cy="300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8000" cy="300720"/>
                  </a:xfrm>
                  <a:prstGeom prst="rect">
                    <a:avLst/>
                  </a:prstGeom>
                </pic:spPr>
              </pic:pic>
            </a:graphicData>
          </a:graphic>
        </wp:inline>
      </w:drawing>
    </w:r>
    <w:r>
      <w:t xml:space="preserve">	Volt Streaming platform overview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Foo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7"/>
      </w:pPr>
      <w:rPr>
        <w:rFonts w:ascii="Inter" w:cs="Inter" w:eastAsia="Inter" w:hAnsi="Inter"/>
        <w:color w:val="5569F2"/>
      </w:rPr>
    </w:lvl>
  </w:abstractNum>
  <w:abstractNum w:abstractNumId="3" w15:restartNumberingAfterBreak="0">
    <w:multiLevelType w:val="hybridMultilevel"/>
    <w:lvl w:ilvl="0" w15:tentative="1">
      <w:start w:val="1"/>
      <w:numFmt w:val="decimal"/>
      <w:lvlText w:val="%1."/>
      <w:lvlJc w:val="left"/>
      <w:pPr>
        <w:ind w:left="340" w:hanging="340"/>
      </w:pPr>
      <w:rPr>
        <w:rFonts w:ascii="Inter" w:cs="Inter" w:eastAsia="Inter" w:hAnsi="Inter"/>
        <w:color w:val="0F121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saveSubsetFonts/>
  <w:evenAndOddHeaders w:val="false"/>
  <w:compat>
    <w:compatSetting w:val="15" w:name="compatibilityMode" w:uri="http://schemas.microsoft.com/office/word"/>
  </w:compat>
  <w:themeFontLang w:val="en-GB"/>
</w:settings>
</file>

<file path=word/styles.xml><?xml version="1.0" encoding="utf-8"?>
<w:styles xmlns:w="http://schemas.openxmlformats.org/wordprocessingml/2006/main" xmlns:r="http://schemas.openxmlformats.org/officeDocument/2006/relationships">
  <w:docDefaults>
    <w:rPrDefault>
      <w:rPr>
        <w:rFonts w:ascii="Inter" w:hAnsi="Inter" w:eastAsia="Inter" w:cs="Inter"/>
        <w:color w:val="0F1218"/>
        <w:sz w:val="21"/>
        <w:szCs w:val="21"/>
        <w:lang w:val="en-GB"/>
      </w:rPr>
    </w:rPrDefault>
    <w:pPrDefault>
      <w:pPr>
        <w:spacing w:after="120" w:line="360" w:lineRule="auto"/>
      </w:pPr>
    </w:pPrDefault>
  </w:docDefaults>
  <w:style w:type="paragraph" w:default="1" w:styleId="Normal">
    <w:name w:val="Normal"/>
    <w:qFormat/>
    <w:pPr>
      <w:spacing w:after="120" w:line="360" w:lineRule="auto"/>
    </w:pPr>
    <w:rPr>
      <w:rFonts w:ascii="Inter" w:hAnsi="Inter" w:eastAsia="Inter" w:cs="Inter"/>
      <w:color w:val="0F121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uiPriority w:val="10"/>
    <w:qFormat/>
    <w:pPr>
      <w:keepNext/>
      <w:spacing w:before="0" w:after="160" w:line="250" w:lineRule="auto"/>
    </w:pPr>
    <w:rPr>
      <w:rFonts w:ascii="Archivo" w:hAnsi="Archivo" w:eastAsia="Archivo" w:cs="Archivo"/>
      <w:b/>
      <w:bCs/>
      <w:color w:val="0F1218"/>
      <w:spacing w:val="-10"/>
      <w:sz w:val="52"/>
      <w:szCs w:val="52"/>
    </w:rPr>
  </w:style>
  <w:style w:type="paragraph" w:styleId="Subtitle">
    <w:name w:val="Subtitle"/>
    <w:basedOn w:val="Normal"/>
    <w:next w:val="Normal"/>
    <w:uiPriority w:val="11"/>
    <w:qFormat/>
    <w:pPr>
      <w:spacing w:before="0" w:after="120" w:line="312" w:lineRule="auto"/>
    </w:pPr>
    <w:rPr>
      <w:rFonts w:ascii="Inter" w:hAnsi="Inter" w:eastAsia="Inter" w:cs="Inter"/>
      <w:color w:val="4B5468"/>
      <w:sz w:val="26"/>
      <w:szCs w:val="26"/>
    </w:rPr>
  </w:style>
  <w:style w:type="paragraph" w:styleId="Heading1">
    <w:name w:val="heading 1"/>
    <w:basedOn w:val="Normal"/>
    <w:next w:val="Normal"/>
    <w:uiPriority w:val="9"/>
    <w:qFormat/>
    <w:pPr>
      <w:keepNext/>
      <w:keepLines/>
      <w:spacing w:before="440" w:after="140" w:line="250" w:lineRule="auto"/>
      <w:outlineLvl w:val="0"/>
    </w:pPr>
    <w:rPr>
      <w:rFonts w:ascii="Archivo" w:hAnsi="Archivo" w:eastAsia="Archivo" w:cs="Archivo"/>
      <w:b/>
      <w:bCs/>
      <w:color w:val="0F1218"/>
      <w:spacing w:val="-4"/>
      <w:sz w:val="36"/>
      <w:szCs w:val="36"/>
    </w:rPr>
  </w:style>
  <w:style w:type="paragraph" w:styleId="Heading2">
    <w:name w:val="heading 2"/>
    <w:basedOn w:val="Normal"/>
    <w:next w:val="Normal"/>
    <w:uiPriority w:val="9"/>
    <w:qFormat/>
    <w:pPr>
      <w:keepNext/>
      <w:keepLines/>
      <w:spacing w:before="320" w:after="100" w:line="264" w:lineRule="auto"/>
      <w:outlineLvl w:val="1"/>
    </w:pPr>
    <w:rPr>
      <w:rFonts w:ascii="Archivo SemiBold" w:hAnsi="Archivo SemiBold" w:eastAsia="Archivo SemiBold" w:cs="Archivo SemiBold"/>
      <w:b w:val="0"/>
      <w:bCs w:val="0"/>
      <w:color w:val="0F1218"/>
      <w:spacing w:val="-3"/>
      <w:sz w:val="27"/>
      <w:szCs w:val="27"/>
    </w:rPr>
  </w:style>
  <w:style w:type="paragraph" w:styleId="Heading3">
    <w:name w:val="heading 3"/>
    <w:basedOn w:val="Normal"/>
    <w:next w:val="Normal"/>
    <w:uiPriority w:val="9"/>
    <w:qFormat/>
    <w:pPr>
      <w:keepNext/>
      <w:keepLines/>
      <w:spacing w:before="220" w:after="60" w:line="276" w:lineRule="auto"/>
      <w:outlineLvl w:val="2"/>
    </w:pPr>
    <w:rPr>
      <w:rFonts w:ascii="Inter SemiBold" w:hAnsi="Inter SemiBold" w:eastAsia="Inter SemiBold" w:cs="Inter SemiBold"/>
      <w:b w:val="0"/>
      <w:bCs w:val="0"/>
      <w:color w:val="0F1218"/>
      <w:sz w:val="22"/>
      <w:szCs w:val="22"/>
    </w:rPr>
  </w:style>
  <w:style w:type="paragraph" w:styleId="Eyebrow">
    <w:name w:val="Eyebrow"/>
    <w:basedOn w:val="Normal"/>
    <w:next w:val="Heading1"/>
    <w:qFormat/>
    <w:pPr>
      <w:keepNext/>
      <w:spacing w:before="360" w:after="60" w:line="240" w:lineRule="auto"/>
    </w:pPr>
    <w:rPr>
      <w:rFonts w:ascii="Archivo Expanded SemiBold" w:hAnsi="Archivo Expanded SemiBold" w:eastAsia="Archivo Expanded SemiBold" w:cs="Archivo Expanded SemiBold"/>
      <w:caps/>
      <w:color w:val="4F46E5"/>
      <w:spacing w:val="25"/>
      <w:sz w:val="18"/>
      <w:szCs w:val="18"/>
    </w:rPr>
  </w:style>
  <w:style w:type="paragraph" w:styleId="Caption">
    <w:name w:val="caption"/>
    <w:basedOn w:val="Normal"/>
    <w:next w:val="Normal"/>
    <w:uiPriority w:val="35"/>
    <w:qFormat/>
    <w:pPr>
      <w:spacing w:before="80" w:after="240" w:line="276" w:lineRule="auto"/>
    </w:pPr>
    <w:rPr>
      <w:rFonts w:ascii="Inter" w:hAnsi="Inter" w:eastAsia="Inter" w:cs="Inter"/>
      <w:color w:val="4B5468"/>
      <w:sz w:val="18"/>
      <w:szCs w:val="18"/>
    </w:rPr>
  </w:style>
  <w:style w:type="paragraph" w:styleId="Quote">
    <w:name w:val="Quote"/>
    <w:basedOn w:val="Normal"/>
    <w:next w:val="Normal"/>
    <w:uiPriority w:val="29"/>
    <w:qFormat/>
    <w:pPr>
      <w:spacing w:before="240" w:after="240" w:line="336" w:lineRule="auto"/>
      <w:ind w:left="567" w:right="567"/>
    </w:pPr>
    <w:rPr>
      <w:rFonts w:ascii="Archivo Medium" w:hAnsi="Archivo Medium" w:eastAsia="Archivo Medium" w:cs="Archivo Medium"/>
      <w:i w:val="0"/>
      <w:color w:val="0F1218"/>
      <w:sz w:val="26"/>
      <w:szCs w:val="26"/>
    </w:rPr>
  </w:style>
  <w:style w:type="paragraph" w:styleId="Code">
    <w:name w:val="Code"/>
    <w:basedOn w:val="Normal"/>
    <w:next w:val="Normal"/>
    <w:qFormat/>
    <w:pPr>
      <w:keepLines/>
      <w:pBdr>
        <w:top w:val="single" w:sz="4" w:space="5" w:color="EEF2F8"/>
        <w:left w:val="single" w:sz="4" w:space="5" w:color="EEF2F8"/>
        <w:bottom w:val="single" w:sz="4" w:space="5" w:color="EEF2F8"/>
        <w:right w:val="single" w:sz="4" w:space="5" w:color="EEF2F8"/>
      </w:pBdr>
      <w:shd w:val="clear" w:color="auto" w:fill="EEF2F8"/>
      <w:spacing w:before="0" w:after="0" w:line="288" w:lineRule="auto"/>
      <w:ind w:left="170" w:right="170"/>
    </w:pPr>
    <w:rPr>
      <w:rFonts w:ascii="JetBrains Mono" w:hAnsi="JetBrains Mono" w:eastAsia="JetBrains Mono" w:cs="JetBrains Mono"/>
      <w:color w:val="0F1218"/>
      <w:sz w:val="18"/>
      <w:szCs w:val="18"/>
    </w:rPr>
  </w:style>
  <w:style w:type="paragraph" w:styleId="Callout">
    <w:name w:val="Callout"/>
    <w:basedOn w:val="Normal"/>
    <w:next w:val="Normal"/>
    <w:qFormat/>
    <w:pPr>
      <w:pBdr>
        <w:top w:val="single" w:sz="4" w:space="8" w:color="ECEEFE"/>
        <w:left w:val="single" w:sz="4" w:space="8" w:color="ECEEFE"/>
        <w:bottom w:val="single" w:sz="4" w:space="8" w:color="ECEEFE"/>
        <w:right w:val="single" w:sz="4" w:space="8" w:color="ECEEFE"/>
      </w:pBdr>
      <w:shd w:val="clear" w:color="auto" w:fill="ECEEFE"/>
      <w:spacing w:before="200" w:after="240" w:line="312" w:lineRule="auto"/>
      <w:ind w:left="198" w:right="198"/>
    </w:pPr>
    <w:rPr>
      <w:rFonts w:ascii="Inter" w:hAnsi="Inter" w:eastAsia="Inter" w:cs="Inter"/>
      <w:color w:val="0F1218"/>
      <w:sz w:val="20"/>
      <w:szCs w:val="20"/>
    </w:rPr>
  </w:style>
  <w:style w:type="paragraph" w:styleId="ListBullet">
    <w:name w:val="List Bullet"/>
    <w:basedOn w:val="Normal"/>
    <w:next w:val="Normal"/>
    <w:uiPriority w:val="36"/>
    <w:qFormat/>
    <w:pPr>
      <w:numPr>
        <w:ilvl w:val="0"/>
        <w:numId w:val="2"/>
      </w:numPr>
      <w:spacing w:after="60"/>
    </w:pPr>
    <w:rPr/>
  </w:style>
  <w:style w:type="paragraph" w:styleId="ListNumber">
    <w:name w:val="List Number"/>
    <w:basedOn w:val="Normal"/>
    <w:next w:val="Normal"/>
    <w:uiPriority w:val="37"/>
    <w:qFormat/>
    <w:pPr>
      <w:numPr>
        <w:ilvl w:val="0"/>
        <w:numId w:val="3"/>
      </w:numPr>
      <w:spacing w:after="60"/>
    </w:pPr>
    <w:rPr/>
  </w:style>
  <w:style w:type="paragraph" w:styleId="TableText">
    <w:name w:val="Table Text"/>
    <w:basedOn w:val="Normal"/>
    <w:next w:val="Normal"/>
    <w:qFormat/>
    <w:pPr>
      <w:spacing w:before="0" w:after="0" w:line="264" w:lineRule="auto"/>
    </w:pPr>
    <w:rPr>
      <w:rFonts w:ascii="Inter" w:hAnsi="Inter" w:eastAsia="Inter" w:cs="Inter"/>
      <w:color w:val="4B5468"/>
      <w:sz w:val="18"/>
      <w:szCs w:val="18"/>
    </w:rPr>
  </w:style>
  <w:style w:type="paragraph" w:styleId="Figure">
    <w:name w:val="Figure"/>
    <w:basedOn w:val="Normal"/>
    <w:next w:val="Normal"/>
    <w:qFormat/>
    <w:pPr>
      <w:keepNext/>
      <w:spacing w:before="200" w:after="0" w:line="240" w:lineRule="auto"/>
      <w:jc w:val="center"/>
    </w:pPr>
    <w:rPr/>
  </w:style>
  <w:style w:type="paragraph" w:styleId="TOCHeading">
    <w:name w:val="TOC Heading"/>
    <w:basedOn w:val="Normal"/>
    <w:next w:val="Normal"/>
    <w:uiPriority w:val="39"/>
    <w:qFormat/>
    <w:pPr>
      <w:spacing w:before="0" w:after="240" w:line="250" w:lineRule="auto"/>
    </w:pPr>
    <w:rPr>
      <w:rFonts w:ascii="Archivo" w:hAnsi="Archivo" w:eastAsia="Archivo" w:cs="Archivo"/>
      <w:b/>
      <w:bCs/>
      <w:color w:val="0F1218"/>
      <w:spacing w:val="-4"/>
      <w:sz w:val="36"/>
      <w:szCs w:val="36"/>
    </w:rPr>
  </w:style>
  <w:style w:type="paragraph" w:styleId="TOC1">
    <w:name w:val="toc 1"/>
    <w:basedOn w:val="Normal"/>
    <w:next w:val="Normal"/>
    <w:uiPriority w:val="39"/>
    <w:pPr>
      <w:tabs>
        <w:tab w:val="right" w:leader="dot" w:pos="9638"/>
      </w:tabs>
      <w:spacing w:before="120" w:after="40" w:line="276" w:lineRule="auto"/>
    </w:pPr>
    <w:rPr>
      <w:rFonts w:ascii="Inter SemiBold" w:hAnsi="Inter SemiBold" w:eastAsia="Inter SemiBold" w:cs="Inter SemiBold"/>
      <w:color w:val="0F1218"/>
      <w:sz w:val="21"/>
      <w:szCs w:val="21"/>
    </w:rPr>
  </w:style>
  <w:style w:type="paragraph" w:styleId="TOC2">
    <w:name w:val="toc 2"/>
    <w:basedOn w:val="Normal"/>
    <w:next w:val="Normal"/>
    <w:uiPriority w:val="39"/>
    <w:pPr>
      <w:tabs>
        <w:tab w:val="right" w:leader="dot" w:pos="9638"/>
      </w:tabs>
      <w:spacing w:before="0" w:after="40" w:line="276" w:lineRule="auto"/>
      <w:ind w:left="284" w:right="0"/>
    </w:pPr>
    <w:rPr>
      <w:rFonts w:ascii="Inter" w:hAnsi="Inter" w:eastAsia="Inter" w:cs="Inter"/>
      <w:color w:val="4B5468"/>
      <w:sz w:val="20"/>
      <w:szCs w:val="20"/>
    </w:rPr>
  </w:style>
  <w:style w:type="paragraph" w:styleId="Header">
    <w:name w:val="header"/>
    <w:basedOn w:val="Normal"/>
    <w:next w:val="Normal"/>
    <w:uiPriority w:val="99"/>
    <w:pPr>
      <w:pBdr>
        <w:bottom w:val="single" w:sz="4" w:space="6" w:color="DFE4EE"/>
      </w:pBdr>
      <w:spacing w:before="0" w:after="0" w:line="240" w:lineRule="auto"/>
    </w:pPr>
    <w:rPr>
      <w:rFonts w:ascii="Inter" w:hAnsi="Inter" w:eastAsia="Inter" w:cs="Inter"/>
      <w:color w:val="4B5468"/>
      <w:sz w:val="17"/>
      <w:szCs w:val="17"/>
    </w:rPr>
  </w:style>
  <w:style w:type="paragraph" w:styleId="Footer">
    <w:name w:val="footer"/>
    <w:basedOn w:val="Normal"/>
    <w:next w:val="Normal"/>
    <w:uiPriority w:val="99"/>
    <w:pPr>
      <w:spacing w:before="0" w:after="0" w:line="240" w:lineRule="auto"/>
    </w:pPr>
    <w:rPr>
      <w:rFonts w:ascii="Inter" w:hAnsi="Inter" w:eastAsia="Inter" w:cs="Inter"/>
      <w:color w:val="4B5468"/>
      <w:sz w:val="17"/>
      <w:szCs w:val="17"/>
    </w:rPr>
  </w:style>
  <w:style w:type="paragraph" w:styleId="Headline">
    <w:name w:val="Headline"/>
    <w:basedOn w:val="Normal"/>
    <w:next w:val="Normal"/>
    <w:qFormat/>
    <w:pPr>
      <w:keepNext/>
      <w:spacing w:before="0" w:after="160" w:line="230" w:lineRule="auto"/>
    </w:pPr>
    <w:rPr>
      <w:rFonts w:ascii="Archivo Expanded ExtraBold" w:hAnsi="Archivo Expanded ExtraBold" w:eastAsia="Archivo Expanded ExtraBold" w:cs="Archivo Expanded ExtraBold"/>
      <w:b w:val="0"/>
      <w:bCs w:val="0"/>
      <w:color w:val="0F1218"/>
      <w:spacing w:val="-10"/>
      <w:sz w:val="52"/>
      <w:szCs w:val="52"/>
    </w:rPr>
  </w:style>
  <w:style w:type="paragraph" w:styleId="Deck">
    <w:name w:val="Deck"/>
    <w:basedOn w:val="Normal"/>
    <w:next w:val="Normal"/>
    <w:qFormat/>
    <w:pPr>
      <w:spacing w:before="0" w:after="280" w:line="312" w:lineRule="auto"/>
    </w:pPr>
    <w:rPr>
      <w:rFonts w:ascii="Inter" w:hAnsi="Inter" w:eastAsia="Inter" w:cs="Inter"/>
      <w:color w:val="4B5468"/>
      <w:sz w:val="25"/>
      <w:szCs w:val="25"/>
    </w:rPr>
  </w:style>
  <w:style w:type="paragraph" w:styleId="OnePagerText">
    <w:name w:val="Panel Text"/>
    <w:basedOn w:val="Normal"/>
    <w:next w:val="Normal"/>
    <w:qFormat/>
    <w:pPr>
      <w:spacing w:before="0" w:after="0" w:line="290" w:lineRule="auto"/>
    </w:pPr>
    <w:rPr>
      <w:rFonts w:ascii="Inter" w:hAnsi="Inter" w:eastAsia="Inter" w:cs="Inter"/>
      <w:color w:val="4B5468"/>
      <w:sz w:val="19"/>
      <w:szCs w:val="19"/>
    </w:rPr>
  </w:style>
  <w:style w:type="paragraph" w:styleId="CtaHead">
    <w:name w:val="Panel Heading"/>
    <w:basedOn w:val="Normal"/>
    <w:next w:val="Normal"/>
    <w:qFormat/>
    <w:pPr>
      <w:spacing w:before="0" w:after="60" w:line="250" w:lineRule="auto"/>
    </w:pPr>
    <w:rPr>
      <w:rFonts w:ascii="Archivo" w:hAnsi="Archivo" w:eastAsia="Archivo" w:cs="Archivo"/>
      <w:b/>
      <w:bCs/>
      <w:color w:val="0F1218"/>
      <w:spacing w:val="-3"/>
      <w:sz w:val="28"/>
      <w:szCs w:val="28"/>
    </w:rPr>
  </w:style>
  <w:style w:type="paragraph" w:styleId="Button">
    <w:name w:val="Button"/>
    <w:basedOn w:val="Normal"/>
    <w:next w:val="Normal"/>
    <w:qFormat/>
    <w:pPr>
      <w:spacing w:before="0" w:after="0" w:line="240" w:lineRule="auto"/>
      <w:jc w:val="center"/>
    </w:pPr>
    <w:rPr>
      <w:rFonts w:ascii="Inter SemiBold" w:hAnsi="Inter SemiBold" w:eastAsia="Inter SemiBold" w:cs="Inter SemiBold"/>
      <w:color w:val="FFFFFF"/>
      <w:sz w:val="20"/>
      <w:szCs w:val="20"/>
    </w:rPr>
  </w:style>
  <w:style w:type="character" w:customStyle="1" w:styleId="InlineCode">
    <w:name w:val="Inline Code"/>
    <w:basedOn w:val="DefaultParagraphFont"/>
    <w:qFormat/>
    <w:rPr>
      <w:rFonts w:ascii="JetBrains Mono" w:hAnsi="JetBrains Mono" w:eastAsia="JetBrains Mono" w:cs="JetBrains Mono"/>
      <w:color w:val="0F1218"/>
      <w:sz w:val="18"/>
      <w:szCs w:val="18"/>
    </w:rPr>
  </w:style>
  <w:style w:type="character" w:customStyle="1" w:styleId="BrandWord">
    <w:name w:val="Brand Word"/>
    <w:basedOn w:val="DefaultParagraphFont"/>
    <w:qFormat/>
    <w:rPr>
      <w:rFonts w:ascii="Inter SemiBold" w:hAnsi="Inter SemiBold" w:eastAsia="Inter SemiBold" w:cs="Inter SemiBold"/>
      <w:color w:val="4F46E5"/>
    </w:rPr>
  </w:style>
  <w:style w:type="character" w:customStyle="1" w:styleId="Hyperlink">
    <w:name w:val="Hyperlink"/>
    <w:basedOn w:val="DefaultParagraphFont"/>
    <w:uiPriority w:val="99"/>
    <w:qFormat/>
    <w:rPr>
      <w:color w:val="4F46E5"/>
      <w:u w:val="single"/>
    </w:rPr>
  </w:style>
  <w:style w:type="character" w:customStyle="1" w:styleId="Strong">
    <w:name w:val="Strong"/>
    <w:basedOn w:val="DefaultParagraphFont"/>
    <w:uiPriority w:val="22"/>
    <w:qFormat/>
    <w:rPr>
      <w:b/>
      <w:bCs/>
    </w:rPr>
  </w:style>
  <w:style w:type="table" w:customStyle="1" w:styleId="VoltTable">
    <w:name w:val="Volt Table"/>
    <w:basedOn w:val="TableNormal"/>
    <w:uiPriority w:val="59"/>
    <w:qFormat/>
    <w:pPr>
      <w:spacing w:before="0" w:after="0" w:line="264" w:lineRule="auto"/>
    </w:pPr>
    <w:rPr>
      <w:rFonts w:ascii="Inter" w:hAnsi="Inter" w:eastAsia="Inter" w:cs="Inter"/>
      <w:color w:val="4B5468"/>
      <w:sz w:val="18"/>
      <w:szCs w:val="18"/>
    </w:rPr>
    <w:tblPr>
      <w:tblBorders>
        <w:top w:val="single" w:sz="6" w:space="0" w:color="DFE4EE"/>
        <w:left w:val="nil"/>
        <w:bottom w:val="single" w:sz="6" w:space="0" w:color="DFE4EE"/>
        <w:right w:val="nil"/>
        <w:insideH w:val="single" w:sz="6" w:space="0" w:color="DFE4EE"/>
        <w:insideV w:val="nil"/>
      </w:tblBorders>
      <w:tblCellMar>
        <w:top w:w="85" w:type="dxa"/>
        <w:left w:w="113" w:type="dxa"/>
        <w:bottom w:w="85" w:type="dxa"/>
        <w:right w:w="113" w:type="dxa"/>
      </w:tblCellMar>
    </w:tblPr>
    <w:tblStylePr w:type="firstRow">
      <w:pPr>
        <w:keepNext/>
      </w:pPr>
      <w:rPr>
        <w:b/>
        <w:bCs/>
        <w:color w:val="0F1218"/>
      </w:rPr>
      <w:tblPr/>
      <w:trPr>
        <w:tblHeader/>
      </w:trPr>
      <w:tcPr>
        <w:shd w:val="clear" w:color="auto" w:fill="E4E9F2"/>
      </w:tcPr>
    </w:tblStyle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0cccb412b429fccda83775d699834f75ff44e6e5.png"/><Relationship Id="rId12" Type="http://schemas.openxmlformats.org/officeDocument/2006/relationships/image" Target="media/ffc6207ea6cd9d4d5b8e5096a3656d878757bc2b.png"/><Relationship Id="rId13" Type="http://schemas.openxmlformats.org/officeDocument/2006/relationships/image" Target="media/1f014b804a79ac7ddc374a36768e56ae2597549d.png"/><Relationship Id="rId14" Type="http://schemas.openxmlformats.org/officeDocument/2006/relationships/image" Target="media/07c2da5b6a0aed4e89cec6d52019be70e809253e.png"/><Relationship Id="rId15" Type="http://schemas.openxmlformats.org/officeDocument/2006/relationships/image" Target="media/93e0e231e0fd19312934077db63ae4aa9dde2b48.png"/><Relationship Id="rId16" Type="http://schemas.openxmlformats.org/officeDocument/2006/relationships/image" Target="media/3af924dd65a9ac5fdccbaa077b573fc6222da380.png"/><Relationship Id="rId17" Type="http://schemas.openxmlformats.org/officeDocument/2006/relationships/fontTable" Target="fontTable.xml"/><Relationship Id="rIdVoltTheme" Type="http://schemas.openxmlformats.org/officeDocument/2006/relationships/theme" Target="theme/theme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4c9203997154f9f21978630253330026eeba104.png"/></Relationships>
</file>

<file path=word/_rels/header2.xml.rels><?xml version="1.0" encoding="UTF-8"?><Relationships xmlns="http://schemas.openxmlformats.org/package/2006/relationships"/>
</file>

<file path=word/theme/theme1.xml><?xml version="1.0" encoding="utf-8"?>
<a:theme xmlns:a="http://schemas.openxmlformats.org/drawingml/2006/main" name="Volt Paper">
  <a:themeElements>
    <a:clrScheme name="Volt Paper">
      <a:dk1>
        <a:srgbClr val="0F1218"/>
      </a:dk1>
      <a:lt1>
        <a:srgbClr val="FFFFFF"/>
      </a:lt1>
      <a:dk2>
        <a:srgbClr val="4B5468"/>
      </a:dk2>
      <a:lt2>
        <a:srgbClr val="F6F8FC"/>
      </a:lt2>
      <a:accent1>
        <a:srgbClr val="5569F2"/>
      </a:accent1>
      <a:accent2>
        <a:srgbClr val="4F46E5"/>
      </a:accent2>
      <a:accent3>
        <a:srgbClr val="5B8CFF"/>
      </a:accent3>
      <a:accent4>
        <a:srgbClr val="626B80"/>
      </a:accent4>
      <a:accent5>
        <a:srgbClr val="C6CEDC"/>
      </a:accent5>
      <a:accent6>
        <a:srgbClr val="E4E9F2"/>
      </a:accent6>
      <a:hlink>
        <a:srgbClr val="4F46E5"/>
      </a:hlink>
      <a:folHlink>
        <a:srgbClr val="4B5468"/>
      </a:folHlink>
    </a:clrScheme>
    <a:fontScheme name="Volt">
      <a:majorFont>
        <a:latin typeface="Archivo"/>
        <a:ea typeface=""/>
        <a:cs typeface=""/>
      </a:majorFont>
      <a:minorFont>
        <a:latin typeface="Inter"/>
        <a:ea typeface=""/>
        <a:cs typeface=""/>
      </a:minorFont>
    </a:fontScheme>
    <a:fmtScheme name="Volt">
      <a:fillStyleLst>
        <a:solidFill>
          <a:schemeClr val="phClr"/>
        </a:solidFill>
        <a:solidFill>
          <a:schemeClr val="phClr"/>
        </a:solidFill>
        <a:solidFill>
          <a:schemeClr val="phClr"/>
        </a:solidFill>
      </a:fillStyleLst>
      <a:lnStyleLst>
        <a:ln w="9525">
          <a:solidFill>
            <a:schemeClr val="phClr"/>
          </a:solidFill>
        </a:ln>
        <a:ln w="12700">
          <a:solidFill>
            <a:schemeClr val="phClr"/>
          </a:solidFill>
        </a:ln>
        <a:ln w="19050">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Volt Streaming platform overview</dc:title>
  <dc:creator>Christian Budden</dc:creator>
  <dc:description>Sample document in the Volt Streaming Word template</dc:description>
  <cp:lastModifiedBy>Un-named</cp:lastModifiedBy>
  <cp:revision>1</cp:revision>
  <dcterms:created xsi:type="dcterms:W3CDTF">2026-10-18T16:25:07.240Z</dcterms:created>
  <dcterms:modified xsi:type="dcterms:W3CDTF">2026-10-18T16:25:07.240Z</dcterms:modified>
</cp:coreProperties>
</file>

<file path=docProps/custom.xml><?xml version="1.0" encoding="utf-8"?>
<Properties xmlns="http://schemas.openxmlformats.org/officeDocument/2006/custom-properties" xmlns:vt="http://schemas.openxmlformats.org/officeDocument/2006/docPropsVTypes"/>
</file>