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AI Manager Skills Platform</w:t>
      </w:r>
    </w:p>
    <w:p>
      <w:pPr>
        <w:jc w:val="center"/>
      </w:pPr>
      <w:r>
        <w:rPr>
          <w:color w:val="555555"/>
          <w:sz w:val="36"/>
        </w:rPr>
        <w:t>Commercial Viability Review</w:t>
      </w:r>
    </w:p>
    <w:p/>
    <w:p>
      <w:pPr>
        <w:jc w:val="center"/>
      </w:pPr>
      <w:r>
        <w:rPr>
          <w:b/>
          <w:color w:val="4488CC"/>
          <w:sz w:val="26"/>
        </w:rPr>
        <w:t>Revision 2 — Post-Hardening Update</w:t>
      </w:r>
    </w:p>
    <w:p/>
    <w:p>
      <w:pPr>
        <w:jc w:val="center"/>
      </w:pPr>
      <w:r>
        <w:rPr>
          <w:color w:val="777777"/>
          <w:sz w:val="24"/>
        </w:rPr>
        <w:t>February 16, 2026</w:t>
      </w:r>
    </w:p>
    <w:p/>
    <w:p/>
    <w:p>
      <w:pPr>
        <w:jc w:val="center"/>
      </w:pPr>
      <w:r>
        <w:rPr>
          <w:i/>
          <w:color w:val="777777"/>
          <w:sz w:val="22"/>
        </w:rPr>
        <w:t>Updated review reflecting platform-hardening changes: schema validation, accessibility improvements, onboarding, and expanded assessment criteria</w:t>
      </w:r>
    </w:p>
    <w:p>
      <w:r>
        <w:br w:type="page"/>
      </w:r>
    </w:p>
    <w:p>
      <w:pPr>
        <w:pStyle w:val="Heading1"/>
      </w:pPr>
      <w:r>
        <w:rPr>
          <w:color w:val="1A1A2E"/>
        </w:rPr>
        <w:t>What Changed Since the Initial Review</w:t>
      </w:r>
    </w:p>
    <w:p>
      <w:pPr>
        <w:spacing w:after="120"/>
      </w:pPr>
      <w:r>
        <w:rPr>
          <w:b w:val="0"/>
          <w:i w:val="0"/>
        </w:rPr>
        <w:t>The initial review (February 15, 2026) identified gaps across security, accessibility, onboarding, and assessment rigor. A platform-hardening sprint addressed several of these. This section documents what was fixed and what remains open.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Issue from v1 Review</w:t>
            </w:r>
          </w:p>
        </w:tc>
        <w:tc>
          <w:tcPr>
            <w:tcW w:type="dxa" w:w="3120"/>
          </w:tcPr>
          <w:p>
            <w:r>
              <w:rPr>
                <w:b/>
                <w:sz w:val="20"/>
              </w:rPr>
              <w:t>Status</w:t>
            </w:r>
          </w:p>
        </w:tc>
        <w:tc>
          <w:tcPr>
            <w:tcW w:type="dxa" w:w="3120"/>
          </w:tcPr>
          <w:p>
            <w:r>
              <w:rPr>
                <w:b/>
                <w:sz w:val="20"/>
              </w:rPr>
              <w:t>What Changed</w:t>
            </w:r>
          </w:p>
        </w:tc>
      </w:tr>
      <w:tr>
        <w:tc>
          <w:tcPr>
            <w:tcW w:type="dxa" w:w="3120"/>
          </w:tcPr>
          <w:p>
            <w:r>
              <w:rPr>
                <w:sz w:val="20"/>
              </w:rPr>
              <w:t>get_optional_user swallows all exceptions</w:t>
            </w:r>
          </w:p>
        </w:tc>
        <w:tc>
          <w:tcPr>
            <w:tcW w:type="dxa" w:w="3120"/>
          </w:tcPr>
          <w:p>
            <w:r>
              <w:rPr>
                <w:sz w:val="20"/>
              </w:rPr>
              <w:t>FIXED</w:t>
            </w:r>
          </w:p>
        </w:tc>
        <w:tc>
          <w:tcPr>
            <w:tcW w:type="dxa" w:w="3120"/>
          </w:tcPr>
          <w:p>
            <w:r>
              <w:rPr>
                <w:sz w:val="20"/>
              </w:rPr>
              <w:t>Now catches specific JWTError; logs unexpected errors with context</w:t>
            </w:r>
          </w:p>
        </w:tc>
      </w:tr>
      <w:tr>
        <w:tc>
          <w:tcPr>
            <w:tcW w:type="dxa" w:w="3120"/>
          </w:tcPr>
          <w:p>
            <w:r>
              <w:rPr>
                <w:sz w:val="20"/>
              </w:rPr>
              <w:t>No file size/type validation on uploads</w:t>
            </w:r>
          </w:p>
        </w:tc>
        <w:tc>
          <w:tcPr>
            <w:tcW w:type="dxa" w:w="3120"/>
          </w:tcPr>
          <w:p>
            <w:r>
              <w:rPr>
                <w:sz w:val="20"/>
              </w:rPr>
              <w:t>FIXED</w:t>
            </w:r>
          </w:p>
        </w:tc>
        <w:tc>
          <w:tcPr>
            <w:tcW w:type="dxa" w:w="3120"/>
          </w:tcPr>
          <w:p>
            <w:r>
              <w:rPr>
                <w:sz w:val="20"/>
              </w:rPr>
              <w:t>5 MB max file size enforced; only .json and .txt extensions allowed</w:t>
            </w:r>
          </w:p>
        </w:tc>
      </w:tr>
      <w:tr>
        <w:tc>
          <w:tcPr>
            <w:tcW w:type="dxa" w:w="3120"/>
          </w:tcPr>
          <w:p>
            <w:r>
              <w:rPr>
                <w:sz w:val="20"/>
              </w:rPr>
              <w:t>No focus trapping on mobile sidebar</w:t>
            </w:r>
          </w:p>
        </w:tc>
        <w:tc>
          <w:tcPr>
            <w:tcW w:type="dxa" w:w="3120"/>
          </w:tcPr>
          <w:p>
            <w:r>
              <w:rPr>
                <w:sz w:val="20"/>
              </w:rPr>
              <w:t>FIXED</w:t>
            </w:r>
          </w:p>
        </w:tc>
        <w:tc>
          <w:tcPr>
            <w:tcW w:type="dxa" w:w="3120"/>
          </w:tcPr>
          <w:p>
            <w:r>
              <w:rPr>
                <w:sz w:val="20"/>
              </w:rPr>
              <w:t>Full focus trap with Tab/Shift+Tab cycling, auto-focus on open, Escape to close</w:t>
            </w:r>
          </w:p>
        </w:tc>
      </w:tr>
      <w:tr>
        <w:tc>
          <w:tcPr>
            <w:tcW w:type="dxa" w:w="3120"/>
          </w:tcPr>
          <w:p>
            <w:r>
              <w:rPr>
                <w:sz w:val="20"/>
              </w:rPr>
              <w:t>No onboarding or guided path</w:t>
            </w:r>
          </w:p>
        </w:tc>
        <w:tc>
          <w:tcPr>
            <w:tcW w:type="dxa" w:w="3120"/>
          </w:tcPr>
          <w:p>
            <w:r>
              <w:rPr>
                <w:sz w:val="20"/>
              </w:rPr>
              <w:t>FIXED</w:t>
            </w:r>
          </w:p>
        </w:tc>
        <w:tc>
          <w:tcPr>
            <w:tcW w:type="dxa" w:w="3120"/>
          </w:tcPr>
          <w:p>
            <w:r>
              <w:rPr>
                <w:sz w:val="20"/>
              </w:rPr>
              <w:t>GettingStartedOverlay component added with 3-step walkthrough for new users</w:t>
            </w:r>
          </w:p>
        </w:tc>
      </w:tr>
      <w:tr>
        <w:tc>
          <w:tcPr>
            <w:tcW w:type="dxa" w:w="3120"/>
          </w:tcPr>
          <w:p>
            <w:r>
              <w:rPr>
                <w:sz w:val="20"/>
              </w:rPr>
              <w:t>No "what to do next" recommendations</w:t>
            </w:r>
          </w:p>
        </w:tc>
        <w:tc>
          <w:tcPr>
            <w:tcW w:type="dxa" w:w="3120"/>
          </w:tcPr>
          <w:p>
            <w:r>
              <w:rPr>
                <w:sz w:val="20"/>
              </w:rPr>
              <w:t>FIXED</w:t>
            </w:r>
          </w:p>
        </w:tc>
        <w:tc>
          <w:tcPr>
            <w:tcW w:type="dxa" w:w="3120"/>
          </w:tcPr>
          <w:p>
            <w:r>
              <w:rPr>
                <w:sz w:val="20"/>
              </w:rPr>
              <w:t>useRecommendedLesson hook suggests next incomplete lesson based on optimal learning order</w:t>
            </w:r>
          </w:p>
        </w:tc>
      </w:tr>
      <w:tr>
        <w:tc>
          <w:tcPr>
            <w:tcW w:type="dxa" w:w="3120"/>
          </w:tcPr>
          <w:p>
            <w:r>
              <w:rPr>
                <w:sz w:val="20"/>
              </w:rPr>
              <w:t>No lang attribute on HTML</w:t>
            </w:r>
          </w:p>
        </w:tc>
        <w:tc>
          <w:tcPr>
            <w:tcW w:type="dxa" w:w="3120"/>
          </w:tcPr>
          <w:p>
            <w:r>
              <w:rPr>
                <w:sz w:val="20"/>
              </w:rPr>
              <w:t>FIXED</w:t>
            </w:r>
          </w:p>
        </w:tc>
        <w:tc>
          <w:tcPr>
            <w:tcW w:type="dxa" w:w="3120"/>
          </w:tcPr>
          <w:p>
            <w:r>
              <w:rPr>
                <w:sz w:val="20"/>
              </w:rPr>
              <w:t>lang="en" present on &lt;html&gt; element</w:t>
            </w:r>
          </w:p>
        </w:tc>
      </w:tr>
      <w:tr>
        <w:tc>
          <w:tcPr>
            <w:tcW w:type="dxa" w:w="3120"/>
          </w:tcPr>
          <w:p>
            <w:r>
              <w:rPr>
                <w:sz w:val="20"/>
              </w:rPr>
              <w:t>Schema inputs lack validation</w:t>
            </w:r>
          </w:p>
        </w:tc>
        <w:tc>
          <w:tcPr>
            <w:tcW w:type="dxa" w:w="3120"/>
          </w:tcPr>
          <w:p>
            <w:r>
              <w:rPr>
                <w:sz w:val="20"/>
              </w:rPr>
              <w:t>FIXED</w:t>
            </w:r>
          </w:p>
        </w:tc>
        <w:tc>
          <w:tcPr>
            <w:tcW w:type="dxa" w:w="3120"/>
          </w:tcPr>
          <w:p>
            <w:r>
              <w:rPr>
                <w:sz w:val="20"/>
              </w:rPr>
              <w:t>Field(max_length) validators added across all lesson schemas (9 schema files)</w:t>
            </w:r>
          </w:p>
        </w:tc>
      </w:tr>
      <w:tr>
        <w:tc>
          <w:tcPr>
            <w:tcW w:type="dxa" w:w="3120"/>
          </w:tcPr>
          <w:p>
            <w:r>
              <w:rPr>
                <w:sz w:val="20"/>
              </w:rPr>
              <w:t>Assessment criteria too few per lesson</w:t>
            </w:r>
          </w:p>
        </w:tc>
        <w:tc>
          <w:tcPr>
            <w:tcW w:type="dxa" w:w="3120"/>
          </w:tcPr>
          <w:p>
            <w:r>
              <w:rPr>
                <w:sz w:val="20"/>
              </w:rPr>
              <w:t>IMPROVED</w:t>
            </w:r>
          </w:p>
        </w:tc>
        <w:tc>
          <w:tcPr>
            <w:tcW w:type="dxa" w:w="3120"/>
          </w:tcPr>
          <w:p>
            <w:r>
              <w:rPr>
                <w:sz w:val="20"/>
              </w:rPr>
              <w:t>Expanded from 3 to 4 criteria per lesson; stricter completion checks in backend</w:t>
            </w:r>
          </w:p>
        </w:tc>
      </w:tr>
      <w:tr>
        <w:tc>
          <w:tcPr>
            <w:tcW w:type="dxa" w:w="3120"/>
          </w:tcPr>
          <w:p>
            <w:r>
              <w:rPr>
                <w:sz w:val="20"/>
              </w:rPr>
              <w:t>Tokens in localStorage (XSS vulnerable)</w:t>
            </w:r>
          </w:p>
        </w:tc>
        <w:tc>
          <w:tcPr>
            <w:tcW w:type="dxa" w:w="3120"/>
          </w:tcPr>
          <w:p>
            <w:r>
              <w:rPr>
                <w:sz w:val="20"/>
              </w:rPr>
              <w:t>OPEN</w:t>
            </w:r>
          </w:p>
        </w:tc>
        <w:tc>
          <w:tcPr>
            <w:tcW w:type="dxa" w:w="3120"/>
          </w:tcPr>
          <w:p>
            <w:r>
              <w:rPr>
                <w:sz w:val="20"/>
              </w:rPr>
              <w:t>Still uses localStorage for JWT tokens</w:t>
            </w:r>
          </w:p>
        </w:tc>
      </w:tr>
      <w:tr>
        <w:tc>
          <w:tcPr>
            <w:tcW w:type="dxa" w:w="3120"/>
          </w:tcPr>
          <w:p>
            <w:r>
              <w:rPr>
                <w:sz w:val="20"/>
              </w:rPr>
              <w:t>No SSO/SAML integration</w:t>
            </w:r>
          </w:p>
        </w:tc>
        <w:tc>
          <w:tcPr>
            <w:tcW w:type="dxa" w:w="3120"/>
          </w:tcPr>
          <w:p>
            <w:r>
              <w:rPr>
                <w:sz w:val="20"/>
              </w:rPr>
              <w:t>OPEN</w:t>
            </w:r>
          </w:p>
        </w:tc>
        <w:tc>
          <w:tcPr>
            <w:tcW w:type="dxa" w:w="3120"/>
          </w:tcPr>
          <w:p>
            <w:r>
              <w:rPr>
                <w:sz w:val="20"/>
              </w:rPr>
              <w:t>JWT-only authentication remains</w:t>
            </w:r>
          </w:p>
        </w:tc>
      </w:tr>
      <w:tr>
        <w:tc>
          <w:tcPr>
            <w:tcW w:type="dxa" w:w="3120"/>
          </w:tcPr>
          <w:p>
            <w:r>
              <w:rPr>
                <w:sz w:val="20"/>
              </w:rPr>
              <w:t>No password reset flow</w:t>
            </w:r>
          </w:p>
        </w:tc>
        <w:tc>
          <w:tcPr>
            <w:tcW w:type="dxa" w:w="3120"/>
          </w:tcPr>
          <w:p>
            <w:r>
              <w:rPr>
                <w:sz w:val="20"/>
              </w:rPr>
              <w:t>OPEN</w:t>
            </w:r>
          </w:p>
        </w:tc>
        <w:tc>
          <w:tcPr>
            <w:tcW w:type="dxa" w:w="3120"/>
          </w:tcPr>
          <w:p>
            <w:r>
              <w:rPr>
                <w:sz w:val="20"/>
              </w:rPr>
              <w:t>Only authenticated change-password exists</w:t>
            </w:r>
          </w:p>
        </w:tc>
      </w:tr>
      <w:tr>
        <w:tc>
          <w:tcPr>
            <w:tcW w:type="dxa" w:w="3120"/>
          </w:tcPr>
          <w:p>
            <w:r>
              <w:rPr>
                <w:sz w:val="20"/>
              </w:rPr>
              <w:t>14 window.confirm() dialogs</w:t>
            </w:r>
          </w:p>
        </w:tc>
        <w:tc>
          <w:tcPr>
            <w:tcW w:type="dxa" w:w="3120"/>
          </w:tcPr>
          <w:p>
            <w:r>
              <w:rPr>
                <w:sz w:val="20"/>
              </w:rPr>
              <w:t>OPEN</w:t>
            </w:r>
          </w:p>
        </w:tc>
        <w:tc>
          <w:tcPr>
            <w:tcW w:type="dxa" w:w="3120"/>
          </w:tcPr>
          <w:p>
            <w:r>
              <w:rPr>
                <w:sz w:val="20"/>
              </w:rPr>
              <w:t>ConfirmDialog component exists but only used in admin; lessons still use confirm()</w:t>
            </w:r>
          </w:p>
        </w:tc>
      </w:tr>
      <w:tr>
        <w:tc>
          <w:tcPr>
            <w:tcW w:type="dxa" w:w="3120"/>
          </w:tcPr>
          <w:p>
            <w:r>
              <w:rPr>
                <w:sz w:val="20"/>
              </w:rPr>
              <w:t>No payment/subscription system</w:t>
            </w:r>
          </w:p>
        </w:tc>
        <w:tc>
          <w:tcPr>
            <w:tcW w:type="dxa" w:w="3120"/>
          </w:tcPr>
          <w:p>
            <w:r>
              <w:rPr>
                <w:sz w:val="20"/>
              </w:rPr>
              <w:t>OPEN</w:t>
            </w:r>
          </w:p>
        </w:tc>
        <w:tc>
          <w:tcPr>
            <w:tcW w:type="dxa" w:w="3120"/>
          </w:tcPr>
          <w:p>
            <w:r>
              <w:rPr>
                <w:sz w:val="20"/>
              </w:rPr>
              <w:t>Zero monetization infrastructure</w:t>
            </w:r>
          </w:p>
        </w:tc>
      </w:tr>
      <w:tr>
        <w:tc>
          <w:tcPr>
            <w:tcW w:type="dxa" w:w="3120"/>
          </w:tcPr>
          <w:p>
            <w:r>
              <w:rPr>
                <w:sz w:val="20"/>
              </w:rPr>
              <w:t>No certification at completion</w:t>
            </w:r>
          </w:p>
        </w:tc>
        <w:tc>
          <w:tcPr>
            <w:tcW w:type="dxa" w:w="3120"/>
          </w:tcPr>
          <w:p>
            <w:r>
              <w:rPr>
                <w:sz w:val="20"/>
              </w:rPr>
              <w:t>OPEN</w:t>
            </w:r>
          </w:p>
        </w:tc>
        <w:tc>
          <w:tcPr>
            <w:tcW w:type="dxa" w:w="3120"/>
          </w:tcPr>
          <w:p>
            <w:r>
              <w:rPr>
                <w:sz w:val="20"/>
              </w:rPr>
              <w:t>No certificate generation or competency proof</w:t>
            </w:r>
          </w:p>
        </w:tc>
      </w:tr>
      <w:tr>
        <w:tc>
          <w:tcPr>
            <w:tcW w:type="dxa" w:w="3120"/>
          </w:tcPr>
          <w:p>
            <w:r>
              <w:rPr>
                <w:sz w:val="20"/>
              </w:rPr>
              <w:t>High-contrast theme not enabled</w:t>
            </w:r>
          </w:p>
        </w:tc>
        <w:tc>
          <w:tcPr>
            <w:tcW w:type="dxa" w:w="3120"/>
          </w:tcPr>
          <w:p>
            <w:r>
              <w:rPr>
                <w:sz w:val="20"/>
              </w:rPr>
              <w:t>OPEN</w:t>
            </w:r>
          </w:p>
        </w:tc>
        <w:tc>
          <w:tcPr>
            <w:tcW w:type="dxa" w:w="3120"/>
          </w:tcPr>
          <w:p>
            <w:r>
              <w:rPr>
                <w:sz w:val="20"/>
              </w:rPr>
              <w:t>CSS defined but no UI toggle to activate it</w:t>
            </w:r>
          </w:p>
        </w:tc>
      </w:tr>
    </w:tbl>
    <w:p/>
    <w:p>
      <w:r>
        <w:br w:type="page"/>
      </w:r>
    </w:p>
    <w:p>
      <w:pPr>
        <w:pStyle w:val="Heading1"/>
      </w:pPr>
      <w:r>
        <w:rPr>
          <w:color w:val="1A1A2E"/>
        </w:rPr>
        <w:t>Executive Summary</w:t>
      </w:r>
    </w:p>
    <w:p>
      <w:pPr>
        <w:spacing w:after="160"/>
      </w:pPr>
      <w:r>
        <w:rPr>
          <w:b w:val="0"/>
          <w:i w:val="0"/>
        </w:rPr>
        <w:t xml:space="preserve">Could this be sold as an educational tool? </w:t>
      </w:r>
      <w:r>
        <w:rPr>
          <w:b/>
          <w:i w:val="0"/>
        </w:rPr>
        <w:t>Yes — and it is closer now than it was a week ago.</w:t>
      </w:r>
    </w:p>
    <w:p>
      <w:pPr>
        <w:spacing w:after="120"/>
      </w:pPr>
      <w:r>
        <w:rPr>
          <w:b w:val="0"/>
          <w:i w:val="0"/>
        </w:rPr>
        <w:t>The core strengths identified in the initial review remain: the six managerial concepts are well-defined and teachable, the interactive tools provide genuine hands-on practice, and the tech stack is production-quality. The platform-hardening sprint closed several security and UX gaps, most notably input validation across all schemas, accessibility improvements on the mobile sidebar, and a proper onboarding flow for new users.</w:t>
      </w:r>
    </w:p>
    <w:p>
      <w:pPr>
        <w:spacing w:after="120"/>
      </w:pPr>
      <w:r>
        <w:rPr>
          <w:b w:val="0"/>
          <w:i w:val="0"/>
        </w:rPr>
        <w:t>The remaining gaps are concentrated in the business layer: no payment system, no certification, no SSO, and assessment thresholds that remain trivially low despite being expanded. The path to Tier 1 (self-serve individual product) is now shorter — estimated at 2–3 weeks rather than the original 2–4 weeks.</w:t>
      </w:r>
    </w:p>
    <w:p>
      <w:r>
        <w:br w:type="page"/>
      </w:r>
    </w:p>
    <w:p>
      <w:pPr>
        <w:pStyle w:val="Heading1"/>
      </w:pPr>
      <w:r>
        <w:rPr>
          <w:color w:val="1A1A2E"/>
        </w:rPr>
        <w:t>What's Genuinely Good</w:t>
      </w:r>
    </w:p>
    <w:p>
      <w:pPr>
        <w:pStyle w:val="Heading2"/>
      </w:pPr>
      <w:r>
        <w:rPr>
          <w:color w:val="1A1A2E"/>
        </w:rPr>
        <w:t>The Curriculum Is the Real Asset</w:t>
      </w:r>
    </w:p>
    <w:p>
      <w:pPr>
        <w:spacing w:after="120"/>
      </w:pPr>
      <w:r>
        <w:rPr>
          <w:b w:val="0"/>
          <w:i w:val="0"/>
        </w:rPr>
        <w:t>The six managerial concepts (Context Assembly, Quality Judgment, Task Decomposition, Iterative Refinement, Workflow Integration, Frontier Recognition) are well-defined, teachable, and address real pain points. A corporate training buyer would find these credible — they are not buzzwords.</w:t>
      </w:r>
    </w:p>
    <w:p>
      <w:pPr>
        <w:spacing w:after="120"/>
      </w:pPr>
      <w:r>
        <w:rPr>
          <w:b w:val="0"/>
          <w:i w:val="0"/>
        </w:rPr>
        <w:t>Every lesson follows a tight learn-practice-track cycle. Users build actual deliverables (templates, trust matrices, checklists, delegation plans, reference cards), not just answer quizzes. The Learn tabs use concrete workplace scenarios across marketing, HR, finance, IT, and operations — not just tech examples.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Module</w:t>
            </w:r>
          </w:p>
        </w:tc>
        <w:tc>
          <w:tcPr>
            <w:tcW w:type="dxa" w:w="3120"/>
          </w:tcPr>
          <w:p>
            <w:r>
              <w:rPr>
                <w:b/>
                <w:sz w:val="20"/>
              </w:rPr>
              <w:t>Lessons</w:t>
            </w:r>
          </w:p>
        </w:tc>
        <w:tc>
          <w:tcPr>
            <w:tcW w:type="dxa" w:w="3120"/>
          </w:tcPr>
          <w:p>
            <w:r>
              <w:rPr>
                <w:b/>
                <w:sz w:val="20"/>
              </w:rPr>
              <w:t>Primary Concepts</w:t>
            </w:r>
          </w:p>
        </w:tc>
      </w:tr>
      <w:tr>
        <w:tc>
          <w:tcPr>
            <w:tcW w:type="dxa" w:w="3120"/>
          </w:tcPr>
          <w:p>
            <w:r>
              <w:rPr>
                <w:sz w:val="20"/>
              </w:rPr>
              <w:t>Foundation</w:t>
            </w:r>
          </w:p>
        </w:tc>
        <w:tc>
          <w:tcPr>
            <w:tcW w:type="dxa" w:w="3120"/>
          </w:tcPr>
          <w:p>
            <w:r>
              <w:rPr>
                <w:sz w:val="20"/>
              </w:rPr>
              <w:t>1–3</w:t>
            </w:r>
          </w:p>
        </w:tc>
        <w:tc>
          <w:tcPr>
            <w:tcW w:type="dxa" w:w="3120"/>
          </w:tcPr>
          <w:p>
            <w:r>
              <w:rPr>
                <w:sz w:val="20"/>
              </w:rPr>
              <w:t>Context Assembly</w:t>
            </w:r>
          </w:p>
        </w:tc>
      </w:tr>
      <w:tr>
        <w:tc>
          <w:tcPr>
            <w:tcW w:type="dxa" w:w="3120"/>
          </w:tcPr>
          <w:p>
            <w:r>
              <w:rPr>
                <w:sz w:val="20"/>
              </w:rPr>
              <w:t>Documentation &amp; Trust</w:t>
            </w:r>
          </w:p>
        </w:tc>
        <w:tc>
          <w:tcPr>
            <w:tcW w:type="dxa" w:w="3120"/>
          </w:tcPr>
          <w:p>
            <w:r>
              <w:rPr>
                <w:sz w:val="20"/>
              </w:rPr>
              <w:t>4–6</w:t>
            </w:r>
          </w:p>
        </w:tc>
        <w:tc>
          <w:tcPr>
            <w:tcW w:type="dxa" w:w="3120"/>
          </w:tcPr>
          <w:p>
            <w:r>
              <w:rPr>
                <w:sz w:val="20"/>
              </w:rPr>
              <w:t>Context Assembly, Quality Judgment</w:t>
            </w:r>
          </w:p>
        </w:tc>
      </w:tr>
      <w:tr>
        <w:tc>
          <w:tcPr>
            <w:tcW w:type="dxa" w:w="3120"/>
          </w:tcPr>
          <w:p>
            <w:r>
              <w:rPr>
                <w:sz w:val="20"/>
              </w:rPr>
              <w:t>Workflow</w:t>
            </w:r>
          </w:p>
        </w:tc>
        <w:tc>
          <w:tcPr>
            <w:tcW w:type="dxa" w:w="3120"/>
          </w:tcPr>
          <w:p>
            <w:r>
              <w:rPr>
                <w:sz w:val="20"/>
              </w:rPr>
              <w:t>7–10</w:t>
            </w:r>
          </w:p>
        </w:tc>
        <w:tc>
          <w:tcPr>
            <w:tcW w:type="dxa" w:w="3120"/>
          </w:tcPr>
          <w:p>
            <w:r>
              <w:rPr>
                <w:sz w:val="20"/>
              </w:rPr>
              <w:t>Task Decomposition, Iterative Refinement, Workflow Integration</w:t>
            </w:r>
          </w:p>
        </w:tc>
      </w:tr>
      <w:tr>
        <w:tc>
          <w:tcPr>
            <w:tcW w:type="dxa" w:w="3120"/>
          </w:tcPr>
          <w:p>
            <w:r>
              <w:rPr>
                <w:sz w:val="20"/>
              </w:rPr>
              <w:t>Advanced</w:t>
            </w:r>
          </w:p>
        </w:tc>
        <w:tc>
          <w:tcPr>
            <w:tcW w:type="dxa" w:w="3120"/>
          </w:tcPr>
          <w:p>
            <w:r>
              <w:rPr>
                <w:sz w:val="20"/>
              </w:rPr>
              <w:t>11–12</w:t>
            </w:r>
          </w:p>
        </w:tc>
        <w:tc>
          <w:tcPr>
            <w:tcW w:type="dxa" w:w="3120"/>
          </w:tcPr>
          <w:p>
            <w:r>
              <w:rPr>
                <w:sz w:val="20"/>
              </w:rPr>
              <w:t>Frontier Recognition, Integration</w:t>
            </w:r>
          </w:p>
        </w:tc>
      </w:tr>
    </w:tbl>
    <w:p/>
    <w:p>
      <w:pPr>
        <w:pStyle w:val="Heading2"/>
      </w:pPr>
      <w:r>
        <w:rPr>
          <w:color w:val="1A1A2E"/>
        </w:rPr>
        <w:t>Pedagogical Design Is Solid</w:t>
      </w:r>
    </w:p>
    <w:p>
      <w:pPr>
        <w:pStyle w:val="ListBullet"/>
        <w:spacing w:after="60"/>
      </w:pPr>
      <w:r>
        <w:rPr>
          <w:b/>
        </w:rPr>
        <w:t xml:space="preserve">Immediate relevance — </w:t>
      </w:r>
      <w:r>
        <w:t xml:space="preserve">Problem/Skill framing: </w:t>
      </w:r>
    </w:p>
    <w:p>
      <w:pPr>
        <w:spacing w:after="120"/>
      </w:pPr>
      <w:r>
        <w:rPr>
          <w:b w:val="0"/>
          <w:i w:val="0"/>
        </w:rPr>
        <w:t>Each lesson opens with "The Problem" and "The Skill," immediately answering "why should I care?" before diving into content.</w:t>
      </w:r>
    </w:p>
    <w:p>
      <w:pPr>
        <w:pStyle w:val="ListBullet"/>
        <w:spacing w:after="60"/>
      </w:pPr>
      <w:r>
        <w:rPr>
          <w:b/>
        </w:rPr>
        <w:t xml:space="preserve">Measures doing, not knowing — </w:t>
      </w:r>
      <w:r>
        <w:t xml:space="preserve">Behavioral assessment: </w:t>
      </w:r>
    </w:p>
    <w:p>
      <w:pPr>
        <w:spacing w:after="120"/>
      </w:pPr>
      <w:r>
        <w:rPr>
          <w:b w:val="0"/>
          <w:i w:val="0"/>
        </w:rPr>
        <w:t>Self-assessment criteria are behavioral ("analyzed at least 1 conversation," "identified at least 1 context pattern") rather than knowledge-based. Now expanded to 4 criteria per lesson with stricter completion logic.</w:t>
      </w:r>
    </w:p>
    <w:p>
      <w:pPr>
        <w:pStyle w:val="ListBullet"/>
        <w:spacing w:after="60"/>
      </w:pPr>
      <w:r>
        <w:rPr>
          <w:b/>
        </w:rPr>
        <w:t xml:space="preserve">Lessons reference each other — </w:t>
      </w:r>
      <w:r>
        <w:t xml:space="preserve">Cross-lesson integration: </w:t>
      </w:r>
    </w:p>
    <w:p>
      <w:pPr>
        <w:spacing w:after="120"/>
      </w:pPr>
      <w:r>
        <w:rPr>
          <w:b w:val="0"/>
          <w:i w:val="0"/>
        </w:rPr>
        <w:t>Lesson 3 pulls data from Lesson 1. Lesson 8 imports from Lesson 7. Lesson 12 aggregates all lessons. ConnectionCallout components create a narrative thread without forcing sequential unlocking.</w:t>
      </w:r>
    </w:p>
    <w:p>
      <w:pPr>
        <w:pStyle w:val="ListBullet"/>
        <w:spacing w:after="60"/>
      </w:pPr>
      <w:r>
        <w:rPr>
          <w:b/>
        </w:rPr>
        <w:t xml:space="preserve">Show, don't tell — </w:t>
      </w:r>
      <w:r>
        <w:t xml:space="preserve">Before/after comparisons: </w:t>
      </w:r>
    </w:p>
    <w:p>
      <w:pPr>
        <w:spacing w:after="120"/>
      </w:pPr>
      <w:r>
        <w:rPr>
          <w:b w:val="0"/>
          <w:i w:val="0"/>
        </w:rPr>
        <w:t>Every lesson includes side-by-side examples of vague vs. specific approaches. The differences are visceral and memorable.</w:t>
      </w:r>
    </w:p>
    <w:p>
      <w:pPr>
        <w:pStyle w:val="Heading2"/>
      </w:pPr>
      <w:r>
        <w:rPr>
          <w:color w:val="1A1A2E"/>
        </w:rPr>
        <w:t>Technology Stack Is Production-Quality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Notes</w:t>
            </w:r>
          </w:p>
        </w:tc>
      </w:tr>
      <w:tr>
        <w:tc>
          <w:tcPr>
            <w:tcW w:type="dxa" w:w="3120"/>
          </w:tcPr>
          <w:p>
            <w:r>
              <w:rPr>
                <w:sz w:val="20"/>
              </w:rPr>
              <w:t>Backend</w:t>
            </w:r>
          </w:p>
        </w:tc>
        <w:tc>
          <w:tcPr>
            <w:tcW w:type="dxa" w:w="3120"/>
          </w:tcPr>
          <w:p>
            <w:r>
              <w:rPr>
                <w:sz w:val="20"/>
              </w:rPr>
              <w:t>FastAPI (Python, async)</w:t>
            </w:r>
          </w:p>
        </w:tc>
        <w:tc>
          <w:tcPr>
            <w:tcW w:type="dxa" w:w="3120"/>
          </w:tcPr>
          <w:p>
            <w:r>
              <w:rPr>
                <w:sz w:val="20"/>
              </w:rPr>
              <w:t>JWT auth, rate limiting, circuit breaker, schema validation</w:t>
            </w:r>
          </w:p>
        </w:tc>
      </w:tr>
      <w:tr>
        <w:tc>
          <w:tcPr>
            <w:tcW w:type="dxa" w:w="3120"/>
          </w:tcPr>
          <w:p>
            <w:r>
              <w:rPr>
                <w:sz w:val="20"/>
              </w:rPr>
              <w:t>AI Integration</w:t>
            </w:r>
          </w:p>
        </w:tc>
        <w:tc>
          <w:tcPr>
            <w:tcW w:type="dxa" w:w="3120"/>
          </w:tcPr>
          <w:p>
            <w:r>
              <w:rPr>
                <w:sz w:val="20"/>
              </w:rPr>
              <w:t>Claude API (Anthropic)</w:t>
            </w:r>
          </w:p>
        </w:tc>
        <w:tc>
          <w:tcPr>
            <w:tcW w:type="dxa" w:w="3120"/>
          </w:tcPr>
          <w:p>
            <w:r>
              <w:rPr>
                <w:sz w:val="20"/>
              </w:rPr>
              <w:t>Real LLM calls with retry logic and graceful degradation</w:t>
            </w:r>
          </w:p>
        </w:tc>
      </w:tr>
      <w:tr>
        <w:tc>
          <w:tcPr>
            <w:tcW w:type="dxa" w:w="3120"/>
          </w:tcPr>
          <w:p>
            <w:r>
              <w:rPr>
                <w:sz w:val="20"/>
              </w:rPr>
              <w:t>Database</w:t>
            </w:r>
          </w:p>
        </w:tc>
        <w:tc>
          <w:tcPr>
            <w:tcW w:type="dxa" w:w="3120"/>
          </w:tcPr>
          <w:p>
            <w:r>
              <w:rPr>
                <w:sz w:val="20"/>
              </w:rPr>
              <w:t>PostgreSQL + SQLAlchemy 2.0</w:t>
            </w:r>
          </w:p>
        </w:tc>
        <w:tc>
          <w:tcPr>
            <w:tcW w:type="dxa" w:w="3120"/>
          </w:tcPr>
          <w:p>
            <w:r>
              <w:rPr>
                <w:sz w:val="20"/>
              </w:rPr>
              <w:t>29 models, UUID primary keys, per-user data isolation, cascade deletes</w:t>
            </w:r>
          </w:p>
        </w:tc>
      </w:tr>
      <w:tr>
        <w:tc>
          <w:tcPr>
            <w:tcW w:type="dxa" w:w="3120"/>
          </w:tcPr>
          <w:p>
            <w:r>
              <w:rPr>
                <w:sz w:val="20"/>
              </w:rPr>
              <w:t>Frontend</w:t>
            </w:r>
          </w:p>
        </w:tc>
        <w:tc>
          <w:tcPr>
            <w:tcW w:type="dxa" w:w="3120"/>
          </w:tcPr>
          <w:p>
            <w:r>
              <w:rPr>
                <w:sz w:val="20"/>
              </w:rPr>
              <w:t>React 18 + Vite</w:t>
            </w:r>
          </w:p>
        </w:tc>
        <w:tc>
          <w:tcPr>
            <w:tcW w:type="dxa" w:w="3120"/>
          </w:tcPr>
          <w:p>
            <w:r>
              <w:rPr>
                <w:sz w:val="20"/>
              </w:rPr>
              <w:t>Custom CSS (4,188 lines), dark/light themes, responsive, a11y improvements</w:t>
            </w:r>
          </w:p>
        </w:tc>
      </w:tr>
      <w:tr>
        <w:tc>
          <w:tcPr>
            <w:tcW w:type="dxa" w:w="3120"/>
          </w:tcPr>
          <w:p>
            <w:r>
              <w:rPr>
                <w:sz w:val="20"/>
              </w:rPr>
              <w:t>Deployment</w:t>
            </w:r>
          </w:p>
        </w:tc>
        <w:tc>
          <w:tcPr>
            <w:tcW w:type="dxa" w:w="3120"/>
          </w:tcPr>
          <w:p>
            <w:r>
              <w:rPr>
                <w:sz w:val="20"/>
              </w:rPr>
              <w:t>Docker Compose</w:t>
            </w:r>
          </w:p>
        </w:tc>
        <w:tc>
          <w:tcPr>
            <w:tcW w:type="dxa" w:w="3120"/>
          </w:tcPr>
          <w:p>
            <w:r>
              <w:rPr>
                <w:sz w:val="20"/>
              </w:rPr>
              <w:t>Frontend (nginx), backend, postgres, admin panel</w:t>
            </w:r>
          </w:p>
        </w:tc>
      </w:tr>
    </w:tbl>
    <w:p/>
    <w:p>
      <w:pPr>
        <w:spacing w:after="120"/>
      </w:pPr>
      <w:r>
        <w:rPr>
          <w:b w:val="0"/>
          <w:i w:val="0"/>
        </w:rPr>
        <w:t>The AI integration includes a circuit breaker pattern (opens after 5 failures, half-open after 30s cooldown), exponential backoff retries (1s, 2s, 4s), and structured error handling. All Pydantic schemas now enforce max_length constraints on string fields.</w:t>
      </w:r>
    </w:p>
    <w:p>
      <w:pPr>
        <w:pStyle w:val="Heading2"/>
      </w:pPr>
      <w:r>
        <w:rPr>
          <w:color w:val="1A1A2E"/>
        </w:rPr>
        <w:t>New: Onboarding and Guided Path</w:t>
      </w:r>
    </w:p>
    <w:p>
      <w:pPr>
        <w:spacing w:after="120"/>
      </w:pPr>
      <w:r>
        <w:rPr>
          <w:b w:val="0"/>
          <w:i w:val="0"/>
        </w:rPr>
        <w:t>A GettingStartedOverlay now greets first-time users with a 3-step introduction: "Pick a Lesson," "Practice the Skill," and "Complete the Checklist." After dismissal, a recommended-lesson banner on the Dashboard suggests the next incomplete lesson based on an optimal learning order (1, 3, 5, 7, 2, 4, 6, 8, 9, 10, 11, 12). Both features use localStorage to persist state.</w:t>
      </w:r>
    </w:p>
    <w:p>
      <w:r>
        <w:br w:type="page"/>
      </w:r>
    </w:p>
    <w:p>
      <w:pPr>
        <w:pStyle w:val="Heading1"/>
      </w:pPr>
      <w:r>
        <w:rPr>
          <w:color w:val="1A1A2E"/>
        </w:rPr>
        <w:t>What's Still Missing for a Sellable Product</w:t>
      </w:r>
    </w:p>
    <w:p>
      <w:pPr>
        <w:pStyle w:val="Heading2"/>
      </w:pPr>
      <w:r>
        <w:rPr>
          <w:color w:val="1A1A2E"/>
        </w:rPr>
        <w:t>1. Assessment Rigor Remains Too Low</w:t>
      </w:r>
    </w:p>
    <w:p>
      <w:pPr>
        <w:spacing w:after="120"/>
      </w:pPr>
      <w:r>
        <w:rPr>
          <w:b w:val="0"/>
          <w:i w:val="0"/>
        </w:rPr>
        <w:t>Assessment was expanded from 3 to 4 criteria per lesson, and the backend now enforces stricter completion logic (e.g., Lesson 1 requires edited notes, Lesson 2 requires entries spanning 3+ categories). However, the fundamental issue remains: criteria are existence-based, not quality-based. Creating 1 template of any quality passes Lesson 3.</w:t>
      </w:r>
    </w:p>
    <w:p>
      <w:pPr>
        <w:pStyle w:val="ListBullet"/>
        <w:spacing w:after="60"/>
      </w:pPr>
      <w:r>
        <w:t>4 criteria per lesson, 48 total — but all are binary (did/didn't)</w:t>
      </w:r>
    </w:p>
    <w:p>
      <w:pPr>
        <w:pStyle w:val="ListBullet"/>
        <w:spacing w:after="60"/>
      </w:pPr>
      <w:r>
        <w:t>Only Lesson 2 (Feedback Analyzer) applies quality scoring to user work</w:t>
      </w:r>
    </w:p>
    <w:p>
      <w:pPr>
        <w:pStyle w:val="ListBullet"/>
        <w:spacing w:after="60"/>
      </w:pPr>
      <w:r>
        <w:t>No rubric, no peer review, no minimum depth checks</w:t>
      </w:r>
    </w:p>
    <w:p>
      <w:pPr>
        <w:pStyle w:val="ListBullet"/>
        <w:spacing w:after="60"/>
      </w:pPr>
      <w:r>
        <w:t>No final integrated competency assessment</w:t>
      </w:r>
    </w:p>
    <w:p>
      <w:pPr>
        <w:pStyle w:val="ListBullet"/>
        <w:spacing w:after="60"/>
      </w:pPr>
      <w:r>
        <w:t>A corporate buyer paying per-seat still cannot measure learning outcomes</w:t>
      </w:r>
    </w:p>
    <w:p>
      <w:pPr>
        <w:pStyle w:val="Heading2"/>
      </w:pPr>
      <w:r>
        <w:rPr>
          <w:color w:val="1A1A2E"/>
        </w:rPr>
        <w:t>2. No Certification or Competency Proof</w:t>
      </w:r>
    </w:p>
    <w:p>
      <w:pPr>
        <w:spacing w:after="120"/>
      </w:pPr>
      <w:r>
        <w:rPr>
          <w:b w:val="0"/>
          <w:i w:val="0"/>
        </w:rPr>
        <w:t>Completing all 12 lessons generates a progress percentage. There is no certificate, badge, downloadable credential, or verifiable proof of completion. This is a blocker for enterprise L&amp;D buyers who need documented training records.</w:t>
      </w:r>
    </w:p>
    <w:p>
      <w:pPr>
        <w:pStyle w:val="Heading2"/>
      </w:pPr>
      <w:r>
        <w:rPr>
          <w:color w:val="1A1A2E"/>
        </w:rPr>
        <w:t>3. Organizational Features Are Half-Built</w:t>
      </w:r>
    </w:p>
    <w:p>
      <w:pPr>
        <w:spacing w:after="120"/>
      </w:pPr>
      <w:r>
        <w:rPr>
          <w:b w:val="0"/>
          <w:i w:val="0"/>
        </w:rPr>
        <w:t>The admin backend has cohort management API endpoints (create, update, add/remove members, basic stats). However, there is no admin UI frontend. No facilitator view, no team progress dashboard, no group exercises, no peer review. The infrastructure exists but is unexposed.</w:t>
      </w:r>
    </w:p>
    <w:p>
      <w:pPr>
        <w:pStyle w:val="ListBullet"/>
        <w:spacing w:after="60"/>
      </w:pPr>
      <w:r>
        <w:t>Admin API: cohort CRUD, experiment management, user listing — all functional</w:t>
      </w:r>
    </w:p>
    <w:p>
      <w:pPr>
        <w:pStyle w:val="ListBullet"/>
        <w:spacing w:after="60"/>
      </w:pPr>
      <w:r>
        <w:t>Admin UI: does not exist — no frontend consumes the admin endpoints</w:t>
      </w:r>
    </w:p>
    <w:p>
      <w:pPr>
        <w:pStyle w:val="ListBullet"/>
        <w:spacing w:after="60"/>
      </w:pPr>
      <w:r>
        <w:t>No manager dashboard, no discussion forums, no facilitation guides</w:t>
      </w:r>
    </w:p>
    <w:p>
      <w:pPr>
        <w:pStyle w:val="Heading2"/>
      </w:pPr>
      <w:r>
        <w:rPr>
          <w:color w:val="1A1A2E"/>
        </w:rPr>
        <w:t>4. Remaining Security Gaps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Issue</w:t>
            </w:r>
          </w:p>
        </w:tc>
        <w:tc>
          <w:tcPr>
            <w:tcW w:type="dxa" w:w="2340"/>
          </w:tcPr>
          <w:p>
            <w:r>
              <w:rPr>
                <w:b/>
                <w:sz w:val="20"/>
              </w:rPr>
              <w:t>Severity</w:t>
            </w:r>
          </w:p>
        </w:tc>
        <w:tc>
          <w:tcPr>
            <w:tcW w:type="dxa" w:w="2340"/>
          </w:tcPr>
          <w:p>
            <w:r>
              <w:rPr>
                <w:b/>
                <w:sz w:val="20"/>
              </w:rPr>
              <w:t>Fix Effort</w:t>
            </w:r>
          </w:p>
        </w:tc>
        <w:tc>
          <w:tcPr>
            <w:tcW w:type="dxa" w:w="2340"/>
          </w:tcPr>
          <w:p>
            <w:r>
              <w:rPr>
                <w:b/>
                <w:sz w:val="20"/>
              </w:rPr>
              <w:t>Status</w:t>
            </w:r>
          </w:p>
        </w:tc>
      </w:tr>
      <w:tr>
        <w:tc>
          <w:tcPr>
            <w:tcW w:type="dxa" w:w="2340"/>
          </w:tcPr>
          <w:p>
            <w:r>
              <w:rPr>
                <w:sz w:val="20"/>
              </w:rPr>
              <w:t>Tokens in localStorage (XSS vulnerable)</w:t>
            </w:r>
          </w:p>
        </w:tc>
        <w:tc>
          <w:tcPr>
            <w:tcW w:type="dxa" w:w="2340"/>
          </w:tcPr>
          <w:p>
            <w:r>
              <w:rPr>
                <w:sz w:val="20"/>
              </w:rPr>
              <w:t>High</w:t>
            </w:r>
          </w:p>
        </w:tc>
        <w:tc>
          <w:tcPr>
            <w:tcW w:type="dxa" w:w="2340"/>
          </w:tcPr>
          <w:p>
            <w:r>
              <w:rPr>
                <w:sz w:val="20"/>
              </w:rPr>
              <w:t>Medium — switch to HttpOnly cookies</w:t>
            </w:r>
          </w:p>
        </w:tc>
        <w:tc>
          <w:tcPr>
            <w:tcW w:type="dxa" w:w="2340"/>
          </w:tcPr>
          <w:p>
            <w:r>
              <w:rPr>
                <w:sz w:val="20"/>
              </w:rPr>
              <w:t>OPEN</w:t>
            </w:r>
          </w:p>
        </w:tc>
      </w:tr>
      <w:tr>
        <w:tc>
          <w:tcPr>
            <w:tcW w:type="dxa" w:w="2340"/>
          </w:tcPr>
          <w:p>
            <w:r>
              <w:rPr>
                <w:sz w:val="20"/>
              </w:rPr>
              <w:t>Rate limiting on only 2–3 endpoints</w:t>
            </w:r>
          </w:p>
        </w:tc>
        <w:tc>
          <w:tcPr>
            <w:tcW w:type="dxa" w:w="2340"/>
          </w:tcPr>
          <w:p>
            <w:r>
              <w:rPr>
                <w:sz w:val="20"/>
              </w:rPr>
              <w:t>Medium</w:t>
            </w:r>
          </w:p>
        </w:tc>
        <w:tc>
          <w:tcPr>
            <w:tcW w:type="dxa" w:w="2340"/>
          </w:tcPr>
          <w:p>
            <w:r>
              <w:rPr>
                <w:sz w:val="20"/>
              </w:rPr>
              <w:t>Low — extend to all AI endpoints</w:t>
            </w:r>
          </w:p>
        </w:tc>
        <w:tc>
          <w:tcPr>
            <w:tcW w:type="dxa" w:w="2340"/>
          </w:tcPr>
          <w:p>
            <w:r>
              <w:rPr>
                <w:sz w:val="20"/>
              </w:rPr>
              <w:t>OPEN</w:t>
            </w:r>
          </w:p>
        </w:tc>
      </w:tr>
      <w:tr>
        <w:tc>
          <w:tcPr>
            <w:tcW w:type="dxa" w:w="2340"/>
          </w:tcPr>
          <w:p>
            <w:r>
              <w:rPr>
                <w:sz w:val="20"/>
              </w:rPr>
              <w:t>No SSO/SAML integration</w:t>
            </w:r>
          </w:p>
        </w:tc>
        <w:tc>
          <w:tcPr>
            <w:tcW w:type="dxa" w:w="2340"/>
          </w:tcPr>
          <w:p>
            <w:r>
              <w:rPr>
                <w:sz w:val="20"/>
              </w:rPr>
              <w:t>High (enterprise)</w:t>
            </w:r>
          </w:p>
        </w:tc>
        <w:tc>
          <w:tcPr>
            <w:tcW w:type="dxa" w:w="2340"/>
          </w:tcPr>
          <w:p>
            <w:r>
              <w:rPr>
                <w:sz w:val="20"/>
              </w:rPr>
              <w:t>High — requires auth refactor</w:t>
            </w:r>
          </w:p>
        </w:tc>
        <w:tc>
          <w:tcPr>
            <w:tcW w:type="dxa" w:w="2340"/>
          </w:tcPr>
          <w:p>
            <w:r>
              <w:rPr>
                <w:sz w:val="20"/>
              </w:rPr>
              <w:t>OPEN</w:t>
            </w:r>
          </w:p>
        </w:tc>
      </w:tr>
      <w:tr>
        <w:tc>
          <w:tcPr>
            <w:tcW w:type="dxa" w:w="2340"/>
          </w:tcPr>
          <w:p>
            <w:r>
              <w:rPr>
                <w:sz w:val="20"/>
              </w:rPr>
              <w:t>No password reset flow</w:t>
            </w:r>
          </w:p>
        </w:tc>
        <w:tc>
          <w:tcPr>
            <w:tcW w:type="dxa" w:w="2340"/>
          </w:tcPr>
          <w:p>
            <w:r>
              <w:rPr>
                <w:sz w:val="20"/>
              </w:rPr>
              <w:t>Medium</w:t>
            </w:r>
          </w:p>
        </w:tc>
        <w:tc>
          <w:tcPr>
            <w:tcW w:type="dxa" w:w="2340"/>
          </w:tcPr>
          <w:p>
            <w:r>
              <w:rPr>
                <w:sz w:val="20"/>
              </w:rPr>
              <w:t>Low — add email flow</w:t>
            </w:r>
          </w:p>
        </w:tc>
        <w:tc>
          <w:tcPr>
            <w:tcW w:type="dxa" w:w="2340"/>
          </w:tcPr>
          <w:p>
            <w:r>
              <w:rPr>
                <w:sz w:val="20"/>
              </w:rPr>
              <w:t>OPEN</w:t>
            </w:r>
          </w:p>
        </w:tc>
      </w:tr>
      <w:tr>
        <w:tc>
          <w:tcPr>
            <w:tcW w:type="dxa" w:w="2340"/>
          </w:tcPr>
          <w:p>
            <w:r>
              <w:rPr>
                <w:sz w:val="20"/>
              </w:rPr>
              <w:t>14 window.confirm() dialogs</w:t>
            </w:r>
          </w:p>
        </w:tc>
        <w:tc>
          <w:tcPr>
            <w:tcW w:type="dxa" w:w="2340"/>
          </w:tcPr>
          <w:p>
            <w:r>
              <w:rPr>
                <w:sz w:val="20"/>
              </w:rPr>
              <w:t>Low</w:t>
            </w:r>
          </w:p>
        </w:tc>
        <w:tc>
          <w:tcPr>
            <w:tcW w:type="dxa" w:w="2340"/>
          </w:tcPr>
          <w:p>
            <w:r>
              <w:rPr>
                <w:sz w:val="20"/>
              </w:rPr>
              <w:t>Medium — replace with accessible modals</w:t>
            </w:r>
          </w:p>
        </w:tc>
        <w:tc>
          <w:tcPr>
            <w:tcW w:type="dxa" w:w="2340"/>
          </w:tcPr>
          <w:p>
            <w:r>
              <w:rPr>
                <w:sz w:val="20"/>
              </w:rPr>
              <w:t>OPEN</w:t>
            </w:r>
          </w:p>
        </w:tc>
      </w:tr>
      <w:tr>
        <w:tc>
          <w:tcPr>
            <w:tcW w:type="dxa" w:w="2340"/>
          </w:tcPr>
          <w:p>
            <w:r>
              <w:rPr>
                <w:sz w:val="20"/>
              </w:rPr>
              <w:t>High-contrast theme not wired up</w:t>
            </w:r>
          </w:p>
        </w:tc>
        <w:tc>
          <w:tcPr>
            <w:tcW w:type="dxa" w:w="2340"/>
          </w:tcPr>
          <w:p>
            <w:r>
              <w:rPr>
                <w:sz w:val="20"/>
              </w:rPr>
              <w:t>Low</w:t>
            </w:r>
          </w:p>
        </w:tc>
        <w:tc>
          <w:tcPr>
            <w:tcW w:type="dxa" w:w="2340"/>
          </w:tcPr>
          <w:p>
            <w:r>
              <w:rPr>
                <w:sz w:val="20"/>
              </w:rPr>
              <w:t>Low — add toggle in ThemeContext</w:t>
            </w:r>
          </w:p>
        </w:tc>
        <w:tc>
          <w:tcPr>
            <w:tcW w:type="dxa" w:w="2340"/>
          </w:tcPr>
          <w:p>
            <w:r>
              <w:rPr>
                <w:sz w:val="20"/>
              </w:rPr>
              <w:t>OPEN</w:t>
            </w:r>
          </w:p>
        </w:tc>
      </w:tr>
      <w:tr>
        <w:tc>
          <w:tcPr>
            <w:tcW w:type="dxa" w:w="2340"/>
          </w:tcPr>
          <w:p>
            <w:r>
              <w:rPr>
                <w:sz w:val="20"/>
              </w:rPr>
              <w:t>File size/type validation on uploads</w:t>
            </w:r>
          </w:p>
        </w:tc>
        <w:tc>
          <w:tcPr>
            <w:tcW w:type="dxa" w:w="2340"/>
          </w:tcPr>
          <w:p>
            <w:r>
              <w:rPr>
                <w:sz w:val="20"/>
              </w:rPr>
              <w:t>Was Medium</w:t>
            </w:r>
          </w:p>
        </w:tc>
        <w:tc>
          <w:tcPr>
            <w:tcW w:type="dxa" w:w="2340"/>
          </w:tcPr>
          <w:p>
            <w:r>
              <w:rPr>
                <w:sz w:val="20"/>
              </w:rPr>
              <w:t>N/A</w:t>
            </w:r>
          </w:p>
        </w:tc>
        <w:tc>
          <w:tcPr>
            <w:tcW w:type="dxa" w:w="2340"/>
          </w:tcPr>
          <w:p>
            <w:r>
              <w:rPr>
                <w:sz w:val="20"/>
              </w:rPr>
              <w:t>FIXED</w:t>
            </w:r>
          </w:p>
        </w:tc>
      </w:tr>
      <w:tr>
        <w:tc>
          <w:tcPr>
            <w:tcW w:type="dxa" w:w="2340"/>
          </w:tcPr>
          <w:p>
            <w:r>
              <w:rPr>
                <w:sz w:val="20"/>
              </w:rPr>
              <w:t>get_optional_user exception handling</w:t>
            </w:r>
          </w:p>
        </w:tc>
        <w:tc>
          <w:tcPr>
            <w:tcW w:type="dxa" w:w="2340"/>
          </w:tcPr>
          <w:p>
            <w:r>
              <w:rPr>
                <w:sz w:val="20"/>
              </w:rPr>
              <w:t>Was Low</w:t>
            </w:r>
          </w:p>
        </w:tc>
        <w:tc>
          <w:tcPr>
            <w:tcW w:type="dxa" w:w="2340"/>
          </w:tcPr>
          <w:p>
            <w:r>
              <w:rPr>
                <w:sz w:val="20"/>
              </w:rPr>
              <w:t>N/A</w:t>
            </w:r>
          </w:p>
        </w:tc>
        <w:tc>
          <w:tcPr>
            <w:tcW w:type="dxa" w:w="2340"/>
          </w:tcPr>
          <w:p>
            <w:r>
              <w:rPr>
                <w:sz w:val="20"/>
              </w:rPr>
              <w:t>FIXED</w:t>
            </w:r>
          </w:p>
        </w:tc>
      </w:tr>
      <w:tr>
        <w:tc>
          <w:tcPr>
            <w:tcW w:type="dxa" w:w="2340"/>
          </w:tcPr>
          <w:p>
            <w:r>
              <w:rPr>
                <w:sz w:val="20"/>
              </w:rPr>
              <w:t>Schema string validation</w:t>
            </w:r>
          </w:p>
        </w:tc>
        <w:tc>
          <w:tcPr>
            <w:tcW w:type="dxa" w:w="2340"/>
          </w:tcPr>
          <w:p>
            <w:r>
              <w:rPr>
                <w:sz w:val="20"/>
              </w:rPr>
              <w:t>Was Medium</w:t>
            </w:r>
          </w:p>
        </w:tc>
        <w:tc>
          <w:tcPr>
            <w:tcW w:type="dxa" w:w="2340"/>
          </w:tcPr>
          <w:p>
            <w:r>
              <w:rPr>
                <w:sz w:val="20"/>
              </w:rPr>
              <w:t>N/A</w:t>
            </w:r>
          </w:p>
        </w:tc>
        <w:tc>
          <w:tcPr>
            <w:tcW w:type="dxa" w:w="2340"/>
          </w:tcPr>
          <w:p>
            <w:r>
              <w:rPr>
                <w:sz w:val="20"/>
              </w:rPr>
              <w:t>FIXED</w:t>
            </w:r>
          </w:p>
        </w:tc>
      </w:tr>
    </w:tbl>
    <w:p/>
    <w:p>
      <w:pPr>
        <w:pStyle w:val="Heading2"/>
      </w:pPr>
      <w:r>
        <w:rPr>
          <w:color w:val="1A1A2E"/>
        </w:rPr>
        <w:t>5. Content Gaps</w:t>
      </w:r>
    </w:p>
    <w:p>
      <w:pPr>
        <w:pStyle w:val="ListBullet"/>
        <w:spacing w:after="60"/>
      </w:pPr>
      <w:r>
        <w:t>No "apply this to your real work this week" structured exercises</w:t>
      </w:r>
    </w:p>
    <w:p>
      <w:pPr>
        <w:pStyle w:val="ListBullet"/>
        <w:spacing w:after="60"/>
      </w:pPr>
      <w:r>
        <w:t>No advanced/stretch path for fast learners</w:t>
      </w:r>
    </w:p>
    <w:p>
      <w:pPr>
        <w:pStyle w:val="ListBullet"/>
        <w:spacing w:after="60"/>
      </w:pPr>
      <w:r>
        <w:t>No industry customization (everyone sees same examples regardless of role)</w:t>
      </w:r>
    </w:p>
    <w:p>
      <w:pPr>
        <w:pStyle w:val="ListBullet"/>
        <w:spacing w:after="60"/>
      </w:pPr>
      <w:r>
        <w:t>No frontier case library from real encounters</w:t>
      </w:r>
    </w:p>
    <w:p>
      <w:pPr>
        <w:spacing w:after="120"/>
      </w:pPr>
      <w:r>
        <w:rPr>
          <w:b w:val="0"/>
          <w:i/>
        </w:rPr>
        <w:t>Note: The v1 review claimed Lesson 11 (Frontier Mapper) "feels thinner than the others." Code audit shows this is inaccurate — Lesson 11 has a 682-line backend (3rd largest), extensive Learn tab content, and full CRUD with statistics. It is comparable to Lessons 3 and 5.</w:t>
      </w:r>
    </w:p>
    <w:p>
      <w:pPr>
        <w:pStyle w:val="Heading2"/>
      </w:pPr>
      <w:r>
        <w:rPr>
          <w:color w:val="1A1A2E"/>
        </w:rPr>
        <w:t>6. No Monetization Infrastructure</w:t>
      </w:r>
    </w:p>
    <w:p>
      <w:pPr>
        <w:pStyle w:val="ListBullet"/>
        <w:spacing w:after="60"/>
      </w:pPr>
      <w:r>
        <w:t>No payment/subscription system (Stripe, etc.)</w:t>
      </w:r>
    </w:p>
    <w:p>
      <w:pPr>
        <w:pStyle w:val="ListBullet"/>
        <w:spacing w:after="60"/>
      </w:pPr>
      <w:r>
        <w:t>No license management or seat counting</w:t>
      </w:r>
    </w:p>
    <w:p>
      <w:pPr>
        <w:pStyle w:val="ListBullet"/>
        <w:spacing w:after="60"/>
      </w:pPr>
      <w:r>
        <w:t>No usage metering</w:t>
      </w:r>
    </w:p>
    <w:p>
      <w:pPr>
        <w:pStyle w:val="ListBullet"/>
        <w:spacing w:after="60"/>
      </w:pPr>
      <w:r>
        <w:t>No guest-to-paid conversion funnel</w:t>
      </w:r>
    </w:p>
    <w:p>
      <w:r>
        <w:br w:type="page"/>
      </w:r>
    </w:p>
    <w:p>
      <w:pPr>
        <w:pStyle w:val="Heading1"/>
      </w:pPr>
      <w:r>
        <w:rPr>
          <w:color w:val="1A1A2E"/>
        </w:rPr>
        <w:t>Detailed Technical Findings</w:t>
      </w:r>
    </w:p>
    <w:p>
      <w:pPr>
        <w:pStyle w:val="Heading2"/>
      </w:pPr>
      <w:r>
        <w:rPr>
          <w:color w:val="1A1A2E"/>
        </w:rPr>
        <w:t>Backend Architecture</w:t>
      </w:r>
    </w:p>
    <w:p>
      <w:pPr>
        <w:spacing w:after="120"/>
      </w:pPr>
      <w:r>
        <w:rPr>
          <w:b w:val="0"/>
          <w:i w:val="0"/>
        </w:rPr>
        <w:t>The backend is well-structured with a modular design: each lesson has its own directory with schemas, routes, and analyzers. All endpoints have real business logic — none are stubs.</w:t>
      </w:r>
    </w:p>
    <w:p>
      <w:pPr>
        <w:spacing w:after="120"/>
      </w:pPr>
      <w:r>
        <w:rPr>
          <w:b/>
          <w:i w:val="0"/>
        </w:rPr>
        <w:t xml:space="preserve">AI Integration: </w:t>
      </w:r>
      <w:r>
        <w:rPr>
          <w:b w:val="0"/>
          <w:i w:val="0"/>
        </w:rPr>
        <w:t>Real Claude API calls (claude-3-haiku by default, configurable). Integrated in Lessons 1, 3, 5, and 12. Circuit breaker tracks failures in 60-second windows, opens after 5 failures, allows test request after 30s cooldown. Retries up to 3 times with exponential backoff (1s, 2s, 4s). Auth errors never retried.</w:t>
      </w:r>
    </w:p>
    <w:p>
      <w:pPr>
        <w:spacing w:after="120"/>
      </w:pPr>
      <w:r>
        <w:rPr>
          <w:b/>
          <w:i w:val="0"/>
        </w:rPr>
        <w:t xml:space="preserve">Authentication: </w:t>
      </w:r>
      <w:r>
        <w:rPr>
          <w:b w:val="0"/>
          <w:i w:val="0"/>
        </w:rPr>
        <w:t>Production-ready JWT with access tokens (15-min) and refresh tokens (7-day). Passwords hashed with bcrypt (12 rounds). Rate limiting on register/login (5/minute). Token type validation prevents refresh-as-access attacks. Refresh token revocation on logout. Exception handling in get_optional_user now catches specific JWTError and logs unexpected errors.</w:t>
      </w:r>
    </w:p>
    <w:p>
      <w:pPr>
        <w:spacing w:after="120"/>
      </w:pPr>
      <w:r>
        <w:rPr>
          <w:b/>
          <w:i w:val="0"/>
        </w:rPr>
        <w:t xml:space="preserve">Input Validation: </w:t>
      </w:r>
      <w:r>
        <w:rPr>
          <w:b w:val="0"/>
          <w:i w:val="0"/>
        </w:rPr>
        <w:t>All Pydantic schemas across 9 lesson modules now enforce Field(max_length) constraints on string fields. File uploads validated for size (5 MB max) and type (.json, .txt only). This prevents oversized payloads and unexpected file types from reaching the database.</w:t>
      </w:r>
    </w:p>
    <w:p>
      <w:pPr>
        <w:spacing w:after="120"/>
      </w:pPr>
      <w:r>
        <w:rPr>
          <w:b/>
          <w:i w:val="0"/>
        </w:rPr>
        <w:t xml:space="preserve">Database: </w:t>
      </w:r>
      <w:r>
        <w:rPr>
          <w:b w:val="0"/>
          <w:i w:val="0"/>
        </w:rPr>
        <w:t>PostgreSQL with SQLAlchemy 2.0 async. UUID primary keys. Per-user data isolation via user_id foreign keys with CASCADE deletes. 29 models covering all 12 lessons plus analytics, admin cohorts, and A/B experiments.</w:t>
      </w:r>
    </w:p>
    <w:p>
      <w:pPr>
        <w:spacing w:after="120"/>
      </w:pPr>
      <w:r>
        <w:rPr>
          <w:b/>
          <w:i w:val="0"/>
        </w:rPr>
        <w:t xml:space="preserve">Test Coverage: </w:t>
      </w:r>
      <w:r>
        <w:rPr>
          <w:b w:val="0"/>
          <w:i w:val="0"/>
        </w:rPr>
        <w:t>18 test files totaling approximately 3,150 lines. Tests exist for auth (including change-password), error paths, and all 12 lessons. Uses pytest + pytest-asyncio. Estimated 30–40% coverage. Still needs expansion for production confidence, particularly integration tests.</w:t>
      </w:r>
    </w:p>
    <w:p>
      <w:pPr>
        <w:pStyle w:val="Heading2"/>
      </w:pPr>
      <w:r>
        <w:rPr>
          <w:color w:val="1A1A2E"/>
        </w:rPr>
        <w:t>Frontend User Experience</w:t>
      </w:r>
    </w:p>
    <w:p>
      <w:pPr>
        <w:spacing w:after="120"/>
      </w:pPr>
      <w:r>
        <w:rPr>
          <w:b w:val="0"/>
          <w:i w:val="0"/>
        </w:rPr>
        <w:t>React 18 with modern hooks, React Router v6, Vite 5 build tool. Zero external UI libraries — all custom CSS (4,188 lines, well-organized with CSS custom properties for theming).</w:t>
      </w:r>
    </w:p>
    <w:p>
      <w:pPr>
        <w:spacing w:after="120"/>
      </w:pPr>
      <w:r>
        <w:rPr>
          <w:b/>
          <w:i w:val="0"/>
        </w:rPr>
        <w:t xml:space="preserve">Themes: </w:t>
      </w:r>
      <w:r>
        <w:rPr>
          <w:b w:val="0"/>
          <w:i w:val="0"/>
        </w:rPr>
        <w:t>Light and dark themes via CSS custom properties (~70 unique variables, ~210 total declarations across 3 theme blocks). High-contrast theme fully defined in CSS but not yet wired to a UI toggle.</w:t>
      </w:r>
    </w:p>
    <w:p>
      <w:pPr>
        <w:spacing w:after="120"/>
      </w:pPr>
      <w:r>
        <w:rPr>
          <w:b/>
          <w:i w:val="0"/>
        </w:rPr>
        <w:t xml:space="preserve">Responsive Design: </w:t>
      </w:r>
      <w:r>
        <w:rPr>
          <w:b w:val="0"/>
          <w:i w:val="0"/>
        </w:rPr>
        <w:t>Three breakpoints (768px, 1024px, 480px). Mobile hamburger menu with slide-in sidebar. Grid layouts reflow naturally. Touch targets meet WCAG minimum (44px). No horizontal scroll issues.</w:t>
      </w:r>
    </w:p>
    <w:p>
      <w:pPr>
        <w:spacing w:after="120"/>
      </w:pPr>
      <w:r>
        <w:rPr>
          <w:b/>
          <w:i w:val="0"/>
        </w:rPr>
        <w:t xml:space="preserve">Accessibility: </w:t>
      </w:r>
      <w:r>
        <w:rPr>
          <w:b w:val="0"/>
          <w:i w:val="0"/>
        </w:rPr>
        <w:t>Skip link, lang="en" on html, aria-expanded on toggles, aria-label on icon buttons, focus-visible states, reduced-motion support. Mobile sidebar now has full focus trapping (Tab/Shift+Tab cycling, auto-focus on open). Remaining gaps: 14 window.confirm() dialogs in lesson pages (ConfirmDialog component exists but is only used in admin), and high-contrast theme is not accessible from the UI. All form inputs use proper &lt;label&gt; elements.</w:t>
      </w:r>
    </w:p>
    <w:p>
      <w:pPr>
        <w:spacing w:after="120"/>
      </w:pPr>
      <w:r>
        <w:rPr>
          <w:b/>
          <w:i w:val="0"/>
        </w:rPr>
        <w:t xml:space="preserve">Onboarding: </w:t>
      </w:r>
      <w:r>
        <w:rPr>
          <w:b w:val="0"/>
          <w:i w:val="0"/>
        </w:rPr>
        <w:t>New GettingStartedOverlay provides a 3-step walkthrough for first-time users. useRecommendedLesson hook displays a "Recommended Next" banner on the Dashboard, guiding users through an optimal lesson sequence (1, 3, 5, 7, 2, 4, 6, 8, 9, 10, 11, 12).</w:t>
      </w:r>
    </w:p>
    <w:p>
      <w:pPr>
        <w:pStyle w:val="Heading2"/>
      </w:pPr>
      <w:r>
        <w:rPr>
          <w:color w:val="1A1A2E"/>
        </w:rPr>
        <w:t>Lesson Experience (What Users Actually Do)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Lesson</w:t>
            </w:r>
          </w:p>
        </w:tc>
        <w:tc>
          <w:tcPr>
            <w:tcW w:type="dxa" w:w="2340"/>
          </w:tcPr>
          <w:p>
            <w:r>
              <w:rPr>
                <w:b/>
                <w:sz w:val="20"/>
              </w:rPr>
              <w:t>Title</w:t>
            </w:r>
          </w:p>
        </w:tc>
        <w:tc>
          <w:tcPr>
            <w:tcW w:type="dxa" w:w="2340"/>
          </w:tcPr>
          <w:p>
            <w:r>
              <w:rPr>
                <w:b/>
                <w:sz w:val="20"/>
              </w:rPr>
              <w:t>What Users Build</w:t>
            </w:r>
          </w:p>
        </w:tc>
        <w:tc>
          <w:tcPr>
            <w:tcW w:type="dxa" w:w="2340"/>
          </w:tcPr>
          <w:p>
            <w:r>
              <w:rPr>
                <w:b/>
                <w:sz w:val="20"/>
              </w:rPr>
              <w:t>AI-Powered?</w:t>
            </w:r>
          </w:p>
        </w:tc>
      </w:tr>
      <w:tr>
        <w:tc>
          <w:tcPr>
            <w:tcW w:type="dxa" w:w="2340"/>
          </w:tcPr>
          <w:p>
            <w:r>
              <w:rPr>
                <w:sz w:val="20"/>
              </w:rPr>
              <w:t>1</w:t>
            </w:r>
          </w:p>
        </w:tc>
        <w:tc>
          <w:tcPr>
            <w:tcW w:type="dxa" w:w="2340"/>
          </w:tcPr>
          <w:p>
            <w:r>
              <w:rPr>
                <w:sz w:val="20"/>
              </w:rPr>
              <w:t>Context Tracker</w:t>
            </w:r>
          </w:p>
        </w:tc>
        <w:tc>
          <w:tcPr>
            <w:tcW w:type="dxa" w:w="2340"/>
          </w:tcPr>
          <w:p>
            <w:r>
              <w:rPr>
                <w:sz w:val="20"/>
              </w:rPr>
              <w:t>Analyzed conversations with coaching feedback</w:t>
            </w:r>
          </w:p>
        </w:tc>
        <w:tc>
          <w:tcPr>
            <w:tcW w:type="dxa" w:w="2340"/>
          </w:tcPr>
          <w:p>
            <w:r>
              <w:rPr>
                <w:sz w:val="20"/>
              </w:rPr>
              <w:t>Yes — full analysis</w:t>
            </w:r>
          </w:p>
        </w:tc>
      </w:tr>
      <w:tr>
        <w:tc>
          <w:tcPr>
            <w:tcW w:type="dxa" w:w="2340"/>
          </w:tcPr>
          <w:p>
            <w:r>
              <w:rPr>
                <w:sz w:val="20"/>
              </w:rPr>
              <w:t>2</w:t>
            </w:r>
          </w:p>
        </w:tc>
        <w:tc>
          <w:tcPr>
            <w:tcW w:type="dxa" w:w="2340"/>
          </w:tcPr>
          <w:p>
            <w:r>
              <w:rPr>
                <w:sz w:val="20"/>
              </w:rPr>
              <w:t>Feedback Analyzer</w:t>
            </w:r>
          </w:p>
        </w:tc>
        <w:tc>
          <w:tcPr>
            <w:tcW w:type="dxa" w:w="2340"/>
          </w:tcPr>
          <w:p>
            <w:r>
              <w:rPr>
                <w:sz w:val="20"/>
              </w:rPr>
              <w:t>Scored feedback entries with rewrite suggestions</w:t>
            </w:r>
          </w:p>
        </w:tc>
        <w:tc>
          <w:tcPr>
            <w:tcW w:type="dxa" w:w="2340"/>
          </w:tcPr>
          <w:p>
            <w:r>
              <w:rPr>
                <w:sz w:val="20"/>
              </w:rPr>
              <w:t>Rule-based</w:t>
            </w:r>
          </w:p>
        </w:tc>
      </w:tr>
      <w:tr>
        <w:tc>
          <w:tcPr>
            <w:tcW w:type="dxa" w:w="2340"/>
          </w:tcPr>
          <w:p>
            <w:r>
              <w:rPr>
                <w:sz w:val="20"/>
              </w:rPr>
              <w:t>3</w:t>
            </w:r>
          </w:p>
        </w:tc>
        <w:tc>
          <w:tcPr>
            <w:tcW w:type="dxa" w:w="2340"/>
          </w:tcPr>
          <w:p>
            <w:r>
              <w:rPr>
                <w:sz w:val="20"/>
              </w:rPr>
              <w:t>Template Builder</w:t>
            </w:r>
          </w:p>
        </w:tc>
        <w:tc>
          <w:tcPr>
            <w:tcW w:type="dxa" w:w="2340"/>
          </w:tcPr>
          <w:p>
            <w:r>
              <w:rPr>
                <w:sz w:val="20"/>
              </w:rPr>
              <w:t>Reusable prompt templates with test results</w:t>
            </w:r>
          </w:p>
        </w:tc>
        <w:tc>
          <w:tcPr>
            <w:tcW w:type="dxa" w:w="2340"/>
          </w:tcPr>
          <w:p>
            <w:r>
              <w:rPr>
                <w:sz w:val="20"/>
              </w:rPr>
              <w:t>Yes — template testing</w:t>
            </w:r>
          </w:p>
        </w:tc>
      </w:tr>
      <w:tr>
        <w:tc>
          <w:tcPr>
            <w:tcW w:type="dxa" w:w="2340"/>
          </w:tcPr>
          <w:p>
            <w:r>
              <w:rPr>
                <w:sz w:val="20"/>
              </w:rPr>
              <w:t>4</w:t>
            </w:r>
          </w:p>
        </w:tc>
        <w:tc>
          <w:tcPr>
            <w:tcW w:type="dxa" w:w="2340"/>
          </w:tcPr>
          <w:p>
            <w:r>
              <w:rPr>
                <w:sz w:val="20"/>
              </w:rPr>
              <w:t>Context Docs</w:t>
            </w:r>
          </w:p>
        </w:tc>
        <w:tc>
          <w:tcPr>
            <w:tcW w:type="dxa" w:w="2340"/>
          </w:tcPr>
          <w:p>
            <w:r>
              <w:rPr>
                <w:sz w:val="20"/>
              </w:rPr>
              <w:t>Living project documents with AI session prompts</w:t>
            </w:r>
          </w:p>
        </w:tc>
        <w:tc>
          <w:tcPr>
            <w:tcW w:type="dxa" w:w="2340"/>
          </w:tcPr>
          <w:p>
            <w:r>
              <w:rPr>
                <w:sz w:val="20"/>
              </w:rPr>
              <w:t>Prompt generation</w:t>
            </w:r>
          </w:p>
        </w:tc>
      </w:tr>
      <w:tr>
        <w:tc>
          <w:tcPr>
            <w:tcW w:type="dxa" w:w="2340"/>
          </w:tcPr>
          <w:p>
            <w:r>
              <w:rPr>
                <w:sz w:val="20"/>
              </w:rPr>
              <w:t>5</w:t>
            </w:r>
          </w:p>
        </w:tc>
        <w:tc>
          <w:tcPr>
            <w:tcW w:type="dxa" w:w="2340"/>
          </w:tcPr>
          <w:p>
            <w:r>
              <w:rPr>
                <w:sz w:val="20"/>
              </w:rPr>
              <w:t>Trust Matrix</w:t>
            </w:r>
          </w:p>
        </w:tc>
        <w:tc>
          <w:tcPr>
            <w:tcW w:type="dxa" w:w="2340"/>
          </w:tcPr>
          <w:p>
            <w:r>
              <w:rPr>
                <w:sz w:val="20"/>
              </w:rPr>
              <w:t>Personal trust ratings with prediction tracking</w:t>
            </w:r>
          </w:p>
        </w:tc>
        <w:tc>
          <w:tcPr>
            <w:tcW w:type="dxa" w:w="2340"/>
          </w:tcPr>
          <w:p>
            <w:r>
              <w:rPr>
                <w:sz w:val="20"/>
              </w:rPr>
              <w:t>Yes — calibration insights</w:t>
            </w:r>
          </w:p>
        </w:tc>
      </w:tr>
      <w:tr>
        <w:tc>
          <w:tcPr>
            <w:tcW w:type="dxa" w:w="2340"/>
          </w:tcPr>
          <w:p>
            <w:r>
              <w:rPr>
                <w:sz w:val="20"/>
              </w:rPr>
              <w:t>6</w:t>
            </w:r>
          </w:p>
        </w:tc>
        <w:tc>
          <w:tcPr>
            <w:tcW w:type="dxa" w:w="2340"/>
          </w:tcPr>
          <w:p>
            <w:r>
              <w:rPr>
                <w:sz w:val="20"/>
              </w:rPr>
              <w:t>Verification Tools</w:t>
            </w:r>
          </w:p>
        </w:tc>
        <w:tc>
          <w:tcPr>
            <w:tcW w:type="dxa" w:w="2340"/>
          </w:tcPr>
          <w:p>
            <w:r>
              <w:rPr>
                <w:sz w:val="20"/>
              </w:rPr>
              <w:t>Reusable verification checklists</w:t>
            </w:r>
          </w:p>
        </w:tc>
        <w:tc>
          <w:tcPr>
            <w:tcW w:type="dxa" w:w="2340"/>
          </w:tcPr>
          <w:p>
            <w:r>
              <w:rPr>
                <w:sz w:val="20"/>
              </w:rPr>
              <w:t>CRUD only</w:t>
            </w:r>
          </w:p>
        </w:tc>
      </w:tr>
      <w:tr>
        <w:tc>
          <w:tcPr>
            <w:tcW w:type="dxa" w:w="2340"/>
          </w:tcPr>
          <w:p>
            <w:r>
              <w:rPr>
                <w:sz w:val="20"/>
              </w:rPr>
              <w:t>7</w:t>
            </w:r>
          </w:p>
        </w:tc>
        <w:tc>
          <w:tcPr>
            <w:tcW w:type="dxa" w:w="2340"/>
          </w:tcPr>
          <w:p>
            <w:r>
              <w:rPr>
                <w:sz w:val="20"/>
              </w:rPr>
              <w:t>Task Decomposer</w:t>
            </w:r>
          </w:p>
        </w:tc>
        <w:tc>
          <w:tcPr>
            <w:tcW w:type="dxa" w:w="2340"/>
          </w:tcPr>
          <w:p>
            <w:r>
              <w:rPr>
                <w:sz w:val="20"/>
              </w:rPr>
              <w:t>Project breakdowns with AI/human categorization</w:t>
            </w:r>
          </w:p>
        </w:tc>
        <w:tc>
          <w:tcPr>
            <w:tcW w:type="dxa" w:w="2340"/>
          </w:tcPr>
          <w:p>
            <w:r>
              <w:rPr>
                <w:sz w:val="20"/>
              </w:rPr>
              <w:t>CRUD + analytics</w:t>
            </w:r>
          </w:p>
        </w:tc>
      </w:tr>
      <w:tr>
        <w:tc>
          <w:tcPr>
            <w:tcW w:type="dxa" w:w="2340"/>
          </w:tcPr>
          <w:p>
            <w:r>
              <w:rPr>
                <w:sz w:val="20"/>
              </w:rPr>
              <w:t>8</w:t>
            </w:r>
          </w:p>
        </w:tc>
        <w:tc>
          <w:tcPr>
            <w:tcW w:type="dxa" w:w="2340"/>
          </w:tcPr>
          <w:p>
            <w:r>
              <w:rPr>
                <w:sz w:val="20"/>
              </w:rPr>
              <w:t>Delegation Tracker</w:t>
            </w:r>
          </w:p>
        </w:tc>
        <w:tc>
          <w:tcPr>
            <w:tcW w:type="dxa" w:w="2340"/>
          </w:tcPr>
          <w:p>
            <w:r>
              <w:rPr>
                <w:sz w:val="20"/>
              </w:rPr>
              <w:t>Structured delegations with task workflows</w:t>
            </w:r>
          </w:p>
        </w:tc>
        <w:tc>
          <w:tcPr>
            <w:tcW w:type="dxa" w:w="2340"/>
          </w:tcPr>
          <w:p>
            <w:r>
              <w:rPr>
                <w:sz w:val="20"/>
              </w:rPr>
              <w:t>CRUD + templates</w:t>
            </w:r>
          </w:p>
        </w:tc>
      </w:tr>
      <w:tr>
        <w:tc>
          <w:tcPr>
            <w:tcW w:type="dxa" w:w="2340"/>
          </w:tcPr>
          <w:p>
            <w:r>
              <w:rPr>
                <w:sz w:val="20"/>
              </w:rPr>
              <w:t>9</w:t>
            </w:r>
          </w:p>
        </w:tc>
        <w:tc>
          <w:tcPr>
            <w:tcW w:type="dxa" w:w="2340"/>
          </w:tcPr>
          <w:p>
            <w:r>
              <w:rPr>
                <w:sz w:val="20"/>
              </w:rPr>
              <w:t>Iteration Passes</w:t>
            </w:r>
          </w:p>
        </w:tc>
        <w:tc>
          <w:tcPr>
            <w:tcW w:type="dxa" w:w="2340"/>
          </w:tcPr>
          <w:p>
            <w:r>
              <w:rPr>
                <w:sz w:val="20"/>
              </w:rPr>
              <w:t>Multi-pass refinement records with feedback quality</w:t>
            </w:r>
          </w:p>
        </w:tc>
        <w:tc>
          <w:tcPr>
            <w:tcW w:type="dxa" w:w="2340"/>
          </w:tcPr>
          <w:p>
            <w:r>
              <w:rPr>
                <w:sz w:val="20"/>
              </w:rPr>
              <w:t>Feedback scoring</w:t>
            </w:r>
          </w:p>
        </w:tc>
      </w:tr>
      <w:tr>
        <w:tc>
          <w:tcPr>
            <w:tcW w:type="dxa" w:w="2340"/>
          </w:tcPr>
          <w:p>
            <w:r>
              <w:rPr>
                <w:sz w:val="20"/>
              </w:rPr>
              <w:t>10</w:t>
            </w:r>
          </w:p>
        </w:tc>
        <w:tc>
          <w:tcPr>
            <w:tcW w:type="dxa" w:w="2340"/>
          </w:tcPr>
          <w:p>
            <w:r>
              <w:rPr>
                <w:sz w:val="20"/>
              </w:rPr>
              <w:t>Status Reporter</w:t>
            </w:r>
          </w:p>
        </w:tc>
        <w:tc>
          <w:tcPr>
            <w:tcW w:type="dxa" w:w="2340"/>
          </w:tcPr>
          <w:p>
            <w:r>
              <w:rPr>
                <w:sz w:val="20"/>
              </w:rPr>
              <w:t>Workflow templates with execution tracking</w:t>
            </w:r>
          </w:p>
        </w:tc>
        <w:tc>
          <w:tcPr>
            <w:tcW w:type="dxa" w:w="2340"/>
          </w:tcPr>
          <w:p>
            <w:r>
              <w:rPr>
                <w:sz w:val="20"/>
              </w:rPr>
              <w:t>Prompt generation</w:t>
            </w:r>
          </w:p>
        </w:tc>
      </w:tr>
      <w:tr>
        <w:tc>
          <w:tcPr>
            <w:tcW w:type="dxa" w:w="2340"/>
          </w:tcPr>
          <w:p>
            <w:r>
              <w:rPr>
                <w:sz w:val="20"/>
              </w:rPr>
              <w:t>11</w:t>
            </w:r>
          </w:p>
        </w:tc>
        <w:tc>
          <w:tcPr>
            <w:tcW w:type="dxa" w:w="2340"/>
          </w:tcPr>
          <w:p>
            <w:r>
              <w:rPr>
                <w:sz w:val="20"/>
              </w:rPr>
              <w:t>Frontier Mapper</w:t>
            </w:r>
          </w:p>
        </w:tc>
        <w:tc>
          <w:tcPr>
            <w:tcW w:type="dxa" w:w="2340"/>
          </w:tcPr>
          <w:p>
            <w:r>
              <w:rPr>
                <w:sz w:val="20"/>
              </w:rPr>
              <w:t>AI reliability zone maps with encounter logs</w:t>
            </w:r>
          </w:p>
        </w:tc>
        <w:tc>
          <w:tcPr>
            <w:tcW w:type="dxa" w:w="2340"/>
          </w:tcPr>
          <w:p>
            <w:r>
              <w:rPr>
                <w:sz w:val="20"/>
              </w:rPr>
              <w:t>CRUD + statistics</w:t>
            </w:r>
          </w:p>
        </w:tc>
      </w:tr>
      <w:tr>
        <w:tc>
          <w:tcPr>
            <w:tcW w:type="dxa" w:w="2340"/>
          </w:tcPr>
          <w:p>
            <w:r>
              <w:rPr>
                <w:sz w:val="20"/>
              </w:rPr>
              <w:t>12</w:t>
            </w:r>
          </w:p>
        </w:tc>
        <w:tc>
          <w:tcPr>
            <w:tcW w:type="dxa" w:w="2340"/>
          </w:tcPr>
          <w:p>
            <w:r>
              <w:rPr>
                <w:sz w:val="20"/>
              </w:rPr>
              <w:t>Reference Card</w:t>
            </w:r>
          </w:p>
        </w:tc>
        <w:tc>
          <w:tcPr>
            <w:tcW w:type="dxa" w:w="2340"/>
          </w:tcPr>
          <w:p>
            <w:r>
              <w:rPr>
                <w:sz w:val="20"/>
              </w:rPr>
              <w:t>Personal quick-reference aggregating all lessons</w:t>
            </w:r>
          </w:p>
        </w:tc>
        <w:tc>
          <w:tcPr>
            <w:tcW w:type="dxa" w:w="2340"/>
          </w:tcPr>
          <w:p>
            <w:r>
              <w:rPr>
                <w:sz w:val="20"/>
              </w:rPr>
              <w:t>Yes — card generation</w:t>
            </w:r>
          </w:p>
        </w:tc>
      </w:tr>
    </w:tbl>
    <w:p/>
    <w:p>
      <w:pPr>
        <w:pStyle w:val="Heading2"/>
      </w:pPr>
      <w:r>
        <w:rPr>
          <w:color w:val="1A1A2E"/>
        </w:rPr>
        <w:t>Assessment Criteria (Updated)</w:t>
      </w:r>
    </w:p>
    <w:p>
      <w:pPr>
        <w:spacing w:after="120"/>
      </w:pPr>
      <w:r>
        <w:rPr>
          <w:b w:val="0"/>
          <w:i w:val="0"/>
        </w:rPr>
        <w:t>Each lesson now has exactly 4 completion criteria, up from 3 in the initial build. The backend progress endpoint enforces these with stricter completion logic. Examples: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Lesson</w:t>
            </w:r>
          </w:p>
        </w:tc>
        <w:tc>
          <w:tcPr>
            <w:tcW w:type="dxa" w:w="3120"/>
          </w:tcPr>
          <w:p>
            <w:r>
              <w:rPr>
                <w:b/>
                <w:sz w:val="20"/>
              </w:rPr>
              <w:t>Criteria (4 per lesson)</w:t>
            </w:r>
          </w:p>
        </w:tc>
        <w:tc>
          <w:tcPr>
            <w:tcW w:type="dxa" w:w="3120"/>
          </w:tcPr>
          <w:p>
            <w:r>
              <w:rPr>
                <w:b/>
                <w:sz w:val="20"/>
              </w:rPr>
              <w:t>New in v2</w:t>
            </w:r>
          </w:p>
        </w:tc>
      </w:tr>
      <w:tr>
        <w:tc>
          <w:tcPr>
            <w:tcW w:type="dxa" w:w="3120"/>
          </w:tcPr>
          <w:p>
            <w:r>
              <w:rPr>
                <w:sz w:val="20"/>
              </w:rPr>
              <w:t>1 — Context Tracker</w:t>
            </w:r>
          </w:p>
        </w:tc>
        <w:tc>
          <w:tcPr>
            <w:tcW w:type="dxa" w:w="3120"/>
          </w:tcPr>
          <w:p>
            <w:r>
              <w:rPr>
                <w:sz w:val="20"/>
              </w:rPr>
              <w:t>Analyzed 1+ conversation, identified pattern, reviewed coaching, edited notes</w:t>
            </w:r>
          </w:p>
        </w:tc>
        <w:tc>
          <w:tcPr>
            <w:tcW w:type="dxa" w:w="3120"/>
          </w:tcPr>
          <w:p>
            <w:r>
              <w:rPr>
                <w:sz w:val="20"/>
              </w:rPr>
              <w:t>Edited notes</w:t>
            </w:r>
          </w:p>
        </w:tc>
      </w:tr>
      <w:tr>
        <w:tc>
          <w:tcPr>
            <w:tcW w:type="dxa" w:w="3120"/>
          </w:tcPr>
          <w:p>
            <w:r>
              <w:rPr>
                <w:sz w:val="20"/>
              </w:rPr>
              <w:t>2 — Feedback Analyzer</w:t>
            </w:r>
          </w:p>
        </w:tc>
        <w:tc>
          <w:tcPr>
            <w:tcW w:type="dxa" w:w="3120"/>
          </w:tcPr>
          <w:p>
            <w:r>
              <w:rPr>
                <w:sz w:val="20"/>
              </w:rPr>
              <w:t>Analyzed 3+ entries, rewrote 1+ vague, reviewed patterns, 3+ categories</w:t>
            </w:r>
          </w:p>
        </w:tc>
        <w:tc>
          <w:tcPr>
            <w:tcW w:type="dxa" w:w="3120"/>
          </w:tcPr>
          <w:p>
            <w:r>
              <w:rPr>
                <w:sz w:val="20"/>
              </w:rPr>
              <w:t>3+ categories</w:t>
            </w:r>
          </w:p>
        </w:tc>
      </w:tr>
      <w:tr>
        <w:tc>
          <w:tcPr>
            <w:tcW w:type="dxa" w:w="3120"/>
          </w:tcPr>
          <w:p>
            <w:r>
              <w:rPr>
                <w:sz w:val="20"/>
              </w:rPr>
              <w:t>3 — Template Builder</w:t>
            </w:r>
          </w:p>
        </w:tc>
        <w:tc>
          <w:tcPr>
            <w:tcW w:type="dxa" w:w="3120"/>
          </w:tcPr>
          <w:p>
            <w:r>
              <w:rPr>
                <w:sz w:val="20"/>
              </w:rPr>
              <w:t>Created 1+ template, tested 1+, used variables, rated 1+ test</w:t>
            </w:r>
          </w:p>
        </w:tc>
        <w:tc>
          <w:tcPr>
            <w:tcW w:type="dxa" w:w="3120"/>
          </w:tcPr>
          <w:p>
            <w:r>
              <w:rPr>
                <w:sz w:val="20"/>
              </w:rPr>
              <w:t>Rated test</w:t>
            </w:r>
          </w:p>
        </w:tc>
      </w:tr>
      <w:tr>
        <w:tc>
          <w:tcPr>
            <w:tcW w:type="dxa" w:w="3120"/>
          </w:tcPr>
          <w:p>
            <w:r>
              <w:rPr>
                <w:sz w:val="20"/>
              </w:rPr>
              <w:t>5 — Trust Matrix</w:t>
            </w:r>
          </w:p>
        </w:tc>
        <w:tc>
          <w:tcPr>
            <w:tcW w:type="dxa" w:w="3120"/>
          </w:tcPr>
          <w:p>
            <w:r>
              <w:rPr>
                <w:sz w:val="20"/>
              </w:rPr>
              <w:t>Created 3+ output types, tracked 1+ prediction, reviewed calibration, 2+ domains</w:t>
            </w:r>
          </w:p>
        </w:tc>
        <w:tc>
          <w:tcPr>
            <w:tcW w:type="dxa" w:w="3120"/>
          </w:tcPr>
          <w:p>
            <w:r>
              <w:rPr>
                <w:sz w:val="20"/>
              </w:rPr>
              <w:t>2+ domains</w:t>
            </w:r>
          </w:p>
        </w:tc>
      </w:tr>
      <w:tr>
        <w:tc>
          <w:tcPr>
            <w:tcW w:type="dxa" w:w="3120"/>
          </w:tcPr>
          <w:p>
            <w:r>
              <w:rPr>
                <w:sz w:val="20"/>
              </w:rPr>
              <w:t>7 — Task Decomposer</w:t>
            </w:r>
          </w:p>
        </w:tc>
        <w:tc>
          <w:tcPr>
            <w:tcW w:type="dxa" w:w="3120"/>
          </w:tcPr>
          <w:p>
            <w:r>
              <w:rPr>
                <w:sz w:val="20"/>
              </w:rPr>
              <w:t>Created 1+ decomposition, 5+ tasks, categorized AI/human, dependency chain</w:t>
            </w:r>
          </w:p>
        </w:tc>
        <w:tc>
          <w:tcPr>
            <w:tcW w:type="dxa" w:w="3120"/>
          </w:tcPr>
          <w:p>
            <w:r>
              <w:rPr>
                <w:sz w:val="20"/>
              </w:rPr>
              <w:t>Dependency chain</w:t>
            </w:r>
          </w:p>
        </w:tc>
      </w:tr>
      <w:tr>
        <w:tc>
          <w:tcPr>
            <w:tcW w:type="dxa" w:w="3120"/>
          </w:tcPr>
          <w:p>
            <w:r>
              <w:rPr>
                <w:sz w:val="20"/>
              </w:rPr>
              <w:t>12 — Reference Card</w:t>
            </w:r>
          </w:p>
        </w:tc>
        <w:tc>
          <w:tcPr>
            <w:tcW w:type="dxa" w:w="3120"/>
          </w:tcPr>
          <w:p>
            <w:r>
              <w:rPr>
                <w:sz w:val="20"/>
              </w:rPr>
              <w:t>Generated card, filled 3+ sections, exported, completed challenge</w:t>
            </w:r>
          </w:p>
        </w:tc>
        <w:tc>
          <w:tcPr>
            <w:tcW w:type="dxa" w:w="3120"/>
          </w:tcPr>
          <w:p>
            <w:r>
              <w:rPr>
                <w:sz w:val="20"/>
              </w:rPr>
              <w:t>Challenge completion</w:t>
            </w:r>
          </w:p>
        </w:tc>
      </w:tr>
    </w:tbl>
    <w:p/>
    <w:p>
      <w:pPr>
        <w:spacing w:after="120"/>
      </w:pPr>
      <w:r>
        <w:rPr>
          <w:b w:val="0"/>
          <w:i/>
        </w:rPr>
        <w:t>While these are stricter than the initial 3-criterion setup, they remain existence-based. A single low-quality artifact still satisfies most criteria. Quality rubrics would require either AI-powered evaluation or peer review — neither is implemented.</w:t>
      </w:r>
    </w:p>
    <w:p>
      <w:r>
        <w:br w:type="page"/>
      </w:r>
    </w:p>
    <w:p>
      <w:pPr>
        <w:pStyle w:val="Heading1"/>
      </w:pPr>
      <w:r>
        <w:rPr>
          <w:color w:val="1A1A2E"/>
        </w:rPr>
        <w:t>Competitive Positioning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Factor</w:t>
            </w:r>
          </w:p>
        </w:tc>
        <w:tc>
          <w:tcPr>
            <w:tcW w:type="dxa" w:w="3120"/>
          </w:tcPr>
          <w:p>
            <w:r>
              <w:rPr>
                <w:b/>
                <w:sz w:val="20"/>
              </w:rPr>
              <w:t>This Project</w:t>
            </w:r>
          </w:p>
        </w:tc>
        <w:tc>
          <w:tcPr>
            <w:tcW w:type="dxa" w:w="3120"/>
          </w:tcPr>
          <w:p>
            <w:r>
              <w:rPr>
                <w:b/>
                <w:sz w:val="20"/>
              </w:rPr>
              <w:t>Typical Competitors</w:t>
            </w:r>
          </w:p>
        </w:tc>
      </w:tr>
      <w:tr>
        <w:tc>
          <w:tcPr>
            <w:tcW w:type="dxa" w:w="3120"/>
          </w:tcPr>
          <w:p>
            <w:r>
              <w:rPr>
                <w:sz w:val="20"/>
              </w:rPr>
              <w:t>Content depth</w:t>
            </w:r>
          </w:p>
        </w:tc>
        <w:tc>
          <w:tcPr>
            <w:tcW w:type="dxa" w:w="3120"/>
          </w:tcPr>
          <w:p>
            <w:r>
              <w:rPr>
                <w:sz w:val="20"/>
              </w:rPr>
              <w:t>Strong — 12 hands-on lessons</w:t>
            </w:r>
          </w:p>
        </w:tc>
        <w:tc>
          <w:tcPr>
            <w:tcW w:type="dxa" w:w="3120"/>
          </w:tcPr>
          <w:p>
            <w:r>
              <w:rPr>
                <w:sz w:val="20"/>
              </w:rPr>
              <w:t>Often shallow webinars or slide decks</w:t>
            </w:r>
          </w:p>
        </w:tc>
      </w:tr>
      <w:tr>
        <w:tc>
          <w:tcPr>
            <w:tcW w:type="dxa" w:w="3120"/>
          </w:tcPr>
          <w:p>
            <w:r>
              <w:rPr>
                <w:sz w:val="20"/>
              </w:rPr>
              <w:t>Interactivity</w:t>
            </w:r>
          </w:p>
        </w:tc>
        <w:tc>
          <w:tcPr>
            <w:tcW w:type="dxa" w:w="3120"/>
          </w:tcPr>
          <w:p>
            <w:r>
              <w:rPr>
                <w:sz w:val="20"/>
              </w:rPr>
              <w:t>Real tools with AI integration</w:t>
            </w:r>
          </w:p>
        </w:tc>
        <w:tc>
          <w:tcPr>
            <w:tcW w:type="dxa" w:w="3120"/>
          </w:tcPr>
          <w:p>
            <w:r>
              <w:rPr>
                <w:sz w:val="20"/>
              </w:rPr>
              <w:t>Usually just videos + quizzes</w:t>
            </w:r>
          </w:p>
        </w:tc>
      </w:tr>
      <w:tr>
        <w:tc>
          <w:tcPr>
            <w:tcW w:type="dxa" w:w="3120"/>
          </w:tcPr>
          <w:p>
            <w:r>
              <w:rPr>
                <w:sz w:val="20"/>
              </w:rPr>
              <w:t>Personalization</w:t>
            </w:r>
          </w:p>
        </w:tc>
        <w:tc>
          <w:tcPr>
            <w:tcW w:type="dxa" w:w="3120"/>
          </w:tcPr>
          <w:p>
            <w:r>
              <w:rPr>
                <w:sz w:val="20"/>
              </w:rPr>
              <w:t>Builds personal artifacts</w:t>
            </w:r>
          </w:p>
        </w:tc>
        <w:tc>
          <w:tcPr>
            <w:tcW w:type="dxa" w:w="3120"/>
          </w:tcPr>
          <w:p>
            <w:r>
              <w:rPr>
                <w:sz w:val="20"/>
              </w:rPr>
              <w:t>Generic one-size-fits-all</w:t>
            </w:r>
          </w:p>
        </w:tc>
      </w:tr>
      <w:tr>
        <w:tc>
          <w:tcPr>
            <w:tcW w:type="dxa" w:w="3120"/>
          </w:tcPr>
          <w:p>
            <w:r>
              <w:rPr>
                <w:sz w:val="20"/>
              </w:rPr>
              <w:t>Onboarding</w:t>
            </w:r>
          </w:p>
        </w:tc>
        <w:tc>
          <w:tcPr>
            <w:tcW w:type="dxa" w:w="3120"/>
          </w:tcPr>
          <w:p>
            <w:r>
              <w:rPr>
                <w:sz w:val="20"/>
              </w:rPr>
              <w:t>Getting started overlay + recommended path</w:t>
            </w:r>
          </w:p>
        </w:tc>
        <w:tc>
          <w:tcPr>
            <w:tcW w:type="dxa" w:w="3120"/>
          </w:tcPr>
          <w:p>
            <w:r>
              <w:rPr>
                <w:sz w:val="20"/>
              </w:rPr>
              <w:t>Varies — some good, some absent</w:t>
            </w:r>
          </w:p>
        </w:tc>
      </w:tr>
      <w:tr>
        <w:tc>
          <w:tcPr>
            <w:tcW w:type="dxa" w:w="3120"/>
          </w:tcPr>
          <w:p>
            <w:r>
              <w:rPr>
                <w:sz w:val="20"/>
              </w:rPr>
              <w:t>Enterprise readiness</w:t>
            </w:r>
          </w:p>
        </w:tc>
        <w:tc>
          <w:tcPr>
            <w:tcW w:type="dxa" w:w="3120"/>
          </w:tcPr>
          <w:p>
            <w:r>
              <w:rPr>
                <w:sz w:val="20"/>
              </w:rPr>
              <w:t>Weak — no SSO, no cohort UI, no certs</w:t>
            </w:r>
          </w:p>
        </w:tc>
        <w:tc>
          <w:tcPr>
            <w:tcW w:type="dxa" w:w="3120"/>
          </w:tcPr>
          <w:p>
            <w:r>
              <w:rPr>
                <w:sz w:val="20"/>
              </w:rPr>
              <w:t>Strong in established LMS platforms</w:t>
            </w:r>
          </w:p>
        </w:tc>
      </w:tr>
      <w:tr>
        <w:tc>
          <w:tcPr>
            <w:tcW w:type="dxa" w:w="3120"/>
          </w:tcPr>
          <w:p>
            <w:r>
              <w:rPr>
                <w:sz w:val="20"/>
              </w:rPr>
              <w:t>Price point fit</w:t>
            </w:r>
          </w:p>
        </w:tc>
        <w:tc>
          <w:tcPr>
            <w:tcW w:type="dxa" w:w="3120"/>
          </w:tcPr>
          <w:p>
            <w:r>
              <w:rPr>
                <w:sz w:val="20"/>
              </w:rPr>
              <w:t>$20–50 self-serve, $200–500/seat enterprise</w:t>
            </w:r>
          </w:p>
        </w:tc>
        <w:tc>
          <w:tcPr>
            <w:tcW w:type="dxa" w:w="3120"/>
          </w:tcPr>
          <w:p>
            <w:r>
              <w:rPr>
                <w:sz w:val="20"/>
              </w:rPr>
              <w:t>Varies widely</w:t>
            </w:r>
          </w:p>
        </w:tc>
      </w:tr>
    </w:tbl>
    <w:p/>
    <w:p>
      <w:pPr>
        <w:spacing w:after="120"/>
      </w:pPr>
      <w:r>
        <w:rPr>
          <w:b/>
          <w:i w:val="0"/>
        </w:rPr>
        <w:t xml:space="preserve">The differentiator is real. </w:t>
      </w:r>
      <w:r>
        <w:rPr>
          <w:b w:val="0"/>
          <w:i w:val="0"/>
        </w:rPr>
        <w:t xml:space="preserve">Most "AI training" is either deeply technical (prompt engineering for developers) or superficially motivational ("AI will change everything!"). This occupies a genuine gap: </w:t>
      </w:r>
      <w:r>
        <w:rPr>
          <w:b/>
          <w:i w:val="0"/>
        </w:rPr>
        <w:t>practical skill-building for non-technical knowledge workers.</w:t>
      </w:r>
      <w:r>
        <w:rPr>
          <w:b w:val="0"/>
          <w:i w:val="0"/>
        </w:rPr>
        <w:t xml:space="preserve"> That is a real market.</w:t>
      </w:r>
    </w:p>
    <w:p>
      <w:pPr>
        <w:pStyle w:val="Heading2"/>
      </w:pPr>
      <w:r>
        <w:rPr>
          <w:color w:val="1A1A2E"/>
        </w:rPr>
        <w:t>Target Buyer Fit</w:t>
      </w:r>
    </w:p>
    <w:p>
      <w:pPr>
        <w:spacing w:after="120"/>
      </w:pPr>
      <w:r>
        <w:rPr>
          <w:b/>
          <w:i w:val="0"/>
        </w:rPr>
        <w:t>Strong fit:</w:t>
      </w:r>
    </w:p>
    <w:p>
      <w:pPr>
        <w:pStyle w:val="ListBullet"/>
        <w:spacing w:after="60"/>
      </w:pPr>
      <w:r>
        <w:t>Knowledge workers wanting to skill up individually on AI collaboration</w:t>
      </w:r>
    </w:p>
    <w:p>
      <w:pPr>
        <w:pStyle w:val="ListBullet"/>
        <w:spacing w:after="60"/>
      </w:pPr>
      <w:r>
        <w:t>Managers wanting personal AI skills before rolling out to teams</w:t>
      </w:r>
    </w:p>
    <w:p>
      <w:pPr>
        <w:pStyle w:val="ListBullet"/>
        <w:spacing w:after="60"/>
      </w:pPr>
      <w:r>
        <w:t>Career development for non-technical roles moving into AI-adjacent work</w:t>
      </w:r>
    </w:p>
    <w:p>
      <w:pPr>
        <w:pStyle w:val="ListBullet"/>
        <w:spacing w:after="60"/>
      </w:pPr>
      <w:r>
        <w:t>Self-paced learner populations (remote-first, asynchronous)</w:t>
      </w:r>
    </w:p>
    <w:p>
      <w:pPr>
        <w:spacing w:after="120"/>
      </w:pPr>
      <w:r>
        <w:rPr>
          <w:b/>
          <w:i w:val="0"/>
        </w:rPr>
        <w:t>Weaker fit:</w:t>
      </w:r>
    </w:p>
    <w:p>
      <w:pPr>
        <w:pStyle w:val="ListBullet"/>
        <w:spacing w:after="60"/>
      </w:pPr>
      <w:r>
        <w:t>Organizations needing to upskill entire teams at once (cohort API exists but no UI)</w:t>
      </w:r>
    </w:p>
    <w:p>
      <w:pPr>
        <w:pStyle w:val="ListBullet"/>
        <w:spacing w:after="60"/>
      </w:pPr>
      <w:r>
        <w:t>Regulated industries needing documented competency verification</w:t>
      </w:r>
    </w:p>
    <w:p>
      <w:pPr>
        <w:pStyle w:val="ListBullet"/>
        <w:spacing w:after="60"/>
      </w:pPr>
      <w:r>
        <w:t>Companies wanting trainer-led cohorts with peer learning</w:t>
      </w:r>
    </w:p>
    <w:p>
      <w:pPr>
        <w:pStyle w:val="ListBullet"/>
        <w:spacing w:after="60"/>
      </w:pPr>
      <w:r>
        <w:t>Groups wanting industry-specific content only</w:t>
      </w:r>
    </w:p>
    <w:p>
      <w:r>
        <w:br w:type="page"/>
      </w:r>
    </w:p>
    <w:p>
      <w:pPr>
        <w:pStyle w:val="Heading1"/>
      </w:pPr>
      <w:r>
        <w:rPr>
          <w:color w:val="1A1A2E"/>
        </w:rPr>
        <w:t>What It Would Take to Sell</w:t>
      </w:r>
    </w:p>
    <w:p>
      <w:pPr>
        <w:pStyle w:val="Heading2"/>
      </w:pPr>
      <w:r>
        <w:rPr>
          <w:color w:val="1A1A2E"/>
        </w:rPr>
        <w:t>Tier 1 — Self-Serve Individual Product ($20–50/user)</w:t>
      </w:r>
    </w:p>
    <w:p>
      <w:pPr>
        <w:pStyle w:val="ListBullet"/>
        <w:spacing w:after="60"/>
      </w:pPr>
      <w:r>
        <w:t>Add Stripe integration and paywall</w:t>
      </w:r>
    </w:p>
    <w:p>
      <w:pPr>
        <w:pStyle w:val="ListBullet"/>
        <w:spacing w:after="60"/>
      </w:pPr>
      <w:r>
        <w:rPr>
          <w:b/>
        </w:rPr>
        <w:t xml:space="preserve">Reduced scope: </w:t>
      </w:r>
      <w:r>
        <w:t>Fix security basics (HttpOnly cookies for tokens)</w:t>
      </w:r>
    </w:p>
    <w:p>
      <w:pPr>
        <w:pStyle w:val="ListBullet"/>
        <w:spacing w:after="60"/>
      </w:pPr>
      <w:r>
        <w:t>Add password reset via email</w:t>
      </w:r>
    </w:p>
    <w:p>
      <w:pPr>
        <w:pStyle w:val="ListBullet"/>
        <w:spacing w:after="60"/>
      </w:pPr>
      <w:r>
        <w:t>Replace 14 window.confirm() calls with accessible modal dialogs</w:t>
      </w:r>
    </w:p>
    <w:p>
      <w:pPr>
        <w:pStyle w:val="ListBullet"/>
        <w:spacing w:after="60"/>
      </w:pPr>
      <w:r>
        <w:t>Wire up high-contrast theme toggle</w:t>
      </w:r>
    </w:p>
    <w:p>
      <w:pPr>
        <w:pStyle w:val="ListBullet"/>
        <w:spacing w:after="60"/>
      </w:pPr>
      <w:r>
        <w:t>Polish guest-to-paid conversion funnel</w:t>
      </w:r>
    </w:p>
    <w:p>
      <w:pPr>
        <w:spacing w:after="120"/>
      </w:pPr>
      <w:r>
        <w:rPr>
          <w:b w:val="0"/>
          <w:i/>
        </w:rPr>
        <w:t>Estimated effort: 2–3 weeks (reduced from 2–4 — onboarding and upload validation already done)</w:t>
      </w:r>
    </w:p>
    <w:p>
      <w:pPr>
        <w:pStyle w:val="Heading2"/>
      </w:pPr>
      <w:r>
        <w:rPr>
          <w:color w:val="1A1A2E"/>
        </w:rPr>
        <w:t>Tier 2 — Team/SMB Product ($200–500/seat)</w:t>
      </w:r>
    </w:p>
    <w:p>
      <w:pPr>
        <w:pStyle w:val="ListBullet"/>
        <w:spacing w:after="60"/>
      </w:pPr>
      <w:r>
        <w:t>Everything in Tier 1</w:t>
      </w:r>
    </w:p>
    <w:p>
      <w:pPr>
        <w:pStyle w:val="ListBullet"/>
        <w:spacing w:after="60"/>
      </w:pPr>
      <w:r>
        <w:t>Build admin UI frontend for existing cohort API endpoints</w:t>
      </w:r>
    </w:p>
    <w:p>
      <w:pPr>
        <w:pStyle w:val="ListBullet"/>
        <w:spacing w:after="60"/>
      </w:pPr>
      <w:r>
        <w:t>Completion certificates (PDF generation)</w:t>
      </w:r>
    </w:p>
    <w:p>
      <w:pPr>
        <w:pStyle w:val="ListBullet"/>
        <w:spacing w:after="60"/>
      </w:pPr>
      <w:r>
        <w:t>Raise assessment thresholds and add quality rubrics (AI-scored or peer review)</w:t>
      </w:r>
    </w:p>
    <w:p>
      <w:pPr>
        <w:pStyle w:val="ListBullet"/>
        <w:spacing w:after="60"/>
      </w:pPr>
      <w:r>
        <w:t>Add "apply to your work" structured exercises</w:t>
      </w:r>
    </w:p>
    <w:p>
      <w:pPr>
        <w:pStyle w:val="ListBullet"/>
        <w:spacing w:after="60"/>
      </w:pPr>
      <w:r>
        <w:t>SSO/SAML for enterprise authentication</w:t>
      </w:r>
    </w:p>
    <w:p>
      <w:pPr>
        <w:spacing w:after="120"/>
      </w:pPr>
      <w:r>
        <w:rPr>
          <w:b w:val="0"/>
          <w:i/>
        </w:rPr>
        <w:t>Estimated effort: 5–8 weeks (reduced from 6–10 — admin API already built)</w:t>
      </w:r>
    </w:p>
    <w:p>
      <w:pPr>
        <w:pStyle w:val="Heading2"/>
      </w:pPr>
      <w:r>
        <w:rPr>
          <w:color w:val="1A1A2E"/>
        </w:rPr>
        <w:t>Tier 3 — Enterprise Training Platform ($1,000+/seat)</w:t>
      </w:r>
    </w:p>
    <w:p>
      <w:pPr>
        <w:pStyle w:val="ListBullet"/>
        <w:spacing w:after="60"/>
      </w:pPr>
      <w:r>
        <w:t>Everything in Tier 2</w:t>
      </w:r>
    </w:p>
    <w:p>
      <w:pPr>
        <w:pStyle w:val="ListBullet"/>
        <w:spacing w:after="60"/>
      </w:pPr>
      <w:r>
        <w:t>Facilitator guides and group discussion materials</w:t>
      </w:r>
    </w:p>
    <w:p>
      <w:pPr>
        <w:pStyle w:val="ListBullet"/>
        <w:spacing w:after="60"/>
      </w:pPr>
      <w:r>
        <w:t>Custom branding per organization</w:t>
      </w:r>
    </w:p>
    <w:p>
      <w:pPr>
        <w:pStyle w:val="ListBullet"/>
        <w:spacing w:after="60"/>
      </w:pPr>
      <w:r>
        <w:t>Industry-specific example packs</w:t>
      </w:r>
    </w:p>
    <w:p>
      <w:pPr>
        <w:pStyle w:val="ListBullet"/>
        <w:spacing w:after="60"/>
      </w:pPr>
      <w:r>
        <w:t>LMS integration (SCORM/xAPI)</w:t>
      </w:r>
    </w:p>
    <w:p>
      <w:pPr>
        <w:pStyle w:val="ListBullet"/>
        <w:spacing w:after="60"/>
      </w:pPr>
      <w:r>
        <w:t>SOC 2 compliance preparation</w:t>
      </w:r>
    </w:p>
    <w:p>
      <w:pPr>
        <w:pStyle w:val="ListBullet"/>
        <w:spacing w:after="60"/>
      </w:pPr>
      <w:r>
        <w:t>Advanced analytics and reporting dashboards</w:t>
      </w:r>
    </w:p>
    <w:p>
      <w:pPr>
        <w:spacing w:after="120"/>
      </w:pPr>
      <w:r>
        <w:rPr>
          <w:b w:val="0"/>
          <w:i/>
        </w:rPr>
        <w:t>Estimated effort: 3–6 months</w:t>
      </w:r>
    </w:p>
    <w:p>
      <w:r>
        <w:br w:type="page"/>
      </w:r>
    </w:p>
    <w:p>
      <w:pPr>
        <w:pStyle w:val="Heading1"/>
      </w:pPr>
      <w:r>
        <w:rPr>
          <w:color w:val="1A1A2E"/>
        </w:rPr>
        <w:t>Overall Scorecard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Dimension</w:t>
            </w:r>
          </w:p>
        </w:tc>
        <w:tc>
          <w:tcPr>
            <w:tcW w:type="dxa" w:w="1872"/>
          </w:tcPr>
          <w:p>
            <w:r>
              <w:rPr>
                <w:b/>
                <w:sz w:val="20"/>
              </w:rPr>
              <w:t>v1 Rating</w:t>
            </w:r>
          </w:p>
        </w:tc>
        <w:tc>
          <w:tcPr>
            <w:tcW w:type="dxa" w:w="1872"/>
          </w:tcPr>
          <w:p>
            <w:r>
              <w:rPr>
                <w:b/>
                <w:sz w:val="20"/>
              </w:rPr>
              <w:t>v2 Rating</w:t>
            </w:r>
          </w:p>
        </w:tc>
        <w:tc>
          <w:tcPr>
            <w:tcW w:type="dxa" w:w="1872"/>
          </w:tcPr>
          <w:p>
            <w:r>
              <w:rPr>
                <w:b/>
                <w:sz w:val="20"/>
              </w:rPr>
              <w:t>Change</w:t>
            </w:r>
          </w:p>
        </w:tc>
        <w:tc>
          <w:tcPr>
            <w:tcW w:type="dxa" w:w="1872"/>
          </w:tcPr>
          <w:p>
            <w:r>
              <w:rPr>
                <w:b/>
                <w:sz w:val="20"/>
              </w:rPr>
              <w:t>Notes</w:t>
            </w:r>
          </w:p>
        </w:tc>
      </w:tr>
      <w:tr>
        <w:tc>
          <w:tcPr>
            <w:tcW w:type="dxa" w:w="1872"/>
          </w:tcPr>
          <w:p>
            <w:r>
              <w:rPr>
                <w:sz w:val="20"/>
              </w:rPr>
              <w:t>Curriculum quality</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Unchanged — well-written, practical, non-generic</w:t>
            </w:r>
          </w:p>
        </w:tc>
      </w:tr>
      <w:tr>
        <w:tc>
          <w:tcPr>
            <w:tcW w:type="dxa" w:w="1872"/>
          </w:tcPr>
          <w:p>
            <w:r>
              <w:rPr>
                <w:sz w:val="20"/>
              </w:rPr>
              <w:t>Pedagogical design</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Unchanged — strong learn-practice-track cycle</w:t>
            </w:r>
          </w:p>
        </w:tc>
      </w:tr>
      <w:tr>
        <w:tc>
          <w:tcPr>
            <w:tcW w:type="dxa" w:w="1872"/>
          </w:tcPr>
          <w:p>
            <w:r>
              <w:rPr>
                <w:sz w:val="20"/>
              </w:rPr>
              <w:t>Content realism</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Unchanged — real workplace scenarios across domains</w:t>
            </w:r>
          </w:p>
        </w:tc>
      </w:tr>
      <w:tr>
        <w:tc>
          <w:tcPr>
            <w:tcW w:type="dxa" w:w="1872"/>
          </w:tcPr>
          <w:p>
            <w:r>
              <w:rPr>
                <w:sz w:val="20"/>
              </w:rPr>
              <w:t>Assessment rigor</w:t>
            </w:r>
          </w:p>
        </w:tc>
        <w:tc>
          <w:tcPr>
            <w:tcW w:type="dxa" w:w="1872"/>
          </w:tcPr>
          <w:p>
            <w:r>
              <w:rPr>
                <w:sz w:val="20"/>
              </w:rPr>
              <w:t>★★★☆☆</w:t>
            </w:r>
          </w:p>
        </w:tc>
        <w:tc>
          <w:tcPr>
            <w:tcW w:type="dxa" w:w="1872"/>
          </w:tcPr>
          <w:p>
            <w:r>
              <w:rPr>
                <w:sz w:val="20"/>
              </w:rPr>
              <w:t>★★★☆☆</w:t>
            </w:r>
          </w:p>
        </w:tc>
        <w:tc>
          <w:tcPr>
            <w:tcW w:type="dxa" w:w="1872"/>
          </w:tcPr>
          <w:p>
            <w:r>
              <w:rPr>
                <w:sz w:val="20"/>
              </w:rPr>
              <w:t>▲ slight</w:t>
            </w:r>
          </w:p>
        </w:tc>
        <w:tc>
          <w:tcPr>
            <w:tcW w:type="dxa" w:w="1872"/>
          </w:tcPr>
          <w:p>
            <w:r>
              <w:rPr>
                <w:sz w:val="20"/>
              </w:rPr>
              <w:t>4 criteria/lesson now, but still existence-based</w:t>
            </w:r>
          </w:p>
        </w:tc>
      </w:tr>
      <w:tr>
        <w:tc>
          <w:tcPr>
            <w:tcW w:type="dxa" w:w="1872"/>
          </w:tcPr>
          <w:p>
            <w:r>
              <w:rPr>
                <w:sz w:val="20"/>
              </w:rPr>
              <w:t>Enterprise readiness</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No SSO, no cohort UI, no certification</w:t>
            </w:r>
          </w:p>
        </w:tc>
      </w:tr>
      <w:tr>
        <w:tc>
          <w:tcPr>
            <w:tcW w:type="dxa" w:w="1872"/>
          </w:tcPr>
          <w:p>
            <w:r>
              <w:rPr>
                <w:sz w:val="20"/>
              </w:rPr>
              <w:t>Technical quality</w:t>
            </w:r>
          </w:p>
        </w:tc>
        <w:tc>
          <w:tcPr>
            <w:tcW w:type="dxa" w:w="1872"/>
          </w:tcPr>
          <w:p>
            <w:r>
              <w:rPr>
                <w:sz w:val="20"/>
              </w:rPr>
              <w:t>★★★★☆</w:t>
            </w:r>
          </w:p>
        </w:tc>
        <w:tc>
          <w:tcPr>
            <w:tcW w:type="dxa" w:w="1872"/>
          </w:tcPr>
          <w:p>
            <w:r>
              <w:rPr>
                <w:sz w:val="20"/>
              </w:rPr>
              <w:t>★★★★☆</w:t>
            </w:r>
          </w:p>
        </w:tc>
        <w:tc>
          <w:tcPr>
            <w:tcW w:type="dxa" w:w="1872"/>
          </w:tcPr>
          <w:p>
            <w:r>
              <w:rPr>
                <w:sz w:val="20"/>
              </w:rPr>
              <w:t>▲ slight</w:t>
            </w:r>
          </w:p>
        </w:tc>
        <w:tc>
          <w:tcPr>
            <w:tcW w:type="dxa" w:w="1872"/>
          </w:tcPr>
          <w:p>
            <w:r>
              <w:rPr>
                <w:sz w:val="20"/>
              </w:rPr>
              <w:t>Schema validation added; exception handling improved</w:t>
            </w:r>
          </w:p>
        </w:tc>
      </w:tr>
      <w:tr>
        <w:tc>
          <w:tcPr>
            <w:tcW w:type="dxa" w:w="1872"/>
          </w:tcPr>
          <w:p>
            <w:r>
              <w:rPr>
                <w:sz w:val="20"/>
              </w:rPr>
              <w:t>Security posture</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Upload validation and schema constraints added; localStorage remains</w:t>
            </w:r>
          </w:p>
        </w:tc>
      </w:tr>
      <w:tr>
        <w:tc>
          <w:tcPr>
            <w:tcW w:type="dxa" w:w="1872"/>
          </w:tcPr>
          <w:p>
            <w:r>
              <w:rPr>
                <w:sz w:val="20"/>
              </w:rPr>
              <w:t>UX/Design</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Onboarding overlay and recommended lesson path added</w:t>
            </w:r>
          </w:p>
        </w:tc>
      </w:tr>
      <w:tr>
        <w:tc>
          <w:tcPr>
            <w:tcW w:type="dxa" w:w="1872"/>
          </w:tcPr>
          <w:p>
            <w:r>
              <w:rPr>
                <w:sz w:val="20"/>
              </w:rPr>
              <w:t>Mobile experience</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Unchanged — thoughtful responsive design</w:t>
            </w:r>
          </w:p>
        </w:tc>
      </w:tr>
      <w:tr>
        <w:tc>
          <w:tcPr>
            <w:tcW w:type="dxa" w:w="1872"/>
          </w:tcPr>
          <w:p>
            <w:r>
              <w:rPr>
                <w:sz w:val="20"/>
              </w:rPr>
              <w:t>Accessibility</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Focus trapping, lang attr added; confirm() dialogs remain</w:t>
            </w:r>
          </w:p>
        </w:tc>
      </w:tr>
      <w:tr>
        <w:tc>
          <w:tcPr>
            <w:tcW w:type="dxa" w:w="1872"/>
          </w:tcPr>
          <w:p>
            <w:r>
              <w:rPr>
                <w:sz w:val="20"/>
              </w:rPr>
              <w:t>Test coverage</w:t>
            </w:r>
          </w:p>
        </w:tc>
        <w:tc>
          <w:tcPr>
            <w:tcW w:type="dxa" w:w="1872"/>
          </w:tcPr>
          <w:p>
            <w:r>
              <w:rPr>
                <w:sz w:val="20"/>
              </w:rPr>
              <w:t>★★☆☆☆</w:t>
            </w:r>
          </w:p>
        </w:tc>
        <w:tc>
          <w:tcPr>
            <w:tcW w:type="dxa" w:w="1872"/>
          </w:tcPr>
          <w:p>
            <w:r>
              <w:rPr>
                <w:sz w:val="20"/>
              </w:rPr>
              <w:t>★★☆☆☆</w:t>
            </w:r>
          </w:p>
        </w:tc>
        <w:tc>
          <w:tcPr>
            <w:tcW w:type="dxa" w:w="1872"/>
          </w:tcPr>
          <w:p>
            <w:r>
              <w:rPr>
                <w:sz w:val="20"/>
              </w:rPr>
              <w:t>▲ slight</w:t>
            </w:r>
          </w:p>
        </w:tc>
        <w:tc>
          <w:tcPr>
            <w:tcW w:type="dxa" w:w="1872"/>
          </w:tcPr>
          <w:p>
            <w:r>
              <w:rPr>
                <w:sz w:val="20"/>
              </w:rPr>
              <w:t>18 test files, all 12 lessons covered; ~30–40% estimated</w:t>
            </w:r>
          </w:p>
        </w:tc>
      </w:tr>
      <w:tr>
        <w:tc>
          <w:tcPr>
            <w:tcW w:type="dxa" w:w="1872"/>
          </w:tcPr>
          <w:p>
            <w:r>
              <w:rPr>
                <w:sz w:val="20"/>
              </w:rPr>
              <w:t>Commercial readiness</w:t>
            </w:r>
          </w:p>
        </w:tc>
        <w:tc>
          <w:tcPr>
            <w:tcW w:type="dxa" w:w="1872"/>
          </w:tcPr>
          <w:p>
            <w:r>
              <w:rPr>
                <w:sz w:val="20"/>
              </w:rPr>
              <w:t>★★☆☆☆</w:t>
            </w:r>
          </w:p>
        </w:tc>
        <w:tc>
          <w:tcPr>
            <w:tcW w:type="dxa" w:w="1872"/>
          </w:tcPr>
          <w:p>
            <w:r>
              <w:rPr>
                <w:sz w:val="20"/>
              </w:rPr>
              <w:t>★★☆☆☆</w:t>
            </w:r>
          </w:p>
        </w:tc>
        <w:tc>
          <w:tcPr>
            <w:tcW w:type="dxa" w:w="1872"/>
          </w:tcPr>
          <w:p>
            <w:r>
              <w:rPr>
                <w:sz w:val="20"/>
              </w:rPr>
              <w:t>▲ slight</w:t>
            </w:r>
          </w:p>
        </w:tc>
        <w:tc>
          <w:tcPr>
            <w:tcW w:type="dxa" w:w="1872"/>
          </w:tcPr>
          <w:p>
            <w:r>
              <w:rPr>
                <w:sz w:val="20"/>
              </w:rPr>
              <w:t>Onboarding done; payments and certs still missing</w:t>
            </w:r>
          </w:p>
        </w:tc>
      </w:tr>
    </w:tbl>
    <w:p/>
    <w:p>
      <w:pPr>
        <w:spacing w:after="120"/>
      </w:pPr>
      <w:r>
        <w:rPr>
          <w:b w:val="0"/>
          <w:i/>
        </w:rPr>
        <w:t>No dimension dropped. Five dimensions showed incremental improvement. None crossed a full star threshold — the hardening sprint fixed real issues but the commercial blockers (payments, SSO, certification) remain untouched.</w:t>
      </w:r>
    </w:p>
    <w:p>
      <w:r>
        <w:br w:type="page"/>
      </w:r>
    </w:p>
    <w:p>
      <w:pPr>
        <w:pStyle w:val="Heading1"/>
      </w:pPr>
      <w:r>
        <w:rPr>
          <w:color w:val="1A1A2E"/>
        </w:rPr>
        <w:t>Corrections to the v1 Review</w:t>
      </w:r>
    </w:p>
    <w:p>
      <w:pPr>
        <w:spacing w:after="120"/>
      </w:pPr>
      <w:r>
        <w:rPr>
          <w:b w:val="0"/>
          <w:i w:val="0"/>
        </w:rPr>
        <w:t>The independent audit identified several inaccuracies in the original review document. These are corrected here for the record.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v1 Claim</w:t>
            </w:r>
          </w:p>
        </w:tc>
        <w:tc>
          <w:tcPr>
            <w:tcW w:type="dxa" w:w="3120"/>
          </w:tcPr>
          <w:p>
            <w:r>
              <w:rPr>
                <w:b/>
                <w:sz w:val="20"/>
              </w:rPr>
              <w:t>Actual Finding</w:t>
            </w:r>
          </w:p>
        </w:tc>
        <w:tc>
          <w:tcPr>
            <w:tcW w:type="dxa" w:w="3120"/>
          </w:tcPr>
          <w:p>
            <w:r>
              <w:rPr>
                <w:b/>
                <w:sz w:val="20"/>
              </w:rPr>
              <w:t>Severity</w:t>
            </w:r>
          </w:p>
        </w:tc>
      </w:tr>
      <w:tr>
        <w:tc>
          <w:tcPr>
            <w:tcW w:type="dxa" w:w="3120"/>
          </w:tcPr>
          <w:p>
            <w:r>
              <w:rPr>
                <w:sz w:val="20"/>
              </w:rPr>
              <w:t>"Lesson 11 feels thinner than the others"</w:t>
            </w:r>
          </w:p>
        </w:tc>
        <w:tc>
          <w:tcPr>
            <w:tcW w:type="dxa" w:w="3120"/>
          </w:tcPr>
          <w:p>
            <w:r>
              <w:rPr>
                <w:sz w:val="20"/>
              </w:rPr>
              <w:t>Lesson 11 has a 682-line backend (3rd largest of all lessons), extensive Learn tab content, full CRUD with statistics endpoint, and comparable scope to Lessons 3 and 5. This claim is inaccurate.</w:t>
            </w:r>
          </w:p>
        </w:tc>
        <w:tc>
          <w:tcPr>
            <w:tcW w:type="dxa" w:w="3120"/>
          </w:tcPr>
          <w:p>
            <w:r>
              <w:rPr>
                <w:sz w:val="20"/>
              </w:rPr>
              <w:t>Moderate — unfairly undersells a solid lesson</w:t>
            </w:r>
          </w:p>
        </w:tc>
      </w:tr>
      <w:tr>
        <w:tc>
          <w:tcPr>
            <w:tcW w:type="dxa" w:w="3120"/>
          </w:tcPr>
          <w:p>
            <w:r>
              <w:rPr>
                <w:sz w:val="20"/>
              </w:rPr>
              <w:t>"400+ CSS custom properties"</w:t>
            </w:r>
          </w:p>
        </w:tc>
        <w:tc>
          <w:tcPr>
            <w:tcW w:type="dxa" w:w="3120"/>
          </w:tcPr>
          <w:p>
            <w:r>
              <w:rPr>
                <w:sz w:val="20"/>
              </w:rPr>
              <w:t>Approximately 70 unique CSS variables, ~210 total declarations across 3 theme blocks (light, dark, high-contrast). Well short of 400+.</w:t>
            </w:r>
          </w:p>
        </w:tc>
        <w:tc>
          <w:tcPr>
            <w:tcW w:type="dxa" w:w="3120"/>
          </w:tcPr>
          <w:p>
            <w:r>
              <w:rPr>
                <w:sz w:val="20"/>
              </w:rPr>
              <w:t>Minor — factual overcount</w:t>
            </w:r>
          </w:p>
        </w:tc>
      </w:tr>
      <w:tr>
        <w:tc>
          <w:tcPr>
            <w:tcW w:type="dxa" w:w="3120"/>
          </w:tcPr>
          <w:p>
            <w:r>
              <w:rPr>
                <w:sz w:val="20"/>
              </w:rPr>
              <w:t>"Some inputs use placeholder as label"</w:t>
            </w:r>
          </w:p>
        </w:tc>
        <w:tc>
          <w:tcPr>
            <w:tcW w:type="dxa" w:w="3120"/>
          </w:tcPr>
          <w:p>
            <w:r>
              <w:rPr>
                <w:sz w:val="20"/>
              </w:rPr>
              <w:t>All form inputs across the application use proper &lt;label&gt; elements with htmlFor attributes. Placeholders are used as supplementary hints only.</w:t>
            </w:r>
          </w:p>
        </w:tc>
        <w:tc>
          <w:tcPr>
            <w:tcW w:type="dxa" w:w="3120"/>
          </w:tcPr>
          <w:p>
            <w:r>
              <w:rPr>
                <w:sz w:val="20"/>
              </w:rPr>
              <w:t>Minor — issue does not exist</w:t>
            </w:r>
          </w:p>
        </w:tc>
      </w:tr>
      <w:tr>
        <w:tc>
          <w:tcPr>
            <w:tcW w:type="dxa" w:w="3120"/>
          </w:tcPr>
          <w:p>
            <w:r>
              <w:rPr>
                <w:sz w:val="20"/>
              </w:rPr>
              <w:t>"No lang attribute on HTML"</w:t>
            </w:r>
          </w:p>
        </w:tc>
        <w:tc>
          <w:tcPr>
            <w:tcW w:type="dxa" w:w="3120"/>
          </w:tcPr>
          <w:p>
            <w:r>
              <w:rPr>
                <w:sz w:val="20"/>
              </w:rPr>
              <w:t>index.html has lang="en" on the &lt;html&gt; element.</w:t>
            </w:r>
          </w:p>
        </w:tc>
        <w:tc>
          <w:tcPr>
            <w:tcW w:type="dxa" w:w="3120"/>
          </w:tcPr>
          <w:p>
            <w:r>
              <w:rPr>
                <w:sz w:val="20"/>
              </w:rPr>
              <w:t>Minor — was already fixed or never missing</w:t>
            </w:r>
          </w:p>
        </w:tc>
      </w:tr>
      <w:tr>
        <w:tc>
          <w:tcPr>
            <w:tcW w:type="dxa" w:w="3120"/>
          </w:tcPr>
          <w:p>
            <w:r>
              <w:rPr>
                <w:sz w:val="20"/>
              </w:rPr>
              <w:t>"No organizational features"</w:t>
            </w:r>
          </w:p>
        </w:tc>
        <w:tc>
          <w:tcPr>
            <w:tcW w:type="dxa" w:w="3120"/>
          </w:tcPr>
          <w:p>
            <w:r>
              <w:rPr>
                <w:sz w:val="20"/>
              </w:rPr>
              <w:t>Admin backend has full cohort management API (create, update, member management, basic stats) plus A/B experiment infrastructure. The gap is no admin UI, not no backend.</w:t>
            </w:r>
          </w:p>
        </w:tc>
        <w:tc>
          <w:tcPr>
            <w:tcW w:type="dxa" w:w="3120"/>
          </w:tcPr>
          <w:p>
            <w:r>
              <w:rPr>
                <w:sz w:val="20"/>
              </w:rPr>
              <w:t>Moderate — understates existing infrastructure</w:t>
            </w:r>
          </w:p>
        </w:tc>
      </w:tr>
    </w:tbl>
    <w:p/>
    <w:p>
      <w:r>
        <w:br w:type="page"/>
      </w:r>
    </w:p>
    <w:p>
      <w:pPr>
        <w:pStyle w:val="Heading1"/>
      </w:pPr>
      <w:r>
        <w:rPr>
          <w:color w:val="1A1A2E"/>
        </w:rPr>
        <w:t>Bottom Line</w:t>
      </w:r>
    </w:p>
    <w:p>
      <w:pPr>
        <w:spacing w:after="240"/>
      </w:pPr>
      <w:r>
        <w:rPr>
          <w:b w:val="0"/>
          <w:i w:val="0"/>
        </w:rPr>
        <w:t>The platform-hardening sprint closed real gaps: input validation across all schemas, accessibility improvements on the mobile sidebar, proper exception handling in auth, and a genuine onboarding flow. These are meaningful improvements, not cosmetic.</w:t>
      </w:r>
    </w:p>
    <w:p>
      <w:pPr>
        <w:spacing w:after="240"/>
      </w:pPr>
      <w:r>
        <w:rPr>
          <w:b w:val="0"/>
          <w:i w:val="0"/>
        </w:rPr>
        <w:t>However, the commercial blockers identified in v1 remain. No payment system. No certification. No SSO. Assessment thresholds are still trivially low. These are the same gaps that separate "good side project" from "sellable product."</w:t>
      </w:r>
    </w:p>
    <w:p>
      <w:pPr>
        <w:spacing w:after="240"/>
      </w:pPr>
      <w:r>
        <w:rPr>
          <w:b w:val="0"/>
          <w:i w:val="0"/>
        </w:rPr>
        <w:t>The shortest path to revenue is still Tier 1 (self-serve individual at $20–50/user), now estimated at 2–3 weeks instead of 2–4. The core educational product remains the strongest asset — genuinely better than most AI training available today. The curriculum teaches real, practical skills that non-technical knowledge workers actually need.</w:t>
      </w:r>
    </w:p>
    <w:p>
      <w:pPr>
        <w:spacing w:after="240"/>
      </w:pPr>
      <w:r>
        <w:rPr>
          <w:b w:val="0"/>
          <w:i w:val="0"/>
        </w:rPr>
        <w:t>The strategic question is unchanged: sell it as a $30 self-paced course now, or invest in the enterprise features that unlock $500/seat pricing. The hardening sprint moved the needle on quality and security, but the revenue infrastructure still needs to be built.</w:t>
      </w:r>
    </w:p>
    <w:p>
      <w:pPr>
        <w:spacing w:before="120" w:after="120"/>
      </w:pPr>
      <w:r>
        <w:rPr>
          <w:color w:val="CCCCCC"/>
          <w:sz w:val="16"/>
        </w:rPr>
        <w:t>────────────────────────────────────────────────────────────</w:t>
      </w:r>
    </w:p>
    <w:p>
      <w:pPr>
        <w:jc w:val="center"/>
      </w:pPr>
      <w:r>
        <w:rPr>
          <w:i/>
          <w:color w:val="999999"/>
          <w:sz w:val="18"/>
        </w:rPr>
        <w:t>Generated from comprehensive codebase audit — February 2026 — Revision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