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34577" w14:textId="77777777" w:rsidR="004E458C" w:rsidRDefault="00000000">
      <w:pPr>
        <w:spacing w:before="2400"/>
        <w:jc w:val="center"/>
      </w:pPr>
      <w:proofErr w:type="spellStart"/>
      <w:r>
        <w:rPr>
          <w:b/>
          <w:bCs/>
          <w:color w:val="0D9488"/>
          <w:sz w:val="96"/>
          <w:szCs w:val="96"/>
        </w:rPr>
        <w:t>DosisPed</w:t>
      </w:r>
      <w:proofErr w:type="spellEnd"/>
    </w:p>
    <w:p w14:paraId="4DCCB222" w14:textId="77777777" w:rsidR="004E458C" w:rsidRDefault="00000000">
      <w:pPr>
        <w:spacing w:after="100"/>
        <w:jc w:val="center"/>
      </w:pPr>
      <w:r>
        <w:rPr>
          <w:b/>
          <w:bCs/>
          <w:color w:val="BE185D"/>
          <w:sz w:val="36"/>
          <w:szCs w:val="36"/>
        </w:rPr>
        <w:t>Manual de uso</w:t>
      </w:r>
    </w:p>
    <w:p w14:paraId="40DA9C44" w14:textId="6BC110C9" w:rsidR="004E458C" w:rsidRDefault="00D86A63">
      <w:pPr>
        <w:spacing w:after="1800"/>
        <w:jc w:val="center"/>
        <w:rPr>
          <w:i/>
          <w:iCs/>
          <w:color w:val="4B5563"/>
          <w:sz w:val="24"/>
          <w:szCs w:val="24"/>
        </w:rPr>
      </w:pPr>
      <w:r w:rsidRPr="00FD1595">
        <w:rPr>
          <w:i/>
          <w:iCs/>
          <w:noProof/>
          <w:color w:val="4B5563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361737CE" wp14:editId="11F58032">
            <wp:simplePos x="0" y="0"/>
            <wp:positionH relativeFrom="column">
              <wp:posOffset>1752600</wp:posOffset>
            </wp:positionH>
            <wp:positionV relativeFrom="paragraph">
              <wp:posOffset>732790</wp:posOffset>
            </wp:positionV>
            <wp:extent cx="2457450" cy="1038225"/>
            <wp:effectExtent l="76200" t="38100" r="76200" b="123825"/>
            <wp:wrapTight wrapText="bothSides">
              <wp:wrapPolygon edited="0">
                <wp:start x="-502" y="-793"/>
                <wp:lineTo x="-670" y="-396"/>
                <wp:lineTo x="-670" y="22987"/>
                <wp:lineTo x="-335" y="23780"/>
                <wp:lineTo x="21767" y="23780"/>
                <wp:lineTo x="22102" y="19024"/>
                <wp:lineTo x="22102" y="5945"/>
                <wp:lineTo x="21935" y="0"/>
                <wp:lineTo x="21935" y="-793"/>
                <wp:lineTo x="-502" y="-793"/>
              </wp:wrapPolygon>
            </wp:wrapTight>
            <wp:docPr id="1814341512" name="Imagen 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41512" name="Imagen 1" descr="Interfaz de usuario gráfica, Texto, Aplicación, Chat o mensaje de texto&#10;&#10;Descripción generada automáticamente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41" t="3521" r="18797" b="19718"/>
                    <a:stretch/>
                  </pic:blipFill>
                  <pic:spPr bwMode="auto">
                    <a:xfrm>
                      <a:off x="0" y="0"/>
                      <a:ext cx="2457450" cy="10382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/>
          <w:iCs/>
          <w:color w:val="4B5563"/>
          <w:sz w:val="24"/>
          <w:szCs w:val="24"/>
        </w:rPr>
        <w:t>Calculadora pediátrica de dosis y perfusiones</w:t>
      </w:r>
    </w:p>
    <w:p w14:paraId="539767E3" w14:textId="11AE6E10" w:rsidR="00D86A63" w:rsidRDefault="00D86A63">
      <w:pPr>
        <w:spacing w:after="1800"/>
        <w:jc w:val="center"/>
      </w:pPr>
    </w:p>
    <w:p w14:paraId="1DA9B559" w14:textId="77777777" w:rsidR="004E458C" w:rsidRDefault="00000000">
      <w:pPr>
        <w:spacing w:after="80"/>
        <w:jc w:val="center"/>
      </w:pPr>
      <w:r>
        <w:rPr>
          <w:color w:val="4B5563"/>
        </w:rPr>
        <w:t>Versión 0.1</w:t>
      </w:r>
    </w:p>
    <w:p w14:paraId="129EC63E" w14:textId="77777777" w:rsidR="004E458C" w:rsidRDefault="00000000">
      <w:pPr>
        <w:spacing w:after="80"/>
        <w:jc w:val="center"/>
      </w:pPr>
      <w:r>
        <w:rPr>
          <w:b/>
          <w:bCs/>
          <w:sz w:val="24"/>
          <w:szCs w:val="24"/>
        </w:rPr>
        <w:t>Carlos J. Galán Doval</w:t>
      </w:r>
    </w:p>
    <w:p w14:paraId="44E66112" w14:textId="77777777" w:rsidR="004E458C" w:rsidRDefault="004E458C">
      <w:pPr>
        <w:spacing w:after="100"/>
        <w:jc w:val="center"/>
      </w:pPr>
      <w:hyperlink r:id="rId8" w:history="1">
        <w:r>
          <w:rPr>
            <w:color w:val="0D9488"/>
            <w:sz w:val="20"/>
            <w:szCs w:val="20"/>
            <w:u w:val="single"/>
          </w:rPr>
          <w:t>cjgaland.github.io/</w:t>
        </w:r>
        <w:proofErr w:type="spellStart"/>
        <w:r>
          <w:rPr>
            <w:color w:val="0D9488"/>
            <w:sz w:val="20"/>
            <w:szCs w:val="20"/>
            <w:u w:val="single"/>
          </w:rPr>
          <w:t>DosisPed</w:t>
        </w:r>
        <w:proofErr w:type="spellEnd"/>
      </w:hyperlink>
    </w:p>
    <w:p w14:paraId="5526CD46" w14:textId="77777777" w:rsidR="004E458C" w:rsidRDefault="00000000">
      <w:r>
        <w:br w:type="page"/>
      </w:r>
    </w:p>
    <w:p w14:paraId="4C9DD92F" w14:textId="77777777" w:rsidR="004E458C" w:rsidRDefault="00000000">
      <w:pPr>
        <w:pStyle w:val="Ttulo1"/>
      </w:pPr>
      <w:r>
        <w:lastRenderedPageBreak/>
        <w:t>Contenido</w:t>
      </w:r>
    </w:p>
    <w:p w14:paraId="5EA1C95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1. ¿Qué es </w:t>
      </w:r>
      <w:proofErr w:type="spellStart"/>
      <w:r>
        <w:t>DosisPed</w:t>
      </w:r>
      <w:proofErr w:type="spellEnd"/>
      <w:r>
        <w:t>?</w:t>
      </w:r>
    </w:p>
    <w:p w14:paraId="7FB63D0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2. Aviso importante y uso responsable</w:t>
      </w:r>
    </w:p>
    <w:p w14:paraId="0D507D1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3. Primer arranque y vista general</w:t>
      </w:r>
    </w:p>
    <w:p w14:paraId="63DB370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4. Introducir los datos del paciente</w:t>
      </w:r>
    </w:p>
    <w:p w14:paraId="6BDA6A9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5. Modo neonato</w:t>
      </w:r>
    </w:p>
    <w:p w14:paraId="35392B4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6. Buscar y seleccionar un fármaco</w:t>
      </w:r>
    </w:p>
    <w:p w14:paraId="6D3D403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7. Los cuatro modos de administración</w:t>
      </w:r>
    </w:p>
    <w:p w14:paraId="61D4810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8. Modo intermitente (dosis por toma)</w:t>
      </w:r>
    </w:p>
    <w:p w14:paraId="3065B7B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9. Modo perfusión continua (UCIP)</w:t>
      </w:r>
    </w:p>
    <w:p w14:paraId="4946A63A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10. Modo carga + mantenimiento</w:t>
      </w:r>
    </w:p>
    <w:p w14:paraId="3663CD5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11. Modo dosis puntual</w:t>
      </w:r>
    </w:p>
    <w:p w14:paraId="2DCA883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12. Preparados comerciales y volumen del jarabe</w:t>
      </w:r>
    </w:p>
    <w:p w14:paraId="4DD92DA7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13. Topes de dosis máxima</w:t>
      </w:r>
    </w:p>
    <w:p w14:paraId="1FB940E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14. Slider de seguridad (perfusión)</w:t>
      </w:r>
    </w:p>
    <w:p w14:paraId="20FC951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15. Slider de ajuste fino (intermitente)</w:t>
      </w:r>
    </w:p>
    <w:p w14:paraId="14F0A11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16. Información clínica de cada fármaco</w:t>
      </w:r>
    </w:p>
    <w:p w14:paraId="6E61EF36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17. Vista paciente: prescripción multi-fármaco</w:t>
      </w:r>
    </w:p>
    <w:p w14:paraId="3E22D95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18. Imprimir y compartir la prescripción</w:t>
      </w:r>
    </w:p>
    <w:p w14:paraId="59F98A3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19. Historial de la sesión y favoritos</w:t>
      </w:r>
    </w:p>
    <w:p w14:paraId="553954F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20. Modo claro/oscuro y diseño responsive</w:t>
      </w:r>
    </w:p>
    <w:p w14:paraId="137DB63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21. Instalar </w:t>
      </w:r>
      <w:proofErr w:type="spellStart"/>
      <w:r>
        <w:t>DosisPed</w:t>
      </w:r>
      <w:proofErr w:type="spellEnd"/>
      <w:r>
        <w:t xml:space="preserve"> como </w:t>
      </w:r>
      <w:proofErr w:type="gramStart"/>
      <w:r>
        <w:t>app</w:t>
      </w:r>
      <w:proofErr w:type="gramEnd"/>
      <w:r>
        <w:t xml:space="preserve"> (PWA)</w:t>
      </w:r>
    </w:p>
    <w:p w14:paraId="58C51D9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22. Funcionamiento offline</w:t>
      </w:r>
    </w:p>
    <w:p w14:paraId="1D0C5AF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23. Fuentes consultadas</w:t>
      </w:r>
    </w:p>
    <w:p w14:paraId="7E0A389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24. Preguntas frecuentes</w:t>
      </w:r>
    </w:p>
    <w:p w14:paraId="69295BD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25. Contacto y soporte</w:t>
      </w:r>
    </w:p>
    <w:p w14:paraId="72B5D585" w14:textId="77777777" w:rsidR="004E458C" w:rsidRDefault="00000000">
      <w:r>
        <w:br w:type="page"/>
      </w:r>
    </w:p>
    <w:p w14:paraId="44CD3DE9" w14:textId="77777777" w:rsidR="004E458C" w:rsidRDefault="00000000">
      <w:pPr>
        <w:pStyle w:val="Ttulo1"/>
      </w:pPr>
      <w:r>
        <w:lastRenderedPageBreak/>
        <w:t xml:space="preserve">1. ¿Qué es </w:t>
      </w:r>
      <w:proofErr w:type="spellStart"/>
      <w:r>
        <w:t>DosisPed</w:t>
      </w:r>
      <w:proofErr w:type="spellEnd"/>
      <w:r>
        <w:t>?</w:t>
      </w:r>
    </w:p>
    <w:p w14:paraId="10CCF162" w14:textId="77777777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es una calculadora clínica pediátrica diseñada para profesionales sanitarios. Permite calcular con rapidez y precisión las dosis y volúmenes de los fármacos más utilizados en pediatría española, tanto en su forma oral como intravenosa, intramuscular, rectal, nebulizada o subcutánea, y los ritmos de perfusión continua propios de la UCI pediátrica.</w:t>
      </w:r>
    </w:p>
    <w:p w14:paraId="2154F8FF" w14:textId="77777777" w:rsidR="004E458C" w:rsidRDefault="00000000">
      <w:pPr>
        <w:spacing w:after="100" w:line="280" w:lineRule="auto"/>
      </w:pPr>
      <w:r>
        <w:t>Está pensada para uso a pie de cama en los siguientes contextos:</w:t>
      </w:r>
    </w:p>
    <w:p w14:paraId="53E1118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Urgencias pediátricas (oral, rectal, IV intermitente, nebulizado)</w:t>
      </w:r>
    </w:p>
    <w:p w14:paraId="7C6B099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Planta de hospitalización pediátrica</w:t>
      </w:r>
    </w:p>
    <w:p w14:paraId="315AD41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UCI pediátrica (perfusiones continuas, vasoactivos, </w:t>
      </w:r>
      <w:proofErr w:type="spellStart"/>
      <w:r>
        <w:t>sedoanalgesia</w:t>
      </w:r>
      <w:proofErr w:type="spellEnd"/>
      <w:r>
        <w:t>)</w:t>
      </w:r>
    </w:p>
    <w:p w14:paraId="04887804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Neonatología (con módulo específico por edad gestacional y postnatal)</w:t>
      </w:r>
    </w:p>
    <w:p w14:paraId="0270E14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Consultas externas de pediatría</w:t>
      </w:r>
    </w:p>
    <w:p w14:paraId="3F7E7678" w14:textId="77777777" w:rsidR="004E458C" w:rsidRDefault="00000000">
      <w:pPr>
        <w:spacing w:before="100" w:after="100" w:line="280" w:lineRule="auto"/>
      </w:pPr>
      <w:r>
        <w:t>Incluye actualmente 91 fármacos, todos validados según las fuentes pediátricas españolas de referencia, con sus presentaciones comerciales habituales en España, sus rangos de dosificación, sus topes de seguridad y su información clínica esencial.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E04365F" w14:textId="77777777"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193BD19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En resumen</w:t>
            </w:r>
          </w:p>
          <w:p w14:paraId="4BCA6151" w14:textId="77777777" w:rsidR="004E458C" w:rsidRDefault="00000000">
            <w:pPr>
              <w:spacing w:after="60" w:line="280" w:lineRule="auto"/>
            </w:pPr>
            <w:proofErr w:type="spellStart"/>
            <w:r>
              <w:t>DosisPed</w:t>
            </w:r>
            <w:proofErr w:type="spellEnd"/>
            <w:r>
              <w:t xml:space="preserve"> responde a las preguntas que un pediatra se hace varias veces al día: ¿cuántos mg le toca al niño? ¿cuántos ml de jarabe? ¿con qué frecuencia? ¿a qué ritmo de bomba? ¿qué dosis de carga? Todo en un par de toques y con la información clínica clave (indicaciones, precauciones, contraindicaciones) al alcance.</w:t>
            </w:r>
          </w:p>
        </w:tc>
      </w:tr>
    </w:tbl>
    <w:p w14:paraId="72A69B19" w14:textId="77777777" w:rsidR="004E458C" w:rsidRDefault="00000000">
      <w:pPr>
        <w:pStyle w:val="Ttulo1"/>
      </w:pPr>
      <w:r>
        <w:t>2. Aviso importante y uso responsable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9CB8896" w14:textId="77777777">
        <w:tc>
          <w:tcPr>
            <w:tcW w:w="9360" w:type="dxa"/>
            <w:tcBorders>
              <w:top w:val="single" w:sz="6" w:space="0" w:color="B91C1C"/>
              <w:left w:val="single" w:sz="18" w:space="0" w:color="B91C1C"/>
              <w:bottom w:val="single" w:sz="6" w:space="0" w:color="B91C1C"/>
              <w:right w:val="single" w:sz="6" w:space="0" w:color="B91C1C"/>
            </w:tcBorders>
            <w:shd w:val="clear" w:color="auto" w:fill="FEE2E2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C98FDF2" w14:textId="77777777" w:rsidR="004E458C" w:rsidRDefault="00000000">
            <w:pPr>
              <w:spacing w:after="100"/>
            </w:pPr>
            <w:r>
              <w:rPr>
                <w:b/>
                <w:bCs/>
                <w:color w:val="B91C1C"/>
                <w:sz w:val="24"/>
                <w:szCs w:val="24"/>
              </w:rPr>
              <w:t xml:space="preserve">⚠ </w:t>
            </w:r>
            <w:proofErr w:type="spellStart"/>
            <w:r>
              <w:rPr>
                <w:b/>
                <w:bCs/>
                <w:color w:val="B91C1C"/>
                <w:sz w:val="24"/>
                <w:szCs w:val="24"/>
              </w:rPr>
              <w:t>DosisPed</w:t>
            </w:r>
            <w:proofErr w:type="spellEnd"/>
            <w:r>
              <w:rPr>
                <w:b/>
                <w:bCs/>
                <w:color w:val="B91C1C"/>
                <w:sz w:val="24"/>
                <w:szCs w:val="24"/>
              </w:rPr>
              <w:t xml:space="preserve"> es una herramienta de apoyo, no de decisión</w:t>
            </w:r>
          </w:p>
          <w:p w14:paraId="14533476" w14:textId="77777777" w:rsidR="004E458C" w:rsidRDefault="00000000">
            <w:pPr>
              <w:spacing w:after="100" w:line="280" w:lineRule="auto"/>
            </w:pPr>
            <w:r>
              <w:t xml:space="preserve">El usuario, profesional sanitario cualificado, </w:t>
            </w:r>
            <w:r>
              <w:rPr>
                <w:b/>
                <w:bCs/>
              </w:rPr>
              <w:t xml:space="preserve">asume la responsabilidad última </w:t>
            </w:r>
            <w:r>
              <w:t>de las decisiones clínicas. La aplicación no sustituye al juicio clínico, ni a la lectura de la ficha técnica, ni a los protocolos locales del centro.</w:t>
            </w:r>
          </w:p>
          <w:p w14:paraId="57105CF8" w14:textId="77777777" w:rsidR="004E458C" w:rsidRDefault="00000000">
            <w:pPr>
              <w:spacing w:after="100" w:line="280" w:lineRule="auto"/>
            </w:pPr>
            <w:r>
              <w:t xml:space="preserve">Las dosis aquí mostradas son </w:t>
            </w:r>
            <w:r>
              <w:rPr>
                <w:b/>
                <w:bCs/>
              </w:rPr>
              <w:t>orientativas</w:t>
            </w:r>
            <w:r>
              <w:t>, pueden contener errores y deben verificarse siempre antes de su aplicación. La situación clínica individual del paciente (función renal, hepática, alergias, interacciones, peso real vs. ideal, edad gestacional, etc.) puede modificar la dosis adecuada.</w:t>
            </w:r>
          </w:p>
        </w:tc>
      </w:tr>
    </w:tbl>
    <w:p w14:paraId="0043AAF4" w14:textId="77777777" w:rsidR="004E458C" w:rsidRDefault="00000000">
      <w:pPr>
        <w:pStyle w:val="Ttulo2"/>
      </w:pPr>
      <w:r>
        <w:t>Uso racional del medicamento</w:t>
      </w:r>
    </w:p>
    <w:p w14:paraId="3F01F88E" w14:textId="77777777" w:rsidR="004E458C" w:rsidRDefault="00000000">
      <w:pPr>
        <w:spacing w:after="100" w:line="280" w:lineRule="auto"/>
      </w:pPr>
      <w:r>
        <w:t>Antes de prescribir, considera siempre:</w:t>
      </w:r>
    </w:p>
    <w:p w14:paraId="49A935F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Si el fármaco está realmente indicado y si existen alternativas no farmacológicas.</w:t>
      </w:r>
    </w:p>
    <w:p w14:paraId="7B88B09A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lastRenderedPageBreak/>
        <w:t>En antibioterapia, el espectro más estrecho posible, ajuste tras antibiograma, y la duración mínima eficaz.</w:t>
      </w:r>
    </w:p>
    <w:p w14:paraId="45EBFCA8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En analgesia, escala según intensidad real del dolor; paracetamol e ibuprofeno son primera línea en la mayoría de </w:t>
      </w:r>
      <w:proofErr w:type="gramStart"/>
      <w:r>
        <w:t>casos</w:t>
      </w:r>
      <w:proofErr w:type="gramEnd"/>
      <w:r>
        <w:t>.</w:t>
      </w:r>
    </w:p>
    <w:p w14:paraId="0948847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Revisa interacciones, alergias documentadas y posibles efectos adversos.</w:t>
      </w:r>
    </w:p>
    <w:p w14:paraId="3E0F5F84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En neonatos y prematuros, verifica siempre la edad gestacional y postnatal antes de elegir la dosis.</w:t>
      </w:r>
    </w:p>
    <w:p w14:paraId="6ED015F4" w14:textId="77777777" w:rsidR="004E458C" w:rsidRDefault="00000000">
      <w:pPr>
        <w:spacing w:before="100" w:after="100" w:line="280" w:lineRule="auto"/>
      </w:pPr>
      <w:r>
        <w:t xml:space="preserve">Al primer arranque de </w:t>
      </w:r>
      <w:proofErr w:type="spellStart"/>
      <w:r>
        <w:t>DosisPed</w:t>
      </w:r>
      <w:proofErr w:type="spellEnd"/>
      <w:r>
        <w:t xml:space="preserve"> se muestra una ventana de bienvenida con este aviso. Puedes elegir no mostrarla en futuros arranques, pero todo el aviso legal está siempre disponible pulsando el botón ⓘ del cabecero.</w:t>
      </w:r>
    </w:p>
    <w:p w14:paraId="3FE72B06" w14:textId="77777777" w:rsidR="004E458C" w:rsidRDefault="00000000">
      <w:pPr>
        <w:pStyle w:val="Ttulo1"/>
      </w:pPr>
      <w:r>
        <w:t>3. Primer arranque y vista general</w:t>
      </w:r>
    </w:p>
    <w:p w14:paraId="226A68E9" w14:textId="77777777" w:rsidR="004E458C" w:rsidRDefault="00000000">
      <w:pPr>
        <w:spacing w:after="100" w:line="280" w:lineRule="auto"/>
      </w:pPr>
      <w:r>
        <w:t xml:space="preserve">Al abrir </w:t>
      </w:r>
      <w:proofErr w:type="spellStart"/>
      <w:r>
        <w:t>DosisPed</w:t>
      </w:r>
      <w:proofErr w:type="spellEnd"/>
      <w:r>
        <w:t xml:space="preserve"> por primera vez aparece el modal de bienvenida con el aviso clínico y la mención a las fuentes. Tras aceptar (puedes marcar “no mostrar al iniciar” si lo deseas) verás la interfaz principal.</w:t>
      </w:r>
    </w:p>
    <w:p w14:paraId="6747836A" w14:textId="77777777" w:rsidR="004E458C" w:rsidRDefault="00000000">
      <w:pPr>
        <w:pStyle w:val="Ttulo2"/>
      </w:pPr>
      <w:r>
        <w:t>Anatomía de la pantalla principal</w:t>
      </w:r>
    </w:p>
    <w:p w14:paraId="3D89725E" w14:textId="15785804" w:rsidR="004E458C" w:rsidRDefault="00D86A63">
      <w:pPr>
        <w:spacing w:after="100" w:line="280" w:lineRule="auto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952125" wp14:editId="2EAE3742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2249805" cy="1706880"/>
            <wp:effectExtent l="0" t="0" r="0" b="7620"/>
            <wp:wrapTight wrapText="bothSides">
              <wp:wrapPolygon edited="0">
                <wp:start x="0" y="0"/>
                <wp:lineTo x="0" y="21455"/>
                <wp:lineTo x="21399" y="21455"/>
                <wp:lineTo x="21399" y="0"/>
                <wp:lineTo x="0" y="0"/>
              </wp:wrapPolygon>
            </wp:wrapTight>
            <wp:docPr id="221764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805" cy="170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La interfaz se compone de tres zonas:</w:t>
      </w:r>
    </w:p>
    <w:p w14:paraId="5CF55976" w14:textId="77777777" w:rsidR="004E458C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t>Cabecera superior: logo, datos del paciente (peso y edad), botón Neo (modo neonato), botón Paciente (vista de prescripción), botón Historial, botón ⓘ (información y fuentes) y botón de cambio de tema claro/oscuro.</w:t>
      </w:r>
    </w:p>
    <w:p w14:paraId="4B75F17D" w14:textId="77777777" w:rsidR="004E458C" w:rsidRDefault="00000000">
      <w:pPr>
        <w:pStyle w:val="Prrafodelista"/>
        <w:numPr>
          <w:ilvl w:val="0"/>
          <w:numId w:val="3"/>
        </w:numPr>
        <w:spacing w:after="80" w:line="280" w:lineRule="auto"/>
      </w:pPr>
      <w:proofErr w:type="spellStart"/>
      <w:r>
        <w:t>Sidebar</w:t>
      </w:r>
      <w:proofErr w:type="spellEnd"/>
      <w:r>
        <w:t xml:space="preserve"> izquierda: buscador y lista alfabética de los 91 fármacos, con filtros por categoría y por favoritos.</w:t>
      </w:r>
    </w:p>
    <w:p w14:paraId="06BE184A" w14:textId="77777777" w:rsidR="004E458C" w:rsidRDefault="00000000">
      <w:pPr>
        <w:pStyle w:val="Prrafodelista"/>
        <w:numPr>
          <w:ilvl w:val="0"/>
          <w:numId w:val="3"/>
        </w:numPr>
        <w:spacing w:after="80" w:line="280" w:lineRule="auto"/>
      </w:pPr>
      <w:r>
        <w:t>Panel central: vacío hasta que selecciones un fármaco. Una vez abierto un fármaco, muestra toda la información clínica, las pautas y los cálculos.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9B08BF4" w14:textId="77777777"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5B6741F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Atajos rápidos</w:t>
            </w:r>
          </w:p>
          <w:p w14:paraId="0391ADAB" w14:textId="77777777" w:rsidR="004E458C" w:rsidRDefault="00000000">
            <w:pPr>
              <w:spacing w:after="60" w:line="280" w:lineRule="auto"/>
            </w:pPr>
            <w:r>
              <w:t>• El botón Paciente (👤) muestra un contador con el número de fármacos que has añadido a la prescripción.</w:t>
            </w:r>
          </w:p>
          <w:p w14:paraId="06C03BE3" w14:textId="77777777" w:rsidR="004E458C" w:rsidRDefault="00000000">
            <w:pPr>
              <w:spacing w:after="60" w:line="280" w:lineRule="auto"/>
            </w:pPr>
            <w:r>
              <w:t>• El botón Historial (⏱) muestra los últimos 15 fármacos que has consultado en esta sesión.</w:t>
            </w:r>
          </w:p>
          <w:p w14:paraId="17C620E0" w14:textId="77777777" w:rsidR="004E458C" w:rsidRDefault="00000000">
            <w:pPr>
              <w:spacing w:after="60" w:line="280" w:lineRule="auto"/>
            </w:pPr>
            <w:r>
              <w:t>• El botón ⓘ abre el modal “Acerca de” con todas las fuentes y el aviso legal completo.</w:t>
            </w:r>
          </w:p>
          <w:p w14:paraId="26E7E7B3" w14:textId="77777777" w:rsidR="004E458C" w:rsidRDefault="00000000">
            <w:pPr>
              <w:spacing w:after="60" w:line="280" w:lineRule="auto"/>
            </w:pPr>
            <w:r>
              <w:t xml:space="preserve">• La estrella ★ del panel marca un fármaco como favorito (aparece como un filtro rápido en la </w:t>
            </w:r>
            <w:proofErr w:type="spellStart"/>
            <w:r>
              <w:t>sidebar</w:t>
            </w:r>
            <w:proofErr w:type="spellEnd"/>
            <w:r>
              <w:t>).</w:t>
            </w:r>
          </w:p>
        </w:tc>
      </w:tr>
    </w:tbl>
    <w:p w14:paraId="74F5E5E1" w14:textId="77777777" w:rsidR="004E458C" w:rsidRDefault="00000000">
      <w:pPr>
        <w:pStyle w:val="Ttulo1"/>
      </w:pPr>
      <w:r>
        <w:lastRenderedPageBreak/>
        <w:t>4. Introducir los datos del paciente</w:t>
      </w:r>
    </w:p>
    <w:p w14:paraId="1880EB91" w14:textId="77777777" w:rsidR="004E458C" w:rsidRDefault="00000000">
      <w:pPr>
        <w:spacing w:after="100" w:line="280" w:lineRule="auto"/>
      </w:pPr>
      <w:r>
        <w:t>En la parte superior introduce:</w:t>
      </w:r>
    </w:p>
    <w:p w14:paraId="24D9D2D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Peso: en kilogramos, admite decimales (3,2 o 12,5).</w:t>
      </w:r>
    </w:p>
    <w:p w14:paraId="537A9903" w14:textId="05780068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Edad: el valor numérico y la unidad (años, meses o días).</w:t>
      </w:r>
      <w:r w:rsidR="00941231" w:rsidRPr="00941231">
        <w:rPr>
          <w:noProof/>
        </w:rPr>
        <w:t xml:space="preserve"> </w:t>
      </w:r>
    </w:p>
    <w:p w14:paraId="214CDB30" w14:textId="67B44356" w:rsidR="004E458C" w:rsidRDefault="00941231">
      <w:pPr>
        <w:spacing w:before="100" w:after="100" w:line="280" w:lineRule="auto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26A27DB" wp14:editId="7BA2A65B">
            <wp:simplePos x="0" y="0"/>
            <wp:positionH relativeFrom="column">
              <wp:posOffset>3190875</wp:posOffset>
            </wp:positionH>
            <wp:positionV relativeFrom="paragraph">
              <wp:posOffset>46990</wp:posOffset>
            </wp:positionV>
            <wp:extent cx="2762885" cy="542925"/>
            <wp:effectExtent l="76200" t="38100" r="75565" b="123825"/>
            <wp:wrapTight wrapText="bothSides">
              <wp:wrapPolygon edited="0">
                <wp:start x="-447" y="-1516"/>
                <wp:lineTo x="-596" y="-758"/>
                <wp:lineTo x="-596" y="23495"/>
                <wp:lineTo x="-298" y="25768"/>
                <wp:lineTo x="21744" y="25768"/>
                <wp:lineTo x="22042" y="23495"/>
                <wp:lineTo x="22042" y="11368"/>
                <wp:lineTo x="21893" y="0"/>
                <wp:lineTo x="21893" y="-1516"/>
                <wp:lineTo x="-447" y="-1516"/>
              </wp:wrapPolygon>
            </wp:wrapTight>
            <wp:docPr id="1144665598" name="Imagen 2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65598" name="Imagen 2" descr="Interfaz de usuario gráfica, Texto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885" cy="542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t xml:space="preserve">Estos datos persisten entre recargas y entre sesiones (hasta que pulses Nuevo paciente o los borres). Eso significa que si cierras la </w:t>
      </w:r>
      <w:proofErr w:type="gramStart"/>
      <w:r>
        <w:t>app</w:t>
      </w:r>
      <w:proofErr w:type="gramEnd"/>
      <w:r>
        <w:t xml:space="preserve"> y la vuelves a abrir, el paciente sigue ahí.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43856300" w14:textId="77777777"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C8184C6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Por qué necesitamos peso y edad</w:t>
            </w:r>
          </w:p>
          <w:p w14:paraId="2FCF6C95" w14:textId="77777777" w:rsidR="004E458C" w:rsidRDefault="00000000">
            <w:pPr>
              <w:spacing w:after="60" w:line="280" w:lineRule="auto"/>
            </w:pPr>
            <w:r>
              <w:t xml:space="preserve">La mayoría de </w:t>
            </w:r>
            <w:proofErr w:type="gramStart"/>
            <w:r>
              <w:t>fármacos</w:t>
            </w:r>
            <w:proofErr w:type="gramEnd"/>
            <w:r>
              <w:t xml:space="preserve"> pediátricos se dosifican por kg (mg/kg/dosis o mg/kg/día). Pero algunos se prescriben por franja de edad (paracetamol IV en menores de 10 kg, </w:t>
            </w:r>
            <w:proofErr w:type="spellStart"/>
            <w:r>
              <w:t>ondansetrón</w:t>
            </w:r>
            <w:proofErr w:type="spellEnd"/>
            <w:r>
              <w:t xml:space="preserve"> en franjas de peso) o requieren ajustes según edad gestacional (cafeína, gentamicina, vancomicina). La edad permite además sugerencias clínicas más adecuadas y avisa cuando el fármaco no está indicado por debajo de cierta edad (p. ej. ibuprofeno &lt; 3 meses).</w:t>
            </w:r>
          </w:p>
        </w:tc>
      </w:tr>
    </w:tbl>
    <w:p w14:paraId="6F33CCCA" w14:textId="77777777" w:rsidR="004E458C" w:rsidRDefault="00000000">
      <w:pPr>
        <w:pStyle w:val="Ttulo1"/>
      </w:pPr>
      <w:r>
        <w:t>5. Modo neonato</w:t>
      </w:r>
    </w:p>
    <w:p w14:paraId="314460C3" w14:textId="5FC89CCB" w:rsidR="004E458C" w:rsidRDefault="00000000">
      <w:pPr>
        <w:spacing w:after="100" w:line="280" w:lineRule="auto"/>
      </w:pPr>
      <w:r>
        <w:t>Si tu paciente es un neonato, pulsa el botón “Neo” del cabecero. Aparecerá un panel adicional debajo de la cabecera con dos campos:</w:t>
      </w:r>
      <w:r w:rsidR="00941231" w:rsidRPr="00941231">
        <w:rPr>
          <w:noProof/>
        </w:rPr>
        <w:t xml:space="preserve"> </w:t>
      </w:r>
    </w:p>
    <w:p w14:paraId="2740EA97" w14:textId="2E340BF6" w:rsidR="004E458C" w:rsidRDefault="00941231">
      <w:pPr>
        <w:pStyle w:val="Prrafodelista"/>
        <w:numPr>
          <w:ilvl w:val="0"/>
          <w:numId w:val="2"/>
        </w:numPr>
        <w:spacing w:after="80" w:line="280" w:lineRule="auto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08852D7" wp14:editId="05FA37CF">
            <wp:simplePos x="0" y="0"/>
            <wp:positionH relativeFrom="column">
              <wp:posOffset>2142490</wp:posOffset>
            </wp:positionH>
            <wp:positionV relativeFrom="paragraph">
              <wp:posOffset>34290</wp:posOffset>
            </wp:positionV>
            <wp:extent cx="3811270" cy="507365"/>
            <wp:effectExtent l="76200" t="38100" r="74930" b="121285"/>
            <wp:wrapTight wrapText="bothSides">
              <wp:wrapPolygon edited="0">
                <wp:start x="-324" y="-1622"/>
                <wp:lineTo x="-432" y="-811"/>
                <wp:lineTo x="-432" y="24330"/>
                <wp:lineTo x="-216" y="25952"/>
                <wp:lineTo x="21701" y="25952"/>
                <wp:lineTo x="21701" y="25141"/>
                <wp:lineTo x="21917" y="12976"/>
                <wp:lineTo x="21917" y="12165"/>
                <wp:lineTo x="21809" y="0"/>
                <wp:lineTo x="21809" y="-1622"/>
                <wp:lineTo x="-324" y="-1622"/>
              </wp:wrapPolygon>
            </wp:wrapTight>
            <wp:docPr id="830822944" name="Imagen 3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822944" name="Imagen 3" descr="Interfaz de usuario gráfica, Texto, Aplicación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270" cy="50736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t>Edad gestacional (EG) en semanas.</w:t>
      </w:r>
    </w:p>
    <w:p w14:paraId="00745CD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Edad postnatal (EPN) en días.</w:t>
      </w:r>
    </w:p>
    <w:p w14:paraId="0B1AE14E" w14:textId="77777777" w:rsidR="004E458C" w:rsidRDefault="00000000">
      <w:pPr>
        <w:spacing w:after="100" w:line="280" w:lineRule="auto"/>
      </w:pPr>
      <w:r>
        <w:t xml:space="preserve">Estos datos son cruciales para la dosificación neonatal: cafeína, gentamicina, vancomicina, indometacina, surfactante y muchos antibióticos siguen tablas específicas según EG y EPN, recogidas en </w:t>
      </w:r>
      <w:proofErr w:type="spellStart"/>
      <w:r>
        <w:t>Neofax</w:t>
      </w:r>
      <w:proofErr w:type="spellEnd"/>
      <w:r>
        <w:t xml:space="preserve"> y las guías de la Sociedad Española de Neonatología.</w:t>
      </w:r>
    </w:p>
    <w:p w14:paraId="2142131A" w14:textId="77777777" w:rsidR="004E458C" w:rsidRDefault="00000000">
      <w:pPr>
        <w:spacing w:before="100" w:after="100" w:line="280" w:lineRule="auto"/>
      </w:pPr>
      <w:r>
        <w:t>Para desactivar el modo neonato, pulsa la ✕ del panel o vuelve a pulsar el botón “Neo”.</w:t>
      </w:r>
    </w:p>
    <w:p w14:paraId="7EE3A066" w14:textId="77777777" w:rsidR="004E458C" w:rsidRDefault="00000000">
      <w:pPr>
        <w:pStyle w:val="Ttulo1"/>
      </w:pPr>
      <w:r>
        <w:t>6. Buscar y seleccionar un fármaco</w:t>
      </w:r>
    </w:p>
    <w:p w14:paraId="7D8D6A57" w14:textId="77777777" w:rsidR="004E458C" w:rsidRDefault="00000000">
      <w:pPr>
        <w:spacing w:after="100" w:line="280" w:lineRule="auto"/>
      </w:pPr>
      <w:r>
        <w:t xml:space="preserve">En la </w:t>
      </w:r>
      <w:proofErr w:type="spellStart"/>
      <w:r>
        <w:t>sidebar</w:t>
      </w:r>
      <w:proofErr w:type="spellEnd"/>
      <w:r>
        <w:t xml:space="preserve"> izquierda encontrarás los 91 fármacos en orden alfabético. Cada tarjeta muestra:</w:t>
      </w:r>
    </w:p>
    <w:p w14:paraId="353588D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Una tira lateral de color que identifica la categoría (azul antibiótico, rojo cardiología, rosa analgesia, etc.).</w:t>
      </w:r>
    </w:p>
    <w:p w14:paraId="61CE5B1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El emoji representativo del fármaco.</w:t>
      </w:r>
    </w:p>
    <w:p w14:paraId="448A79A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El nombre del principio activo.</w:t>
      </w:r>
    </w:p>
    <w:p w14:paraId="0F69906D" w14:textId="0C41B031" w:rsidR="004E458C" w:rsidRDefault="00941231">
      <w:pPr>
        <w:pStyle w:val="Prrafodelista"/>
        <w:numPr>
          <w:ilvl w:val="0"/>
          <w:numId w:val="2"/>
        </w:numPr>
        <w:spacing w:after="80" w:line="280" w:lineRule="auto"/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1EEE9204" wp14:editId="57C158C5">
            <wp:simplePos x="0" y="0"/>
            <wp:positionH relativeFrom="column">
              <wp:posOffset>4133850</wp:posOffset>
            </wp:positionH>
            <wp:positionV relativeFrom="paragraph">
              <wp:posOffset>38100</wp:posOffset>
            </wp:positionV>
            <wp:extent cx="1457325" cy="1409700"/>
            <wp:effectExtent l="76200" t="38100" r="85725" b="114300"/>
            <wp:wrapTight wrapText="bothSides">
              <wp:wrapPolygon edited="0">
                <wp:start x="-847" y="-584"/>
                <wp:lineTo x="-1129" y="-292"/>
                <wp:lineTo x="-1129" y="22476"/>
                <wp:lineTo x="-565" y="23059"/>
                <wp:lineTo x="22024" y="23059"/>
                <wp:lineTo x="22588" y="18681"/>
                <wp:lineTo x="22588" y="4378"/>
                <wp:lineTo x="22306" y="0"/>
                <wp:lineTo x="22306" y="-584"/>
                <wp:lineTo x="-847" y="-584"/>
              </wp:wrapPolygon>
            </wp:wrapTight>
            <wp:docPr id="401823983" name="Imagen 4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23983" name="Imagen 4" descr="Interfaz de usuario gráfica, Texto, Aplicación, Chat o mensaje de text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14097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La categoría a la que pertenece.</w:t>
      </w:r>
    </w:p>
    <w:p w14:paraId="5FD66523" w14:textId="1BF7CB5F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Las vías de administración disponibles, en pequeños </w:t>
      </w:r>
      <w:proofErr w:type="spellStart"/>
      <w:r>
        <w:t>badges</w:t>
      </w:r>
      <w:proofErr w:type="spellEnd"/>
      <w:r>
        <w:t xml:space="preserve"> de color (ORAL, IV, IM, IO, OFT, etc.).</w:t>
      </w:r>
      <w:r w:rsidR="00941231" w:rsidRPr="00941231">
        <w:rPr>
          <w:noProof/>
        </w:rPr>
        <w:t xml:space="preserve"> </w:t>
      </w:r>
    </w:p>
    <w:p w14:paraId="3EF2CAC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Una estrella ★ si está marcado como favorito.</w:t>
      </w:r>
    </w:p>
    <w:p w14:paraId="03591C31" w14:textId="77777777" w:rsidR="004E458C" w:rsidRDefault="00000000">
      <w:pPr>
        <w:pStyle w:val="Ttulo2"/>
      </w:pPr>
      <w:r>
        <w:t>Buscador</w:t>
      </w:r>
    </w:p>
    <w:p w14:paraId="0C9B419F" w14:textId="77777777" w:rsidR="004E458C" w:rsidRDefault="00000000">
      <w:pPr>
        <w:spacing w:after="100" w:line="280" w:lineRule="auto"/>
      </w:pPr>
      <w:r>
        <w:t>Encima de la lista hay un buscador. Es sensible a sinónimos: si escribes “</w:t>
      </w:r>
      <w:proofErr w:type="spellStart"/>
      <w:r>
        <w:t>nolotil</w:t>
      </w:r>
      <w:proofErr w:type="spellEnd"/>
      <w:r>
        <w:t>”, te llevará a metamizol; si escribes “</w:t>
      </w:r>
      <w:proofErr w:type="spellStart"/>
      <w:r>
        <w:t>septrin</w:t>
      </w:r>
      <w:proofErr w:type="spellEnd"/>
      <w:r>
        <w:t>”, a cotrimoxazol; si escribes “</w:t>
      </w:r>
      <w:proofErr w:type="spellStart"/>
      <w:r>
        <w:t>apiretal</w:t>
      </w:r>
      <w:proofErr w:type="spellEnd"/>
      <w:r>
        <w:t>”, a paracetamol.</w:t>
      </w:r>
    </w:p>
    <w:p w14:paraId="3B311E9E" w14:textId="77777777" w:rsidR="004E458C" w:rsidRDefault="00000000">
      <w:pPr>
        <w:pStyle w:val="Ttulo2"/>
      </w:pPr>
      <w:r>
        <w:t>Filtros</w:t>
      </w:r>
    </w:p>
    <w:p w14:paraId="66707388" w14:textId="77777777" w:rsidR="004E458C" w:rsidRDefault="00000000">
      <w:pPr>
        <w:spacing w:after="100" w:line="280" w:lineRule="auto"/>
      </w:pPr>
      <w:r>
        <w:t xml:space="preserve">Bajo el buscador hay chips de filtro por categoría (Antibiótico, Cardiología, Respiratorio…). </w:t>
      </w:r>
      <w:proofErr w:type="gramStart"/>
      <w:r>
        <w:t>Además</w:t>
      </w:r>
      <w:proofErr w:type="gramEnd"/>
      <w:r>
        <w:t xml:space="preserve"> hay un filtro especial de “Favoritos” para acceder rápidamente a tus fármacos más usados.</w:t>
      </w:r>
    </w:p>
    <w:p w14:paraId="030D03F9" w14:textId="77777777" w:rsidR="004E458C" w:rsidRDefault="00000000">
      <w:pPr>
        <w:pStyle w:val="Ttulo1"/>
      </w:pPr>
      <w:r>
        <w:t>7. Los cuatro modos de administración</w:t>
      </w:r>
    </w:p>
    <w:p w14:paraId="255E1996" w14:textId="77777777" w:rsidR="004E458C" w:rsidRDefault="00000000">
      <w:pPr>
        <w:spacing w:after="100" w:line="280" w:lineRule="auto"/>
      </w:pPr>
      <w:r>
        <w:t>Cada fármaco puede tener uno o varios “modos de administración” disponibles. Si tiene más de uno, verás un selector en la cabecera del panel para elegir.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360"/>
      </w:tblGrid>
      <w:tr w:rsidR="004E458C" w14:paraId="03804C9D" w14:textId="77777777">
        <w:trPr>
          <w:tblHeader/>
        </w:trPr>
        <w:tc>
          <w:tcPr>
            <w:tcW w:w="18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0856D4" w14:textId="77777777" w:rsidR="004E458C" w:rsidRDefault="00000000">
            <w:r>
              <w:rPr>
                <w:b/>
                <w:bCs/>
                <w:color w:val="FFFFFF"/>
              </w:rPr>
              <w:t>Modo</w:t>
            </w:r>
          </w:p>
        </w:tc>
        <w:tc>
          <w:tcPr>
            <w:tcW w:w="42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7CA80" w14:textId="77777777" w:rsidR="004E458C" w:rsidRDefault="00000000">
            <w:r>
              <w:rPr>
                <w:b/>
                <w:bCs/>
                <w:color w:val="FFFFFF"/>
              </w:rPr>
              <w:t>Cuándo se usa</w:t>
            </w:r>
          </w:p>
        </w:tc>
        <w:tc>
          <w:tcPr>
            <w:tcW w:w="336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204EEA" w14:textId="77777777" w:rsidR="004E458C" w:rsidRDefault="00000000">
            <w:r>
              <w:rPr>
                <w:b/>
                <w:bCs/>
                <w:color w:val="FFFFFF"/>
              </w:rPr>
              <w:t>Ejemplos típicos</w:t>
            </w:r>
          </w:p>
        </w:tc>
      </w:tr>
      <w:tr w:rsidR="004E458C" w14:paraId="066A6389" w14:textId="77777777"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07E233" w14:textId="77777777" w:rsidR="004E458C" w:rsidRDefault="00000000">
            <w:r>
              <w:rPr>
                <w:sz w:val="20"/>
                <w:szCs w:val="20"/>
              </w:rPr>
              <w:t>Intermitente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7D9D17" w14:textId="77777777" w:rsidR="004E458C" w:rsidRDefault="00000000">
            <w:r>
              <w:rPr>
                <w:sz w:val="20"/>
                <w:szCs w:val="20"/>
              </w:rPr>
              <w:t xml:space="preserve">Dosis por toma a intervalos regulares (oral, IV intermitente, IM, rectal, </w:t>
            </w:r>
            <w:proofErr w:type="spellStart"/>
            <w:r>
              <w:rPr>
                <w:sz w:val="20"/>
                <w:szCs w:val="20"/>
              </w:rPr>
              <w:t>neb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0037D3" w14:textId="77777777" w:rsidR="004E458C" w:rsidRDefault="00000000">
            <w:r>
              <w:rPr>
                <w:sz w:val="20"/>
                <w:szCs w:val="20"/>
              </w:rPr>
              <w:t>Paracetamol, amoxicilina, salbutamol</w:t>
            </w:r>
          </w:p>
        </w:tc>
      </w:tr>
      <w:tr w:rsidR="004E458C" w14:paraId="2CA118F8" w14:textId="77777777"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7935FE" w14:textId="77777777" w:rsidR="004E458C" w:rsidRDefault="00000000">
            <w:r>
              <w:rPr>
                <w:sz w:val="20"/>
                <w:szCs w:val="20"/>
              </w:rPr>
              <w:t>Perfusión continua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192617" w14:textId="77777777" w:rsidR="004E458C" w:rsidRDefault="00000000">
            <w:r>
              <w:rPr>
                <w:sz w:val="20"/>
                <w:szCs w:val="20"/>
              </w:rPr>
              <w:t>Infusión IV continua con bomba en UCIP/UCIN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D731DE" w14:textId="77777777" w:rsidR="004E458C" w:rsidRDefault="00000000">
            <w:r>
              <w:rPr>
                <w:sz w:val="20"/>
                <w:szCs w:val="20"/>
              </w:rPr>
              <w:t>Noradrenalina, midazolam, dopamina</w:t>
            </w:r>
          </w:p>
        </w:tc>
      </w:tr>
      <w:tr w:rsidR="004E458C" w14:paraId="728B2422" w14:textId="77777777"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47BDBB" w14:textId="77777777" w:rsidR="004E458C" w:rsidRDefault="00000000">
            <w:r>
              <w:rPr>
                <w:sz w:val="20"/>
                <w:szCs w:val="20"/>
              </w:rPr>
              <w:t xml:space="preserve">Carga + </w:t>
            </w:r>
            <w:proofErr w:type="spellStart"/>
            <w:r>
              <w:rPr>
                <w:sz w:val="20"/>
                <w:szCs w:val="20"/>
              </w:rPr>
              <w:t>Mantenim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68E64" w14:textId="77777777" w:rsidR="004E458C" w:rsidRDefault="00000000">
            <w:r>
              <w:rPr>
                <w:sz w:val="20"/>
                <w:szCs w:val="20"/>
              </w:rPr>
              <w:t>Bolo inicial seguido de perfusión o pauta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D17BE8" w14:textId="77777777" w:rsidR="004E458C" w:rsidRDefault="00000000">
            <w:r>
              <w:rPr>
                <w:sz w:val="20"/>
                <w:szCs w:val="20"/>
              </w:rPr>
              <w:t>Levetiracetam estatus, amiodarona, heparina</w:t>
            </w:r>
          </w:p>
        </w:tc>
      </w:tr>
      <w:tr w:rsidR="004E458C" w14:paraId="100FF90F" w14:textId="77777777">
        <w:tc>
          <w:tcPr>
            <w:tcW w:w="18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F616AC" w14:textId="77777777" w:rsidR="004E458C" w:rsidRDefault="00000000">
            <w:r>
              <w:rPr>
                <w:sz w:val="20"/>
                <w:szCs w:val="20"/>
              </w:rPr>
              <w:t>Dosis puntual</w:t>
            </w:r>
          </w:p>
        </w:tc>
        <w:tc>
          <w:tcPr>
            <w:tcW w:w="4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D0BB19" w14:textId="77777777" w:rsidR="004E458C" w:rsidRDefault="00000000">
            <w:r>
              <w:rPr>
                <w:sz w:val="20"/>
                <w:szCs w:val="20"/>
              </w:rPr>
              <w:t>Una sola dosis de rescate (PCR, anafilaxia, crisis)</w:t>
            </w:r>
          </w:p>
        </w:tc>
        <w:tc>
          <w:tcPr>
            <w:tcW w:w="33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A67629" w14:textId="77777777" w:rsidR="004E458C" w:rsidRDefault="00000000">
            <w:r>
              <w:rPr>
                <w:sz w:val="20"/>
                <w:szCs w:val="20"/>
              </w:rPr>
              <w:t>Adrenalina PCR, atropina, naloxona</w:t>
            </w:r>
          </w:p>
        </w:tc>
      </w:tr>
    </w:tbl>
    <w:p w14:paraId="4FD27915" w14:textId="77777777" w:rsidR="004E458C" w:rsidRDefault="00000000">
      <w:pPr>
        <w:pStyle w:val="Ttulo1"/>
      </w:pPr>
      <w:r>
        <w:t>8. Modo intermitente</w:t>
      </w:r>
    </w:p>
    <w:p w14:paraId="587C0327" w14:textId="77777777" w:rsidR="004E458C" w:rsidRDefault="00000000">
      <w:pPr>
        <w:spacing w:after="100" w:line="280" w:lineRule="auto"/>
      </w:pPr>
      <w:r>
        <w:t>Es el modo más usado en pediatría. Cubre todo lo que no es perfusión continua: oral, rectal, IV intermitente, IM, nebulizado, subcutáneo, sublingual, intratraqueal, oftálmico…</w:t>
      </w:r>
    </w:p>
    <w:p w14:paraId="2891D7EB" w14:textId="77777777" w:rsidR="004E458C" w:rsidRDefault="00000000">
      <w:pPr>
        <w:pStyle w:val="Ttulo2"/>
      </w:pPr>
      <w:r>
        <w:t>Qué muestra</w:t>
      </w:r>
    </w:p>
    <w:p w14:paraId="7E1529A9" w14:textId="77777777" w:rsidR="004E458C" w:rsidRDefault="00000000">
      <w:pPr>
        <w:spacing w:after="100" w:line="280" w:lineRule="auto"/>
      </w:pPr>
      <w:r>
        <w:t>Una vez seleccionado el fármaco, en este modo se muestra automáticamente:</w:t>
      </w:r>
    </w:p>
    <w:p w14:paraId="0CEC29B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Dosis por toma: calculada con el peso (en mg, </w:t>
      </w:r>
      <w:proofErr w:type="spellStart"/>
      <w:r>
        <w:t>mcg</w:t>
      </w:r>
      <w:proofErr w:type="spellEnd"/>
      <w:r>
        <w:t xml:space="preserve"> o lo que corresponda).</w:t>
      </w:r>
    </w:p>
    <w:p w14:paraId="5B0810F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Pauta: cada cuántas horas se administra y cuántas tomas al día.</w:t>
      </w:r>
    </w:p>
    <w:p w14:paraId="5F80A1C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gramStart"/>
      <w:r>
        <w:t>Total</w:t>
      </w:r>
      <w:proofErr w:type="gramEnd"/>
      <w:r>
        <w:t xml:space="preserve"> al día: dosis acumulada diaria.</w:t>
      </w:r>
    </w:p>
    <w:p w14:paraId="64CA863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lastRenderedPageBreak/>
        <w:t>Preparados comerciales disponibles en España, con el volumen de jarabe correspondiente para esa dosis.</w:t>
      </w:r>
    </w:p>
    <w:p w14:paraId="488CA82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Notas clínicas: indicación, duración recomendada y observaciones específicas.</w:t>
      </w:r>
    </w:p>
    <w:p w14:paraId="571CB444" w14:textId="77777777" w:rsidR="004E458C" w:rsidRDefault="00000000">
      <w:pPr>
        <w:pStyle w:val="Ttulo2"/>
      </w:pPr>
      <w:r>
        <w:t>Si hay varias pautas (</w:t>
      </w:r>
      <w:proofErr w:type="spellStart"/>
      <w:r>
        <w:t>tabs</w:t>
      </w:r>
      <w:proofErr w:type="spellEnd"/>
      <w:r>
        <w:t>)</w:t>
      </w:r>
    </w:p>
    <w:p w14:paraId="033C8074" w14:textId="77777777" w:rsidR="004E458C" w:rsidRDefault="00000000">
      <w:pPr>
        <w:spacing w:after="100" w:line="280" w:lineRule="auto"/>
      </w:pPr>
      <w:r>
        <w:t xml:space="preserve">Algunos fármacos tienen varias pautas según indicación o vía. Por ejemplo, paracetamol tiene tres pautas: oral, rectal e IV. Encima del panel aparecen </w:t>
      </w:r>
      <w:proofErr w:type="spellStart"/>
      <w:r>
        <w:t>tabs</w:t>
      </w:r>
      <w:proofErr w:type="spellEnd"/>
      <w:r>
        <w:t xml:space="preserve"> (pestañas) para cambiar entre ellas.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5187F3C7" w14:textId="77777777">
        <w:tc>
          <w:tcPr>
            <w:tcW w:w="9360" w:type="dxa"/>
            <w:tcBorders>
              <w:top w:val="single" w:sz="6" w:space="0" w:color="B45309"/>
              <w:left w:val="single" w:sz="18" w:space="0" w:color="B45309"/>
              <w:bottom w:val="single" w:sz="6" w:space="0" w:color="B45309"/>
              <w:right w:val="single" w:sz="6" w:space="0" w:color="B45309"/>
            </w:tcBorders>
            <w:shd w:val="clear" w:color="auto" w:fill="FEF3C7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3189D42" w14:textId="77777777" w:rsidR="004E458C" w:rsidRDefault="00000000">
            <w:pPr>
              <w:spacing w:after="100"/>
            </w:pPr>
            <w:r>
              <w:rPr>
                <w:b/>
                <w:bCs/>
                <w:color w:val="B45309"/>
                <w:sz w:val="24"/>
                <w:szCs w:val="24"/>
              </w:rPr>
              <w:t>Topes de dosis máxima</w:t>
            </w:r>
          </w:p>
          <w:p w14:paraId="2255D2E2" w14:textId="77777777" w:rsidR="004E458C" w:rsidRDefault="00000000">
            <w:pPr>
              <w:spacing w:after="60" w:line="280" w:lineRule="auto"/>
            </w:pPr>
            <w:r>
              <w:t xml:space="preserve">Si la dosis calculada por peso supera el tope adulto (p. ej. 1000 mg/toma de paracetamol </w:t>
            </w:r>
            <w:proofErr w:type="gramStart"/>
            <w:r>
              <w:t>oral</w:t>
            </w:r>
            <w:proofErr w:type="gramEnd"/>
            <w:r>
              <w:t xml:space="preserve"> aunque el niño pese 80 kg), la aplicación aplica automáticamente el tope y muestra una alerta naranja. Lo mismo con la dosis diaria (4000 mg/día de paracetamol).</w:t>
            </w:r>
          </w:p>
        </w:tc>
      </w:tr>
    </w:tbl>
    <w:p w14:paraId="67A004AA" w14:textId="77777777" w:rsidR="004E458C" w:rsidRDefault="00000000">
      <w:r>
        <w:br w:type="page"/>
      </w:r>
    </w:p>
    <w:p w14:paraId="00DFD2C4" w14:textId="77777777" w:rsidR="004E458C" w:rsidRDefault="00000000">
      <w:pPr>
        <w:pStyle w:val="Ttulo1"/>
      </w:pPr>
      <w:r>
        <w:lastRenderedPageBreak/>
        <w:t>9. Modo perfusión continua</w:t>
      </w:r>
    </w:p>
    <w:p w14:paraId="25A556FC" w14:textId="77777777" w:rsidR="004E458C" w:rsidRDefault="00000000">
      <w:pPr>
        <w:spacing w:after="100" w:line="280" w:lineRule="auto"/>
      </w:pPr>
      <w:r>
        <w:t>Para fármacos administrados en bomba de perfusión continua, típicamente en UCI pediátrica o neonatal.</w:t>
      </w:r>
    </w:p>
    <w:p w14:paraId="5306DAB6" w14:textId="77777777" w:rsidR="004E458C" w:rsidRDefault="00000000">
      <w:pPr>
        <w:pStyle w:val="Ttulo2"/>
      </w:pPr>
      <w:r>
        <w:t>Cómo funciona</w:t>
      </w:r>
    </w:p>
    <w:p w14:paraId="4901634D" w14:textId="77777777" w:rsidR="004E458C" w:rsidRDefault="00000000">
      <w:pPr>
        <w:spacing w:after="100" w:line="280" w:lineRule="auto"/>
      </w:pPr>
      <w:r>
        <w:t>Selecciona la dilución estándar disponible (p. ej. “10 mg / 250 ml SG5%” para adrenalina), introduce la dosis deseada en sus unidades específicas (</w:t>
      </w:r>
      <w:proofErr w:type="spellStart"/>
      <w:r>
        <w:t>mcg</w:t>
      </w:r>
      <w:proofErr w:type="spellEnd"/>
      <w:r>
        <w:t xml:space="preserve">/kg/min, </w:t>
      </w:r>
      <w:proofErr w:type="spellStart"/>
      <w:r>
        <w:t>mcg</w:t>
      </w:r>
      <w:proofErr w:type="spellEnd"/>
      <w:r>
        <w:t>/min, mg/kg/h…) y la aplicación calcula el ritmo de bomba en ml/h. También puedes hacerlo al revés: introducir ml/h y calcular la dosis real que está recibiendo.</w:t>
      </w:r>
    </w:p>
    <w:p w14:paraId="554B67C6" w14:textId="77777777" w:rsidR="004E458C" w:rsidRDefault="00000000">
      <w:pPr>
        <w:pStyle w:val="Ttulo2"/>
      </w:pPr>
      <w:r>
        <w:t>Slider de seguridad</w:t>
      </w:r>
    </w:p>
    <w:p w14:paraId="48D8F8DC" w14:textId="77777777" w:rsidR="004E458C" w:rsidRDefault="00000000">
      <w:pPr>
        <w:spacing w:after="100" w:line="280" w:lineRule="auto"/>
      </w:pPr>
      <w:r>
        <w:t xml:space="preserve">Bajo el resultado aparece </w:t>
      </w:r>
      <w:proofErr w:type="gramStart"/>
      <w:r>
        <w:t>un slider</w:t>
      </w:r>
      <w:proofErr w:type="gramEnd"/>
      <w:r>
        <w:t xml:space="preserve"> con gradiente de colores:</w:t>
      </w:r>
    </w:p>
    <w:p w14:paraId="46CFF94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Verde: dentro del rango habitual y seguro.</w:t>
      </w:r>
    </w:p>
    <w:p w14:paraId="339AB4B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Ámbar: dosis alta pero todavía aceptable en situaciones concretas.</w:t>
      </w:r>
    </w:p>
    <w:p w14:paraId="5114AD59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Rojo: dosis tóxica que supera el límite de seguridad.</w:t>
      </w:r>
    </w:p>
    <w:p w14:paraId="214AFE62" w14:textId="77777777" w:rsidR="004E458C" w:rsidRDefault="00000000">
      <w:pPr>
        <w:spacing w:before="100" w:after="100" w:line="280" w:lineRule="auto"/>
      </w:pPr>
      <w:r>
        <w:t xml:space="preserve">Puedes arrastrar </w:t>
      </w:r>
      <w:proofErr w:type="gramStart"/>
      <w:r>
        <w:t>el slider</w:t>
      </w:r>
      <w:proofErr w:type="gramEnd"/>
      <w:r>
        <w:t xml:space="preserve"> para titular dosis al alza o a la baja, viendo en tiempo real cómo cambia el ritmo de bomba.</w:t>
      </w:r>
    </w:p>
    <w:p w14:paraId="550DC147" w14:textId="77777777" w:rsidR="004E458C" w:rsidRDefault="00000000">
      <w:pPr>
        <w:pStyle w:val="Ttulo1"/>
      </w:pPr>
      <w:r>
        <w:t>10. Modo carga + mantenimiento</w:t>
      </w:r>
    </w:p>
    <w:p w14:paraId="0BBCAC2B" w14:textId="77777777" w:rsidR="004E458C" w:rsidRDefault="00000000">
      <w:pPr>
        <w:spacing w:after="100" w:line="280" w:lineRule="auto"/>
      </w:pPr>
      <w:r>
        <w:t>Para fármacos que requieren una dosis de carga inicial (bolo o infusión rápida) seguida de una perfusión o pauta de mantenimiento. Ejemplos: amiodarona, levetiracetam IV, fenitoína, heparina, cafeína citrato neonatal.</w:t>
      </w:r>
    </w:p>
    <w:p w14:paraId="6025AC42" w14:textId="77777777" w:rsidR="004E458C" w:rsidRDefault="00000000">
      <w:pPr>
        <w:spacing w:after="100" w:line="280" w:lineRule="auto"/>
      </w:pPr>
      <w:r>
        <w:t>La aplicación muestra:</w:t>
      </w:r>
    </w:p>
    <w:p w14:paraId="204E5A7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La dosis de carga calculada según el peso (con tiempo de infusión y vía).</w:t>
      </w:r>
    </w:p>
    <w:p w14:paraId="78F2203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La calculadora de perfusión/mantenimiento debajo.</w:t>
      </w:r>
    </w:p>
    <w:p w14:paraId="7BCA974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Notas específicas sobre velocidad de infusión, dilución y precauciones.</w:t>
      </w:r>
    </w:p>
    <w:p w14:paraId="261B3D2A" w14:textId="77777777" w:rsidR="004E458C" w:rsidRDefault="00000000">
      <w:pPr>
        <w:pStyle w:val="Ttulo1"/>
      </w:pPr>
      <w:r>
        <w:t>11. Modo dosis puntual</w:t>
      </w:r>
    </w:p>
    <w:p w14:paraId="7E064627" w14:textId="77777777" w:rsidR="004E458C" w:rsidRDefault="00000000">
      <w:pPr>
        <w:spacing w:after="100" w:line="280" w:lineRule="auto"/>
      </w:pPr>
      <w:r>
        <w:t>Para fármacos de rescate o uso aislado: adrenalina en PCR o anafilaxia, atropina, naloxona, adenosina en TSV, glucagón, sulfato de magnesio en asma grave, sacarosa 24% en lactantes…</w:t>
      </w:r>
    </w:p>
    <w:p w14:paraId="51BE3476" w14:textId="77777777" w:rsidR="004E458C" w:rsidRDefault="00000000">
      <w:pPr>
        <w:spacing w:after="100" w:line="280" w:lineRule="auto"/>
      </w:pPr>
      <w:r>
        <w:t>Se muestra la dosis exacta calculada con el peso, la vía, el ritmo recomendado y observaciones (repetir cada X minutos, máximo Y dosis, etc.).</w:t>
      </w:r>
    </w:p>
    <w:p w14:paraId="08EF7B19" w14:textId="77777777" w:rsidR="004E458C" w:rsidRDefault="00000000">
      <w:pPr>
        <w:pStyle w:val="Ttulo1"/>
      </w:pPr>
      <w:r>
        <w:lastRenderedPageBreak/>
        <w:t>12. Preparados comerciales y volumen del jarabe</w:t>
      </w:r>
    </w:p>
    <w:p w14:paraId="66521498" w14:textId="77777777" w:rsidR="004E458C" w:rsidRDefault="00000000">
      <w:pPr>
        <w:spacing w:after="100" w:line="280" w:lineRule="auto"/>
      </w:pPr>
      <w:r>
        <w:t xml:space="preserve">Una de las características más prácticas de </w:t>
      </w:r>
      <w:proofErr w:type="spellStart"/>
      <w:r>
        <w:t>DosisPed</w:t>
      </w:r>
      <w:proofErr w:type="spellEnd"/>
      <w:r>
        <w:t>: los preparados comerciales españoles más habituales están incluidos con su concentración exacta.</w:t>
      </w:r>
    </w:p>
    <w:p w14:paraId="75ECF2FE" w14:textId="77777777" w:rsidR="004E458C" w:rsidRDefault="00000000">
      <w:pPr>
        <w:spacing w:after="100" w:line="280" w:lineRule="auto"/>
      </w:pPr>
      <w:r>
        <w:t>Cuando seleccionas una pauta oral, aparece la lista de preparados comerciales disponibles. Para cada uno se calcula automáticamente el volumen exacto en mililitros que corresponde a la dosis calculada. Algunos ejemplos: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760"/>
        <w:gridCol w:w="2200"/>
      </w:tblGrid>
      <w:tr w:rsidR="004E458C" w14:paraId="1920D394" w14:textId="77777777">
        <w:trPr>
          <w:tblHeader/>
        </w:trPr>
        <w:tc>
          <w:tcPr>
            <w:tcW w:w="24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32EA12" w14:textId="77777777" w:rsidR="004E458C" w:rsidRDefault="00000000">
            <w:r>
              <w:rPr>
                <w:b/>
                <w:bCs/>
                <w:color w:val="FFFFFF"/>
              </w:rPr>
              <w:t>Fármaco</w:t>
            </w:r>
          </w:p>
        </w:tc>
        <w:tc>
          <w:tcPr>
            <w:tcW w:w="476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4A6851" w14:textId="77777777" w:rsidR="004E458C" w:rsidRDefault="00000000">
            <w:r>
              <w:rPr>
                <w:b/>
                <w:bCs/>
                <w:color w:val="FFFFFF"/>
              </w:rPr>
              <w:t>Preparado</w:t>
            </w:r>
          </w:p>
        </w:tc>
        <w:tc>
          <w:tcPr>
            <w:tcW w:w="2200" w:type="dxa"/>
            <w:tcBorders>
              <w:top w:val="single" w:sz="4" w:space="0" w:color="0D9488"/>
              <w:left w:val="single" w:sz="4" w:space="0" w:color="0D9488"/>
              <w:bottom w:val="single" w:sz="4" w:space="0" w:color="0D9488"/>
              <w:right w:val="single" w:sz="4" w:space="0" w:color="0D9488"/>
            </w:tcBorders>
            <w:shd w:val="clear" w:color="auto" w:fill="0D948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90B29C" w14:textId="77777777" w:rsidR="004E458C" w:rsidRDefault="00000000">
            <w:r>
              <w:rPr>
                <w:b/>
                <w:bCs/>
                <w:color w:val="FFFFFF"/>
              </w:rPr>
              <w:t>Concentración</w:t>
            </w:r>
          </w:p>
        </w:tc>
      </w:tr>
      <w:tr w:rsidR="004E458C" w14:paraId="20017142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61A47E" w14:textId="77777777" w:rsidR="004E458C" w:rsidRDefault="00000000">
            <w:r>
              <w:rPr>
                <w:sz w:val="20"/>
                <w:szCs w:val="20"/>
              </w:rPr>
              <w:t>Paracetamol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F03371" w14:textId="77777777" w:rsidR="004E458C" w:rsidRDefault="00000000">
            <w:proofErr w:type="spellStart"/>
            <w:r>
              <w:rPr>
                <w:sz w:val="20"/>
                <w:szCs w:val="20"/>
              </w:rPr>
              <w:t>Apiretal</w:t>
            </w:r>
            <w:proofErr w:type="spellEnd"/>
            <w:r>
              <w:rPr>
                <w:sz w:val="20"/>
                <w:szCs w:val="20"/>
              </w:rPr>
              <w:t xml:space="preserve"> gotas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F23C56" w14:textId="77777777" w:rsidR="004E458C" w:rsidRDefault="00000000">
            <w:r>
              <w:rPr>
                <w:sz w:val="20"/>
                <w:szCs w:val="20"/>
              </w:rPr>
              <w:t>100 mg/ml</w:t>
            </w:r>
          </w:p>
        </w:tc>
      </w:tr>
      <w:tr w:rsidR="004E458C" w14:paraId="4914045F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62A56C" w14:textId="77777777" w:rsidR="004E458C" w:rsidRDefault="00000000">
            <w:r>
              <w:rPr>
                <w:sz w:val="20"/>
                <w:szCs w:val="20"/>
              </w:rPr>
              <w:t>Paracetamol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712621" w14:textId="77777777" w:rsidR="004E458C" w:rsidRDefault="00000000">
            <w:proofErr w:type="spellStart"/>
            <w:r>
              <w:rPr>
                <w:sz w:val="20"/>
                <w:szCs w:val="20"/>
              </w:rPr>
              <w:t>Termalgin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D0B09C" w14:textId="77777777" w:rsidR="004E458C" w:rsidRDefault="00000000">
            <w:r>
              <w:rPr>
                <w:sz w:val="20"/>
                <w:szCs w:val="20"/>
              </w:rPr>
              <w:t>24 mg/ml</w:t>
            </w:r>
          </w:p>
        </w:tc>
      </w:tr>
      <w:tr w:rsidR="004E458C" w14:paraId="12F981D5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F89717" w14:textId="77777777" w:rsidR="004E458C" w:rsidRDefault="00000000">
            <w:r>
              <w:rPr>
                <w:sz w:val="20"/>
                <w:szCs w:val="20"/>
              </w:rPr>
              <w:t>Ibuprofeno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C91A62" w14:textId="77777777" w:rsidR="004E458C" w:rsidRDefault="00000000">
            <w:proofErr w:type="spellStart"/>
            <w:r>
              <w:rPr>
                <w:sz w:val="20"/>
                <w:szCs w:val="20"/>
              </w:rPr>
              <w:t>Dalsy</w:t>
            </w:r>
            <w:proofErr w:type="spellEnd"/>
            <w:r>
              <w:rPr>
                <w:sz w:val="20"/>
                <w:szCs w:val="20"/>
              </w:rPr>
              <w:t xml:space="preserve"> 20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05F0F4" w14:textId="77777777" w:rsidR="004E458C" w:rsidRDefault="00000000">
            <w:r>
              <w:rPr>
                <w:sz w:val="20"/>
                <w:szCs w:val="20"/>
              </w:rPr>
              <w:t>20 mg/ml</w:t>
            </w:r>
          </w:p>
        </w:tc>
      </w:tr>
      <w:tr w:rsidR="004E458C" w14:paraId="1B6E21CB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F67CE8" w14:textId="77777777" w:rsidR="004E458C" w:rsidRDefault="00000000">
            <w:r>
              <w:rPr>
                <w:sz w:val="20"/>
                <w:szCs w:val="20"/>
              </w:rPr>
              <w:t>Ibuprofeno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22906B" w14:textId="77777777" w:rsidR="004E458C" w:rsidRDefault="00000000">
            <w:proofErr w:type="spellStart"/>
            <w:r>
              <w:rPr>
                <w:sz w:val="20"/>
                <w:szCs w:val="20"/>
              </w:rPr>
              <w:t>Dalsy</w:t>
            </w:r>
            <w:proofErr w:type="spellEnd"/>
            <w:r>
              <w:rPr>
                <w:sz w:val="20"/>
                <w:szCs w:val="20"/>
              </w:rPr>
              <w:t xml:space="preserve"> 40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0B454C" w14:textId="77777777" w:rsidR="004E458C" w:rsidRDefault="00000000">
            <w:r>
              <w:rPr>
                <w:sz w:val="20"/>
                <w:szCs w:val="20"/>
              </w:rPr>
              <w:t>40 mg/ml</w:t>
            </w:r>
          </w:p>
        </w:tc>
      </w:tr>
      <w:tr w:rsidR="004E458C" w14:paraId="48601789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33086" w14:textId="77777777" w:rsidR="004E458C" w:rsidRDefault="00000000">
            <w:r>
              <w:rPr>
                <w:sz w:val="20"/>
                <w:szCs w:val="20"/>
              </w:rPr>
              <w:t>Amoxicilina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398555" w14:textId="77777777" w:rsidR="004E458C" w:rsidRDefault="00000000"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 250 mg/5 ml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BCE312" w14:textId="77777777" w:rsidR="004E458C" w:rsidRDefault="00000000">
            <w:r>
              <w:rPr>
                <w:sz w:val="20"/>
                <w:szCs w:val="20"/>
              </w:rPr>
              <w:t>50 mg/ml</w:t>
            </w:r>
          </w:p>
        </w:tc>
      </w:tr>
      <w:tr w:rsidR="004E458C" w14:paraId="03B56627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73AF20" w14:textId="77777777" w:rsidR="004E458C" w:rsidRDefault="00000000">
            <w:r>
              <w:rPr>
                <w:sz w:val="20"/>
                <w:szCs w:val="20"/>
              </w:rPr>
              <w:t>Amoxicilina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12159F" w14:textId="77777777" w:rsidR="004E458C" w:rsidRDefault="00000000"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 500 mg/5 ml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45B0B" w14:textId="77777777" w:rsidR="004E458C" w:rsidRDefault="00000000">
            <w:r>
              <w:rPr>
                <w:sz w:val="20"/>
                <w:szCs w:val="20"/>
              </w:rPr>
              <w:t>100 mg/ml</w:t>
            </w:r>
          </w:p>
        </w:tc>
      </w:tr>
      <w:tr w:rsidR="004E458C" w14:paraId="7A9D340A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1C9FA3" w14:textId="77777777" w:rsidR="004E458C" w:rsidRDefault="00000000">
            <w:r>
              <w:rPr>
                <w:sz w:val="20"/>
                <w:szCs w:val="20"/>
              </w:rPr>
              <w:t>Augmentine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251645" w14:textId="77777777" w:rsidR="004E458C" w:rsidRDefault="00000000">
            <w:proofErr w:type="spellStart"/>
            <w:r>
              <w:rPr>
                <w:sz w:val="20"/>
                <w:szCs w:val="20"/>
              </w:rPr>
              <w:t>Susp</w:t>
            </w:r>
            <w:proofErr w:type="spellEnd"/>
            <w:r>
              <w:rPr>
                <w:sz w:val="20"/>
                <w:szCs w:val="20"/>
              </w:rPr>
              <w:t>. 100/12,5 mg/ml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D417AF" w14:textId="77777777" w:rsidR="004E458C" w:rsidRDefault="00000000">
            <w:r>
              <w:rPr>
                <w:sz w:val="20"/>
                <w:szCs w:val="20"/>
              </w:rPr>
              <w:t>100 mg/ml</w:t>
            </w:r>
          </w:p>
        </w:tc>
      </w:tr>
      <w:tr w:rsidR="004E458C" w14:paraId="4762068D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E26EEC" w14:textId="77777777" w:rsidR="004E458C" w:rsidRDefault="00000000">
            <w:r>
              <w:rPr>
                <w:sz w:val="20"/>
                <w:szCs w:val="20"/>
              </w:rPr>
              <w:t>Salbutamol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C64759" w14:textId="77777777" w:rsidR="004E458C" w:rsidRDefault="00000000">
            <w:r>
              <w:rPr>
                <w:sz w:val="20"/>
                <w:szCs w:val="20"/>
              </w:rPr>
              <w:t xml:space="preserve">Ventolin </w:t>
            </w:r>
            <w:proofErr w:type="spellStart"/>
            <w:r>
              <w:rPr>
                <w:sz w:val="20"/>
                <w:szCs w:val="20"/>
              </w:rPr>
              <w:t>nebul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AC05AA" w14:textId="77777777" w:rsidR="004E458C" w:rsidRDefault="00000000">
            <w:r>
              <w:rPr>
                <w:sz w:val="20"/>
                <w:szCs w:val="20"/>
              </w:rPr>
              <w:t>5 mg/ml</w:t>
            </w:r>
          </w:p>
        </w:tc>
      </w:tr>
      <w:tr w:rsidR="004E458C" w14:paraId="39DC63A4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A2271E" w14:textId="77777777" w:rsidR="004E458C" w:rsidRDefault="00000000">
            <w:r>
              <w:rPr>
                <w:sz w:val="20"/>
                <w:szCs w:val="20"/>
              </w:rPr>
              <w:t>Prednisolona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C35FD8" w14:textId="77777777" w:rsidR="004E458C" w:rsidRDefault="00000000">
            <w:proofErr w:type="spellStart"/>
            <w:r>
              <w:rPr>
                <w:sz w:val="20"/>
                <w:szCs w:val="20"/>
              </w:rPr>
              <w:t>Estilsona</w:t>
            </w:r>
            <w:proofErr w:type="spellEnd"/>
            <w:r>
              <w:rPr>
                <w:sz w:val="20"/>
                <w:szCs w:val="20"/>
              </w:rPr>
              <w:t xml:space="preserve"> gotas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40D948" w14:textId="77777777" w:rsidR="004E458C" w:rsidRDefault="00000000">
            <w:r>
              <w:rPr>
                <w:sz w:val="20"/>
                <w:szCs w:val="20"/>
              </w:rPr>
              <w:t>13,3 mg/ml</w:t>
            </w:r>
          </w:p>
        </w:tc>
      </w:tr>
      <w:tr w:rsidR="004E458C" w14:paraId="3851EBB8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7652A" w14:textId="77777777" w:rsidR="004E458C" w:rsidRDefault="00000000">
            <w:r>
              <w:rPr>
                <w:sz w:val="20"/>
                <w:szCs w:val="20"/>
              </w:rPr>
              <w:t>Metilprednisolona</w:t>
            </w:r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20ED41" w14:textId="77777777" w:rsidR="004E458C" w:rsidRDefault="00000000">
            <w:r>
              <w:rPr>
                <w:sz w:val="20"/>
                <w:szCs w:val="20"/>
              </w:rPr>
              <w:t>Fórmula magistral hospital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3A86CB" w14:textId="77777777" w:rsidR="004E458C" w:rsidRDefault="00000000">
            <w:r>
              <w:rPr>
                <w:sz w:val="20"/>
                <w:szCs w:val="20"/>
              </w:rPr>
              <w:t>1 mg/ml</w:t>
            </w:r>
          </w:p>
        </w:tc>
      </w:tr>
      <w:tr w:rsidR="004E458C" w14:paraId="2A05307E" w14:textId="77777777">
        <w:tc>
          <w:tcPr>
            <w:tcW w:w="24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CCC0BE" w14:textId="77777777" w:rsidR="004E458C" w:rsidRDefault="00000000">
            <w:proofErr w:type="spellStart"/>
            <w:r>
              <w:rPr>
                <w:sz w:val="20"/>
                <w:szCs w:val="20"/>
              </w:rPr>
              <w:t>Ondansetrón</w:t>
            </w:r>
            <w:proofErr w:type="spellEnd"/>
          </w:p>
        </w:tc>
        <w:tc>
          <w:tcPr>
            <w:tcW w:w="476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0B1D20" w14:textId="77777777" w:rsidR="004E458C" w:rsidRDefault="00000000">
            <w:r>
              <w:rPr>
                <w:sz w:val="20"/>
                <w:szCs w:val="20"/>
              </w:rPr>
              <w:t>Fórmula magistral hospital</w:t>
            </w:r>
          </w:p>
        </w:tc>
        <w:tc>
          <w:tcPr>
            <w:tcW w:w="2200" w:type="dxa"/>
            <w:tcBorders>
              <w:top w:val="single" w:sz="2" w:space="0" w:color="B8D4DC"/>
              <w:left w:val="single" w:sz="2" w:space="0" w:color="B8D4DC"/>
              <w:bottom w:val="single" w:sz="2" w:space="0" w:color="B8D4DC"/>
              <w:right w:val="single" w:sz="2" w:space="0" w:color="B8D4DC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69483D" w14:textId="77777777" w:rsidR="004E458C" w:rsidRDefault="00000000">
            <w:r>
              <w:rPr>
                <w:sz w:val="20"/>
                <w:szCs w:val="20"/>
              </w:rPr>
              <w:t>0,8 mg/ml</w:t>
            </w:r>
          </w:p>
        </w:tc>
      </w:tr>
    </w:tbl>
    <w:p w14:paraId="24220D91" w14:textId="77777777" w:rsidR="004E458C" w:rsidRDefault="00000000">
      <w:pPr>
        <w:spacing w:before="100" w:after="100" w:line="280" w:lineRule="auto"/>
      </w:pPr>
      <w:r>
        <w:t>La lista incluye también las fórmulas magistrales del hospital donde tu farmacia hospitalaria las prepara con concentraciones específicas, lo que evita errores de conversión.</w:t>
      </w:r>
    </w:p>
    <w:p w14:paraId="496F4B91" w14:textId="77777777" w:rsidR="004E458C" w:rsidRDefault="00000000">
      <w:pPr>
        <w:pStyle w:val="Ttulo1"/>
      </w:pPr>
      <w:r>
        <w:t>13. Topes de dosis máxima</w:t>
      </w:r>
    </w:p>
    <w:p w14:paraId="4DB2D5FD" w14:textId="77777777" w:rsidR="004E458C" w:rsidRDefault="00000000">
      <w:pPr>
        <w:spacing w:after="100" w:line="280" w:lineRule="auto"/>
      </w:pPr>
      <w:r>
        <w:t xml:space="preserve">La pediatría se enfrenta a un problema único: un adolescente de 60 kg con paracetamol 15 mg/kg/dosis daría 900 mg, pero el tope adulto por toma es 1000 mg y el diario 4000 mg. </w:t>
      </w:r>
      <w:proofErr w:type="spellStart"/>
      <w:r>
        <w:t>DosisPed</w:t>
      </w:r>
      <w:proofErr w:type="spellEnd"/>
      <w:r>
        <w:t xml:space="preserve"> aplica estos topes automáticamente.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3C2835FE" w14:textId="77777777">
        <w:tc>
          <w:tcPr>
            <w:tcW w:w="9360" w:type="dxa"/>
            <w:tcBorders>
              <w:top w:val="single" w:sz="6" w:space="0" w:color="B45309"/>
              <w:left w:val="single" w:sz="18" w:space="0" w:color="B45309"/>
              <w:bottom w:val="single" w:sz="6" w:space="0" w:color="B45309"/>
              <w:right w:val="single" w:sz="6" w:space="0" w:color="B45309"/>
            </w:tcBorders>
            <w:shd w:val="clear" w:color="auto" w:fill="FEF3C7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0C81C5B" w14:textId="77777777" w:rsidR="004E458C" w:rsidRDefault="00000000">
            <w:pPr>
              <w:spacing w:after="100"/>
            </w:pPr>
            <w:r>
              <w:rPr>
                <w:b/>
                <w:bCs/>
                <w:color w:val="B45309"/>
                <w:sz w:val="24"/>
                <w:szCs w:val="24"/>
              </w:rPr>
              <w:t>Cómo se muestran los topes</w:t>
            </w:r>
          </w:p>
          <w:p w14:paraId="77F4B9E7" w14:textId="77777777" w:rsidR="004E458C" w:rsidRDefault="00000000">
            <w:pPr>
              <w:spacing w:after="60" w:line="280" w:lineRule="auto"/>
            </w:pPr>
            <w:r>
              <w:t>• Si la dosis calculada supera el tope por toma, se aplica el tope y aparece una alerta naranja: “Dosis máxima por toma: X mg. Se aplicará el tope.”</w:t>
            </w:r>
          </w:p>
          <w:p w14:paraId="028CD3E0" w14:textId="77777777" w:rsidR="004E458C" w:rsidRDefault="00000000">
            <w:pPr>
              <w:spacing w:after="60" w:line="280" w:lineRule="auto"/>
            </w:pPr>
            <w:r>
              <w:t>• Si la dosis diaria calculada supera el tope diario, se aplica el tope diario y aparece otra alerta similar.</w:t>
            </w:r>
          </w:p>
          <w:p w14:paraId="6FA8DCB6" w14:textId="77777777" w:rsidR="004E458C" w:rsidRDefault="00000000">
            <w:pPr>
              <w:spacing w:after="60" w:line="280" w:lineRule="auto"/>
            </w:pPr>
            <w:r>
              <w:t>• Los topes son críticos para la seguridad pediátrica y NUNCA se sobrepasan en los cálculos mostrados.</w:t>
            </w:r>
          </w:p>
        </w:tc>
      </w:tr>
    </w:tbl>
    <w:p w14:paraId="6DAC3633" w14:textId="77777777" w:rsidR="004E458C" w:rsidRDefault="00000000">
      <w:pPr>
        <w:pStyle w:val="Ttulo1"/>
      </w:pPr>
      <w:r>
        <w:lastRenderedPageBreak/>
        <w:t>14. Slider de seguridad (perfusión)</w:t>
      </w:r>
    </w:p>
    <w:p w14:paraId="02A83612" w14:textId="77777777" w:rsidR="004E458C" w:rsidRDefault="00000000">
      <w:pPr>
        <w:spacing w:after="100" w:line="280" w:lineRule="auto"/>
      </w:pPr>
      <w:r>
        <w:t xml:space="preserve">En modo perfusión, bajo el resultado del cálculo aparece </w:t>
      </w:r>
      <w:proofErr w:type="gramStart"/>
      <w:r>
        <w:t>un slider</w:t>
      </w:r>
      <w:proofErr w:type="gramEnd"/>
      <w:r>
        <w:t xml:space="preserve"> con gradiente verde → ámbar → rojo. Las zonas se calculan a partir de:</w:t>
      </w:r>
    </w:p>
    <w:p w14:paraId="0A2F079D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spellStart"/>
      <w:r>
        <w:t>dosisMin</w:t>
      </w:r>
      <w:proofErr w:type="spellEnd"/>
      <w:r>
        <w:t>: límite inferior del rango habitual.</w:t>
      </w:r>
    </w:p>
    <w:p w14:paraId="4943D8EB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spellStart"/>
      <w:r>
        <w:t>softMax</w:t>
      </w:r>
      <w:proofErr w:type="spellEnd"/>
      <w:r>
        <w:t>: límite superior del rango habitual (zona ámbar al superarlo).</w:t>
      </w:r>
    </w:p>
    <w:p w14:paraId="4AE599C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proofErr w:type="spellStart"/>
      <w:r>
        <w:t>hardMax</w:t>
      </w:r>
      <w:proofErr w:type="spellEnd"/>
      <w:r>
        <w:t>: límite de seguridad (zona roja al superarlo).</w:t>
      </w:r>
    </w:p>
    <w:p w14:paraId="654895B2" w14:textId="77777777" w:rsidR="004E458C" w:rsidRDefault="00000000">
      <w:pPr>
        <w:spacing w:before="100" w:after="100" w:line="280" w:lineRule="auto"/>
      </w:pPr>
      <w:r>
        <w:t xml:space="preserve">Puedes arrastrar </w:t>
      </w:r>
      <w:proofErr w:type="gramStart"/>
      <w:r>
        <w:t>el slider</w:t>
      </w:r>
      <w:proofErr w:type="gramEnd"/>
      <w:r>
        <w:t xml:space="preserve"> para experimentar con distintas dosis y ver el ritmo de bomba correspondiente. La etiqueta dinámica indica “✓ En rango / ▲ Alto / ▼ Bajo / ⚠ Tóxico”.</w:t>
      </w:r>
    </w:p>
    <w:p w14:paraId="2CA3AEEC" w14:textId="77777777" w:rsidR="004E458C" w:rsidRDefault="00000000">
      <w:pPr>
        <w:pStyle w:val="Ttulo1"/>
      </w:pPr>
      <w:r>
        <w:t>15. Slider de ajuste fino (intermitente)</w:t>
      </w:r>
    </w:p>
    <w:p w14:paraId="1E7A64BC" w14:textId="77777777" w:rsidR="004E458C" w:rsidRDefault="00000000">
      <w:pPr>
        <w:spacing w:after="100" w:line="280" w:lineRule="auto"/>
      </w:pPr>
      <w:r>
        <w:t xml:space="preserve">En modo intermitente, bajo el resultado aparece </w:t>
      </w:r>
      <w:proofErr w:type="gramStart"/>
      <w:r>
        <w:t>un slider</w:t>
      </w:r>
      <w:proofErr w:type="gramEnd"/>
      <w:r>
        <w:t xml:space="preserve"> de “ajuste fino” que permite multiplicar la dosis calculada por un factor entre 0,5× y 1,5×. Esto es útil para:</w:t>
      </w:r>
    </w:p>
    <w:p w14:paraId="58774155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Ajustar a la baja en pacientes especialmente sensibles o pequeños (factor &lt; 1).</w:t>
      </w:r>
    </w:p>
    <w:p w14:paraId="72124D3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Escalar en analgesia o sedación según respuesta clínica.</w:t>
      </w:r>
    </w:p>
    <w:p w14:paraId="43283F8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Ajustar a presentaciones reales (p. ej. redondear a una dosis fácil de medir en jeringa).</w:t>
      </w:r>
    </w:p>
    <w:p w14:paraId="7A1AA351" w14:textId="77777777" w:rsidR="004E458C" w:rsidRDefault="00000000">
      <w:pPr>
        <w:spacing w:before="100" w:after="100" w:line="280" w:lineRule="auto"/>
      </w:pPr>
      <w:r>
        <w:t xml:space="preserve">El porcentaje se muestra junto al control con código de color: </w:t>
      </w:r>
      <w:proofErr w:type="spellStart"/>
      <w:r>
        <w:t>cyan</w:t>
      </w:r>
      <w:proofErr w:type="spellEnd"/>
      <w:r>
        <w:t xml:space="preserve"> si &lt; 85%, verde si está en torno al estándar, ámbar si &gt; 115%. Los topes de dosis máxima absoluta siguen aplicándose después del factor.</w:t>
      </w:r>
    </w:p>
    <w:p w14:paraId="6AF842E0" w14:textId="750A4FC2" w:rsidR="004E458C" w:rsidRDefault="00000000">
      <w:pPr>
        <w:pStyle w:val="Ttulo1"/>
      </w:pPr>
      <w:r>
        <w:t>16. Información clínica de cada fármaco</w:t>
      </w:r>
    </w:p>
    <w:p w14:paraId="512A6D4E" w14:textId="27A2BA84" w:rsidR="004E458C" w:rsidRDefault="0087404C">
      <w:pPr>
        <w:spacing w:after="100" w:line="280" w:lineRule="auto"/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778952BD" wp14:editId="7D50B0AB">
            <wp:simplePos x="0" y="0"/>
            <wp:positionH relativeFrom="column">
              <wp:posOffset>0</wp:posOffset>
            </wp:positionH>
            <wp:positionV relativeFrom="paragraph">
              <wp:posOffset>57150</wp:posOffset>
            </wp:positionV>
            <wp:extent cx="2552700" cy="1054735"/>
            <wp:effectExtent l="76200" t="38100" r="76200" b="107315"/>
            <wp:wrapTight wrapText="bothSides">
              <wp:wrapPolygon edited="0">
                <wp:start x="-484" y="-780"/>
                <wp:lineTo x="-645" y="-390"/>
                <wp:lineTo x="-645" y="22627"/>
                <wp:lineTo x="-322" y="23408"/>
                <wp:lineTo x="21761" y="23408"/>
                <wp:lineTo x="22084" y="18726"/>
                <wp:lineTo x="22084" y="5852"/>
                <wp:lineTo x="21922" y="0"/>
                <wp:lineTo x="21922" y="-780"/>
                <wp:lineTo x="-484" y="-780"/>
              </wp:wrapPolygon>
            </wp:wrapTight>
            <wp:docPr id="195596233" name="Imagen 5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6233" name="Imagen 5" descr="Interfaz de usuario gráfica, Texto, Aplicación, Correo electrón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05473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t>Al pie del panel hay una sección colapsable “Información clínica” con tres pestañas:</w:t>
      </w:r>
    </w:p>
    <w:p w14:paraId="63B032C2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Indicaciones: para qué se usa el fármaco.</w:t>
      </w:r>
    </w:p>
    <w:p w14:paraId="79982C1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Precauciones: efectos adversos, ajustes en insuficiencia renal/hepática, interacciones.</w:t>
      </w:r>
    </w:p>
    <w:p w14:paraId="5DE16D76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Contraindicaciones: cuándo NO debe usarse.</w:t>
      </w:r>
    </w:p>
    <w:p w14:paraId="2C313DBB" w14:textId="77777777" w:rsidR="004E458C" w:rsidRDefault="00000000">
      <w:pPr>
        <w:spacing w:before="100" w:after="100" w:line="280" w:lineRule="auto"/>
      </w:pPr>
      <w:r>
        <w:t xml:space="preserve">Esta información proviene de </w:t>
      </w:r>
      <w:proofErr w:type="spellStart"/>
      <w:r>
        <w:t>Pediamécum</w:t>
      </w:r>
      <w:proofErr w:type="spellEnd"/>
      <w:r>
        <w:t xml:space="preserve">, SEUP, </w:t>
      </w:r>
      <w:proofErr w:type="spellStart"/>
      <w:r>
        <w:t>Neofax</w:t>
      </w:r>
      <w:proofErr w:type="spellEnd"/>
      <w:r>
        <w:t xml:space="preserve"> y ficha técnica AEMPS, y cada fármaco lleva un campo “fuente” visible al pie indicando de dónde proceden los datos.</w:t>
      </w:r>
    </w:p>
    <w:p w14:paraId="7819FE0E" w14:textId="77777777" w:rsidR="004E458C" w:rsidRDefault="00000000">
      <w:pPr>
        <w:pStyle w:val="Ttulo1"/>
      </w:pPr>
      <w:r>
        <w:t>17. Vista paciente: prescripción multi-fármaco</w:t>
      </w:r>
    </w:p>
    <w:p w14:paraId="18345819" w14:textId="77777777" w:rsidR="004E458C" w:rsidRDefault="00000000">
      <w:pPr>
        <w:spacing w:after="100" w:line="280" w:lineRule="auto"/>
      </w:pPr>
      <w:r>
        <w:t xml:space="preserve">Una de las funcionalidades más útiles de </w:t>
      </w:r>
      <w:proofErr w:type="spellStart"/>
      <w:r>
        <w:t>DosisPed</w:t>
      </w:r>
      <w:proofErr w:type="spellEnd"/>
      <w:r>
        <w:t>: puedes ir construyendo una prescripción completa para tu paciente con varios fármacos.</w:t>
      </w:r>
    </w:p>
    <w:p w14:paraId="2B24780C" w14:textId="77777777" w:rsidR="004E458C" w:rsidRDefault="00000000">
      <w:pPr>
        <w:pStyle w:val="Ttulo2"/>
      </w:pPr>
      <w:r>
        <w:lastRenderedPageBreak/>
        <w:t>Cómo añadir un fármaco a la prescripción</w:t>
      </w:r>
    </w:p>
    <w:p w14:paraId="311E2A58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Introduce el peso (y edad) del paciente.</w:t>
      </w:r>
    </w:p>
    <w:p w14:paraId="6D4B3E78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Abre el fármaco que quieres prescribir.</w:t>
      </w:r>
    </w:p>
    <w:p w14:paraId="7AA86CE3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Elige el modo, la pauta y el preparado si procede.</w:t>
      </w:r>
    </w:p>
    <w:p w14:paraId="2A6644DD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Ajusta el factor fino si lo necesitas.</w:t>
      </w:r>
    </w:p>
    <w:p w14:paraId="306CAAA0" w14:textId="77777777" w:rsidR="004E458C" w:rsidRDefault="00000000">
      <w:pPr>
        <w:pStyle w:val="Prrafodelista"/>
        <w:numPr>
          <w:ilvl w:val="0"/>
          <w:numId w:val="4"/>
        </w:numPr>
        <w:spacing w:after="80" w:line="280" w:lineRule="auto"/>
      </w:pPr>
      <w:r>
        <w:t>Pulsa el botón “+” que aparece en la cabecera del panel del fármaco. El botón se ilumina en verde cuando el fármaco está en la prescripción.</w:t>
      </w:r>
    </w:p>
    <w:p w14:paraId="53DA9BE2" w14:textId="77777777" w:rsidR="004E458C" w:rsidRDefault="00000000">
      <w:pPr>
        <w:spacing w:before="100" w:after="100" w:line="280" w:lineRule="auto"/>
      </w:pPr>
      <w:r>
        <w:t>El botón Paciente (👤) en el cabecero mostrará un contador con el número de fármacos guardados.</w:t>
      </w:r>
    </w:p>
    <w:p w14:paraId="049B0C31" w14:textId="77777777" w:rsidR="004E458C" w:rsidRDefault="00000000">
      <w:pPr>
        <w:pStyle w:val="Ttulo2"/>
      </w:pPr>
      <w:r>
        <w:t>Ver la prescripción consolidada</w:t>
      </w:r>
    </w:p>
    <w:p w14:paraId="4B2F542B" w14:textId="77777777" w:rsidR="004E458C" w:rsidRDefault="00000000">
      <w:pPr>
        <w:spacing w:after="100" w:line="280" w:lineRule="auto"/>
      </w:pPr>
      <w:r>
        <w:t>Al pulsar el botón Paciente se abre un modal con todos los fármacos prescritos. Para cada uno se muestra:</w:t>
      </w:r>
    </w:p>
    <w:p w14:paraId="71BCE17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Nombre y vía de administración.</w:t>
      </w:r>
    </w:p>
    <w:p w14:paraId="7621947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Dosis calculada con el peso actual.</w:t>
      </w:r>
    </w:p>
    <w:p w14:paraId="014AD46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Pauta (cada cuántas horas y total/día).</w:t>
      </w:r>
    </w:p>
    <w:p w14:paraId="2EC46963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Volumen del preparado si lo hay.</w:t>
      </w:r>
    </w:p>
    <w:p w14:paraId="400BC43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Factor de ajuste fino si se aplicó.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28CC04F7" w14:textId="77777777">
        <w:tc>
          <w:tcPr>
            <w:tcW w:w="9360" w:type="dxa"/>
            <w:tcBorders>
              <w:top w:val="single" w:sz="6" w:space="0" w:color="B45309"/>
              <w:left w:val="single" w:sz="18" w:space="0" w:color="B45309"/>
              <w:bottom w:val="single" w:sz="6" w:space="0" w:color="B45309"/>
              <w:right w:val="single" w:sz="6" w:space="0" w:color="B45309"/>
            </w:tcBorders>
            <w:shd w:val="clear" w:color="auto" w:fill="FEF3C7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E747C98" w14:textId="77777777" w:rsidR="004E458C" w:rsidRDefault="00000000">
            <w:pPr>
              <w:spacing w:after="100"/>
            </w:pPr>
            <w:r>
              <w:rPr>
                <w:b/>
                <w:bCs/>
                <w:color w:val="B45309"/>
                <w:sz w:val="24"/>
                <w:szCs w:val="24"/>
              </w:rPr>
              <w:t>Detección de cambios en el peso</w:t>
            </w:r>
          </w:p>
          <w:p w14:paraId="75DC8AF6" w14:textId="77777777" w:rsidR="004E458C" w:rsidRDefault="00000000">
            <w:pPr>
              <w:spacing w:after="60" w:line="280" w:lineRule="auto"/>
            </w:pPr>
            <w:r>
              <w:t>Si el peso del paciente cambia después de añadir un fármaco a la prescripción, la tarjeta de ese fármaco se marca como “</w:t>
            </w:r>
            <w:proofErr w:type="spellStart"/>
            <w:r>
              <w:t>stale</w:t>
            </w:r>
            <w:proofErr w:type="spellEnd"/>
            <w:r>
              <w:t>” (borde ámbar) y aparece un aviso: “</w:t>
            </w:r>
            <w:proofErr w:type="spellStart"/>
            <w:r>
              <w:t>Re-añade</w:t>
            </w:r>
            <w:proofErr w:type="spellEnd"/>
            <w:r>
              <w:t xml:space="preserve"> el fármaco para actualizar.” Esto evita que arrastres dosis viejas calculadas con un peso anterior.</w:t>
            </w:r>
          </w:p>
        </w:tc>
      </w:tr>
    </w:tbl>
    <w:p w14:paraId="35E74C7A" w14:textId="77777777" w:rsidR="004E458C" w:rsidRDefault="00000000">
      <w:pPr>
        <w:pStyle w:val="Ttulo1"/>
      </w:pPr>
      <w:r>
        <w:t>18. Imprimir y compartir la prescripción</w:t>
      </w:r>
    </w:p>
    <w:p w14:paraId="056DA882" w14:textId="77777777" w:rsidR="004E458C" w:rsidRDefault="00000000">
      <w:pPr>
        <w:spacing w:after="100" w:line="280" w:lineRule="auto"/>
      </w:pPr>
      <w:r>
        <w:t>Desde la Vista paciente tienes cinco acciones:</w:t>
      </w:r>
    </w:p>
    <w:p w14:paraId="5AE641F1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Nuevo paciente: borra peso, edad, modo neonato y prescripción. Empieza limpio (pide confirmación).</w:t>
      </w:r>
    </w:p>
    <w:p w14:paraId="4E7C95AA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Vaciar: borra solo la prescripción (mantiene peso y edad).</w:t>
      </w:r>
    </w:p>
    <w:p w14:paraId="1C866FCE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 xml:space="preserve">🖨 Imprimir: genera una vista limpia tipo receta con cabecera, datos del paciente, lista numerada de fármacos, </w:t>
      </w:r>
      <w:proofErr w:type="spellStart"/>
      <w:r>
        <w:t>disclaimer</w:t>
      </w:r>
      <w:proofErr w:type="spellEnd"/>
      <w:r>
        <w:t xml:space="preserve"> profesional y espacio para firma. Desde el diálogo de impresión del navegador puedes guardar como PDF.</w:t>
      </w:r>
    </w:p>
    <w:p w14:paraId="6C7BEB87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🔗 Enlace: codifica toda la prescripción (paciente + fármacos) en una URL y la copia al portapapeles. Compártela con un compañero y al abrirla en otro dispositivo se cargará automáticamente (con confirmación). Útil para pase de guardia.</w:t>
      </w:r>
    </w:p>
    <w:p w14:paraId="6907950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lastRenderedPageBreak/>
        <w:t>📋 Copiar: copia la prescripción al portapapeles como texto plano, lista para pegar en la historia clínica electrónica.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E458C" w14:paraId="7129F286" w14:textId="77777777">
        <w:tc>
          <w:tcPr>
            <w:tcW w:w="9360" w:type="dxa"/>
            <w:tcBorders>
              <w:top w:val="single" w:sz="6" w:space="0" w:color="0D9488"/>
              <w:left w:val="single" w:sz="18" w:space="0" w:color="0D9488"/>
              <w:bottom w:val="single" w:sz="6" w:space="0" w:color="0D9488"/>
              <w:right w:val="single" w:sz="6" w:space="0" w:color="0D9488"/>
            </w:tcBorders>
            <w:shd w:val="clear" w:color="auto" w:fill="E0F7F4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2EBFDAF" w14:textId="77777777" w:rsidR="004E458C" w:rsidRDefault="00000000">
            <w:pPr>
              <w:spacing w:after="100"/>
            </w:pPr>
            <w:r>
              <w:rPr>
                <w:b/>
                <w:bCs/>
                <w:color w:val="0D9488"/>
                <w:sz w:val="24"/>
                <w:szCs w:val="24"/>
              </w:rPr>
              <w:t>Formato del texto copiado</w:t>
            </w:r>
          </w:p>
          <w:p w14:paraId="127016DE" w14:textId="77777777" w:rsidR="004E458C" w:rsidRDefault="00000000">
            <w:pPr>
              <w:spacing w:after="60" w:line="280" w:lineRule="auto"/>
            </w:pPr>
            <w:r>
              <w:t xml:space="preserve">Incluye una cabecera “PRESCRIPCIÓN PEDIÁTRICA — </w:t>
            </w:r>
            <w:proofErr w:type="spellStart"/>
            <w:r>
              <w:t>DosisPed</w:t>
            </w:r>
            <w:proofErr w:type="spellEnd"/>
            <w:r>
              <w:t>”, los datos del paciente, cada fármaco numerado con su vía, dosis, pauta y volumen, y al final el aviso “Herramienta de apoyo clínico. Verificar antes de prescribir.”</w:t>
            </w:r>
          </w:p>
        </w:tc>
      </w:tr>
    </w:tbl>
    <w:p w14:paraId="714A0180" w14:textId="77777777" w:rsidR="004E458C" w:rsidRDefault="00000000">
      <w:pPr>
        <w:pStyle w:val="Ttulo1"/>
      </w:pPr>
      <w:r>
        <w:t>19. Historial de la sesión y favoritos</w:t>
      </w:r>
    </w:p>
    <w:p w14:paraId="3F289166" w14:textId="6AE828A8" w:rsidR="004E458C" w:rsidRDefault="00000000">
      <w:pPr>
        <w:pStyle w:val="Ttulo2"/>
      </w:pPr>
      <w:r>
        <w:t>Historial</w:t>
      </w:r>
    </w:p>
    <w:p w14:paraId="125EC050" w14:textId="0D6A3333" w:rsidR="004E458C" w:rsidRDefault="007D7715">
      <w:pPr>
        <w:spacing w:after="100" w:line="280" w:lineRule="auto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4C1E15ED" wp14:editId="4AE5CC60">
            <wp:simplePos x="0" y="0"/>
            <wp:positionH relativeFrom="column">
              <wp:posOffset>3571875</wp:posOffset>
            </wp:positionH>
            <wp:positionV relativeFrom="paragraph">
              <wp:posOffset>55245</wp:posOffset>
            </wp:positionV>
            <wp:extent cx="2038350" cy="1935480"/>
            <wp:effectExtent l="76200" t="38100" r="76200" b="121920"/>
            <wp:wrapTight wrapText="bothSides">
              <wp:wrapPolygon edited="0">
                <wp:start x="-606" y="-425"/>
                <wp:lineTo x="-807" y="-213"/>
                <wp:lineTo x="-807" y="22323"/>
                <wp:lineTo x="-404" y="22748"/>
                <wp:lineTo x="21802" y="22748"/>
                <wp:lineTo x="22206" y="20409"/>
                <wp:lineTo x="22206" y="3189"/>
                <wp:lineTo x="22004" y="0"/>
                <wp:lineTo x="22004" y="-425"/>
                <wp:lineTo x="-606" y="-425"/>
              </wp:wrapPolygon>
            </wp:wrapTight>
            <wp:docPr id="610122304" name="Imagen 6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22304" name="Imagen 6" descr="Interfaz de usuario gráfica, Texto, Aplicación, Correo electrónic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350" cy="19354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t xml:space="preserve">El botón ⏱ del cabecero abre un </w:t>
      </w:r>
      <w:proofErr w:type="spellStart"/>
      <w:r>
        <w:t>dropdown</w:t>
      </w:r>
      <w:proofErr w:type="spellEnd"/>
      <w:r>
        <w:t xml:space="preserve"> con los últimos 15 fármacos consultados en la sesión actual. Para cada uno se muestra el icono, el nombre, la categoría y cuánto tiempo hace que se abrió (“ahora / hace 5 min / hace 2 h”). Pulsa cualquier entrada para volver a abrirlo. Hay un botón “Vaciar” para limpiar el historial.</w:t>
      </w:r>
    </w:p>
    <w:p w14:paraId="580470C3" w14:textId="77777777" w:rsidR="004E458C" w:rsidRDefault="00000000">
      <w:pPr>
        <w:spacing w:before="60" w:after="100" w:line="280" w:lineRule="auto"/>
      </w:pPr>
      <w:r>
        <w:t xml:space="preserve">El historial se borra al cerrar la pestaña del navegador (vive en </w:t>
      </w:r>
      <w:proofErr w:type="spellStart"/>
      <w:r>
        <w:t>sessionStorage</w:t>
      </w:r>
      <w:proofErr w:type="spellEnd"/>
      <w:r>
        <w:t>).</w:t>
      </w:r>
    </w:p>
    <w:p w14:paraId="3D66CF6B" w14:textId="77777777" w:rsidR="004E458C" w:rsidRDefault="00000000">
      <w:pPr>
        <w:pStyle w:val="Ttulo2"/>
      </w:pPr>
      <w:r>
        <w:t>Favoritos</w:t>
      </w:r>
    </w:p>
    <w:p w14:paraId="2C3008E6" w14:textId="77777777" w:rsidR="004E458C" w:rsidRDefault="00000000">
      <w:pPr>
        <w:spacing w:after="100" w:line="280" w:lineRule="auto"/>
      </w:pPr>
      <w:r>
        <w:t xml:space="preserve">Pulsa la ★ del panel para marcar un fármaco como favorito. El filtro “Favoritos” en la </w:t>
      </w:r>
      <w:proofErr w:type="spellStart"/>
      <w:r>
        <w:t>sidebar</w:t>
      </w:r>
      <w:proofErr w:type="spellEnd"/>
      <w:r>
        <w:t xml:space="preserve"> te muestra solo tus fármacos marcados, lo que acelera mucho el trabajo si usas siempre los mismos 10–15 fármacos.</w:t>
      </w:r>
    </w:p>
    <w:p w14:paraId="49D22EE7" w14:textId="77777777" w:rsidR="004E458C" w:rsidRDefault="00000000">
      <w:pPr>
        <w:pStyle w:val="Ttulo1"/>
      </w:pPr>
      <w:r>
        <w:t>20. Modo claro/oscuro y diseño responsive</w:t>
      </w:r>
    </w:p>
    <w:p w14:paraId="1F5E3B79" w14:textId="77777777" w:rsidR="004E458C" w:rsidRDefault="00000000">
      <w:pPr>
        <w:spacing w:after="100" w:line="280" w:lineRule="auto"/>
      </w:pPr>
      <w:r>
        <w:t>El botón con icono de luna/sol en el cabecero alterna entre modo claro y oscuro. Tu preferencia se recuerda entre sesiones.</w:t>
      </w:r>
    </w:p>
    <w:p w14:paraId="7D1C457A" w14:textId="77777777" w:rsidR="004E458C" w:rsidRDefault="00000000">
      <w:pPr>
        <w:spacing w:after="100" w:line="280" w:lineRule="auto"/>
      </w:pPr>
      <w:r>
        <w:t>La aplicación es completamente responsive y se adapta a:</w:t>
      </w:r>
    </w:p>
    <w:p w14:paraId="40A26630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Pantalla de escritorio (</w:t>
      </w:r>
      <w:proofErr w:type="spellStart"/>
      <w:r>
        <w:t>sidebar</w:t>
      </w:r>
      <w:proofErr w:type="spellEnd"/>
      <w:r>
        <w:t xml:space="preserve"> 320 </w:t>
      </w:r>
      <w:proofErr w:type="spellStart"/>
      <w:r>
        <w:t>px</w:t>
      </w:r>
      <w:proofErr w:type="spellEnd"/>
      <w:r>
        <w:t xml:space="preserve"> + panel ancho).</w:t>
      </w:r>
    </w:p>
    <w:p w14:paraId="3137057F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Tablet (</w:t>
      </w:r>
      <w:proofErr w:type="spellStart"/>
      <w:r>
        <w:t>sidebar</w:t>
      </w:r>
      <w:proofErr w:type="spellEnd"/>
      <w:r>
        <w:t xml:space="preserve"> reducida).</w:t>
      </w:r>
    </w:p>
    <w:p w14:paraId="26DAAC9C" w14:textId="77777777" w:rsidR="004E458C" w:rsidRDefault="00000000">
      <w:pPr>
        <w:pStyle w:val="Prrafodelista"/>
        <w:numPr>
          <w:ilvl w:val="0"/>
          <w:numId w:val="2"/>
        </w:numPr>
        <w:spacing w:after="80" w:line="280" w:lineRule="auto"/>
      </w:pPr>
      <w:r>
        <w:t>Móvil (</w:t>
      </w:r>
      <w:proofErr w:type="spellStart"/>
      <w:r>
        <w:t>sidebar</w:t>
      </w:r>
      <w:proofErr w:type="spellEnd"/>
      <w:r>
        <w:t xml:space="preserve"> a pantalla completa, panel desplegable desde abajo tipo bottom-</w:t>
      </w:r>
      <w:proofErr w:type="spellStart"/>
      <w:r>
        <w:t>sheet</w:t>
      </w:r>
      <w:proofErr w:type="spellEnd"/>
      <w:r>
        <w:t>).</w:t>
      </w:r>
    </w:p>
    <w:p w14:paraId="4BC84DB8" w14:textId="77777777" w:rsidR="007D7715" w:rsidRDefault="007D7715">
      <w:pPr>
        <w:pStyle w:val="Ttulo1"/>
      </w:pPr>
    </w:p>
    <w:p w14:paraId="2E1C9D7C" w14:textId="589AF57B" w:rsidR="004E458C" w:rsidRDefault="00000000">
      <w:pPr>
        <w:pStyle w:val="Ttulo1"/>
      </w:pPr>
      <w:r>
        <w:lastRenderedPageBreak/>
        <w:t xml:space="preserve">21. Instalar </w:t>
      </w:r>
      <w:proofErr w:type="spellStart"/>
      <w:r>
        <w:t>DosisPed</w:t>
      </w:r>
      <w:proofErr w:type="spellEnd"/>
      <w:r>
        <w:t xml:space="preserve"> como </w:t>
      </w:r>
      <w:proofErr w:type="gramStart"/>
      <w:r>
        <w:t>app</w:t>
      </w:r>
      <w:proofErr w:type="gramEnd"/>
      <w:r>
        <w:t xml:space="preserve"> (PWA)</w:t>
      </w:r>
    </w:p>
    <w:p w14:paraId="1AD27C76" w14:textId="77777777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es una </w:t>
      </w:r>
      <w:proofErr w:type="spellStart"/>
      <w:r>
        <w:t>Progressive</w:t>
      </w:r>
      <w:proofErr w:type="spellEnd"/>
      <w:r>
        <w:t xml:space="preserve"> Web App (PWA), lo que significa que puedes instalarla como una </w:t>
      </w:r>
      <w:proofErr w:type="gramStart"/>
      <w:r>
        <w:t>app</w:t>
      </w:r>
      <w:proofErr w:type="gramEnd"/>
      <w:r>
        <w:t xml:space="preserve"> nativa en tu móvil, </w:t>
      </w:r>
      <w:proofErr w:type="spellStart"/>
      <w:r>
        <w:t>tablet</w:t>
      </w:r>
      <w:proofErr w:type="spellEnd"/>
      <w:r>
        <w:t xml:space="preserve"> u ordenador. Una vez instalada, tendrá su icono propio en la pantalla de inicio y se abrirá a pantalla completa, sin barras del navegador.</w:t>
      </w:r>
    </w:p>
    <w:p w14:paraId="17FD6940" w14:textId="77777777" w:rsidR="004E458C" w:rsidRDefault="00000000">
      <w:pPr>
        <w:pStyle w:val="Ttulo2"/>
      </w:pPr>
      <w:r>
        <w:t>En iPhone / iPad (Safari)</w:t>
      </w:r>
    </w:p>
    <w:p w14:paraId="6FBB806F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Abre cjgaland.github.io/</w:t>
      </w:r>
      <w:proofErr w:type="spellStart"/>
      <w:r>
        <w:t>DosisPed</w:t>
      </w:r>
      <w:proofErr w:type="spellEnd"/>
      <w:r>
        <w:t xml:space="preserve"> en Safari.</w:t>
      </w:r>
    </w:p>
    <w:p w14:paraId="073B0768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Toca el botón Compartir (cuadrado con flecha hacia arriba).</w:t>
      </w:r>
    </w:p>
    <w:p w14:paraId="7E97D59A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Desplázate y toca “Añadir a pantalla de inicio”.</w:t>
      </w:r>
    </w:p>
    <w:p w14:paraId="21EA7753" w14:textId="77777777" w:rsidR="004E458C" w:rsidRDefault="00000000">
      <w:pPr>
        <w:pStyle w:val="Prrafodelista"/>
        <w:numPr>
          <w:ilvl w:val="0"/>
          <w:numId w:val="5"/>
        </w:numPr>
        <w:spacing w:after="80" w:line="280" w:lineRule="auto"/>
      </w:pPr>
      <w:r>
        <w:t>Confirma con “Añadir”. El icono aparece en la pantalla de inicio.</w:t>
      </w:r>
    </w:p>
    <w:p w14:paraId="3AF060BA" w14:textId="77777777" w:rsidR="004E458C" w:rsidRDefault="00000000">
      <w:pPr>
        <w:pStyle w:val="Ttulo2"/>
      </w:pPr>
      <w:r>
        <w:t>En Android (Chrome)</w:t>
      </w:r>
    </w:p>
    <w:p w14:paraId="32BB948A" w14:textId="77777777" w:rsidR="004E458C" w:rsidRDefault="00000000">
      <w:pPr>
        <w:pStyle w:val="Prrafodelista"/>
        <w:numPr>
          <w:ilvl w:val="0"/>
          <w:numId w:val="6"/>
        </w:numPr>
        <w:spacing w:after="80" w:line="280" w:lineRule="auto"/>
      </w:pPr>
      <w:r>
        <w:t>Abre cjgaland.github.io/</w:t>
      </w:r>
      <w:proofErr w:type="spellStart"/>
      <w:r>
        <w:t>DosisPed</w:t>
      </w:r>
      <w:proofErr w:type="spellEnd"/>
      <w:r>
        <w:t xml:space="preserve"> en Chrome.</w:t>
      </w:r>
    </w:p>
    <w:p w14:paraId="613E4B39" w14:textId="77777777" w:rsidR="004E458C" w:rsidRDefault="00000000">
      <w:pPr>
        <w:pStyle w:val="Prrafodelista"/>
        <w:numPr>
          <w:ilvl w:val="0"/>
          <w:numId w:val="6"/>
        </w:numPr>
        <w:spacing w:after="80" w:line="280" w:lineRule="auto"/>
      </w:pPr>
      <w:r>
        <w:t xml:space="preserve">Aparecerá un banner “Instalar </w:t>
      </w:r>
      <w:proofErr w:type="spellStart"/>
      <w:r>
        <w:t>DosisPed</w:t>
      </w:r>
      <w:proofErr w:type="spellEnd"/>
      <w:r>
        <w:t xml:space="preserve">” — púlsalo. O bien menú ⋮ → “Instalar </w:t>
      </w:r>
      <w:proofErr w:type="gramStart"/>
      <w:r>
        <w:t>app</w:t>
      </w:r>
      <w:proofErr w:type="gramEnd"/>
      <w:r>
        <w:t>”.</w:t>
      </w:r>
    </w:p>
    <w:p w14:paraId="2DD8A26C" w14:textId="77777777" w:rsidR="004E458C" w:rsidRDefault="00000000">
      <w:pPr>
        <w:pStyle w:val="Prrafodelista"/>
        <w:numPr>
          <w:ilvl w:val="0"/>
          <w:numId w:val="6"/>
        </w:numPr>
        <w:spacing w:after="80" w:line="280" w:lineRule="auto"/>
      </w:pPr>
      <w:r>
        <w:t>Confirma. El icono se añade automáticamente.</w:t>
      </w:r>
    </w:p>
    <w:p w14:paraId="6ADBE578" w14:textId="77777777" w:rsidR="004E458C" w:rsidRDefault="00000000">
      <w:pPr>
        <w:pStyle w:val="Ttulo2"/>
      </w:pPr>
      <w:r>
        <w:t>En ordenador (Chrome / Edge)</w:t>
      </w:r>
    </w:p>
    <w:p w14:paraId="10FF1D70" w14:textId="77777777" w:rsidR="004E458C" w:rsidRDefault="00000000">
      <w:pPr>
        <w:spacing w:after="100" w:line="280" w:lineRule="auto"/>
      </w:pPr>
      <w:r>
        <w:t xml:space="preserve">Aparecerá un icono de instalación en la barra de direcciones (un + dentro de un monitor). Púlsalo y confirma. La </w:t>
      </w:r>
      <w:proofErr w:type="gramStart"/>
      <w:r>
        <w:t>app</w:t>
      </w:r>
      <w:proofErr w:type="gramEnd"/>
      <w:r>
        <w:t xml:space="preserve"> se instalará y se abrirá como cualquier aplicación de escritorio.</w:t>
      </w:r>
    </w:p>
    <w:p w14:paraId="26191A72" w14:textId="77777777" w:rsidR="004E458C" w:rsidRDefault="00000000">
      <w:pPr>
        <w:pStyle w:val="Ttulo1"/>
      </w:pPr>
      <w:r>
        <w:t>22. Funcionamiento offline</w:t>
      </w:r>
    </w:p>
    <w:p w14:paraId="2C184934" w14:textId="77777777" w:rsidR="004E458C" w:rsidRDefault="00000000">
      <w:pPr>
        <w:spacing w:after="100" w:line="280" w:lineRule="auto"/>
      </w:pPr>
      <w:r>
        <w:t xml:space="preserve">Una vez cargada la </w:t>
      </w:r>
      <w:proofErr w:type="gramStart"/>
      <w:r>
        <w:t>app</w:t>
      </w:r>
      <w:proofErr w:type="gramEnd"/>
      <w:r>
        <w:t xml:space="preserve"> por primera vez, </w:t>
      </w:r>
      <w:proofErr w:type="spellStart"/>
      <w:r>
        <w:t>DosisPed</w:t>
      </w:r>
      <w:proofErr w:type="spellEnd"/>
      <w:r>
        <w:t xml:space="preserve"> funciona completamente offline. Esto significa que puedes usarla sin conexión a internet: en un box de urgencias con mala cobertura, en planta, en el coche durante un traslado, etc.</w:t>
      </w:r>
    </w:p>
    <w:p w14:paraId="3ABD15CD" w14:textId="77777777" w:rsidR="004E458C" w:rsidRDefault="00000000">
      <w:pPr>
        <w:spacing w:after="100" w:line="280" w:lineRule="auto"/>
      </w:pPr>
      <w:r>
        <w:t>Los datos del paciente y la prescripción se guardan en el dispositivo (almacenamiento local del navegador), no en ningún servidor externo. Eso garantiza la privacidad: ningún dato sale del dispositivo.</w:t>
      </w:r>
    </w:p>
    <w:p w14:paraId="02FA1F03" w14:textId="77777777" w:rsidR="004E458C" w:rsidRDefault="00000000">
      <w:pPr>
        <w:pStyle w:val="Ttulo2"/>
      </w:pPr>
      <w:r>
        <w:t>Actualizaciones automáticas</w:t>
      </w:r>
    </w:p>
    <w:p w14:paraId="508458C8" w14:textId="77777777" w:rsidR="004E458C" w:rsidRDefault="00000000">
      <w:pPr>
        <w:spacing w:after="100" w:line="280" w:lineRule="auto"/>
      </w:pPr>
      <w:r>
        <w:t xml:space="preserve">Cuando se publica una nueva versión, la próxima vez que abras la </w:t>
      </w:r>
      <w:proofErr w:type="gramStart"/>
      <w:r>
        <w:t>app</w:t>
      </w:r>
      <w:proofErr w:type="gramEnd"/>
      <w:r>
        <w:t xml:space="preserve"> con conexión, se descargará en segundo plano. Para activarla, cierra y reabre la </w:t>
      </w:r>
      <w:proofErr w:type="gramStart"/>
      <w:r>
        <w:t>app</w:t>
      </w:r>
      <w:proofErr w:type="gramEnd"/>
      <w:r>
        <w:t xml:space="preserve"> (o pulsa </w:t>
      </w:r>
      <w:proofErr w:type="spellStart"/>
      <w:r>
        <w:t>Cmd+Shift+R</w:t>
      </w:r>
      <w:proofErr w:type="spellEnd"/>
      <w:r>
        <w:t xml:space="preserve"> en navegador).</w:t>
      </w:r>
    </w:p>
    <w:p w14:paraId="004ECE53" w14:textId="77777777" w:rsidR="004E458C" w:rsidRDefault="00000000">
      <w:pPr>
        <w:pStyle w:val="Ttulo1"/>
      </w:pPr>
      <w:r>
        <w:t>23. Fuentes consultadas</w:t>
      </w:r>
    </w:p>
    <w:p w14:paraId="6A4DEC37" w14:textId="77777777" w:rsidR="004E458C" w:rsidRDefault="00000000">
      <w:pPr>
        <w:spacing w:after="100" w:line="280" w:lineRule="auto"/>
      </w:pPr>
      <w:r>
        <w:t xml:space="preserve">Las dosis de </w:t>
      </w:r>
      <w:proofErr w:type="spellStart"/>
      <w:r>
        <w:t>DosisPed</w:t>
      </w:r>
      <w:proofErr w:type="spellEnd"/>
      <w:r>
        <w:t xml:space="preserve"> están basadas, por orden de prioridad, en:</w:t>
      </w:r>
    </w:p>
    <w:p w14:paraId="4A6BDE50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proofErr w:type="spellStart"/>
      <w:r>
        <w:lastRenderedPageBreak/>
        <w:t>Pediamécum</w:t>
      </w:r>
      <w:proofErr w:type="spellEnd"/>
      <w:r>
        <w:t xml:space="preserve"> — Comité de Medicamentos de la Asociación Española de Pediatría (AEP). Referencia maestra. En caso de discrepancia entre fuentes, prevalece.</w:t>
      </w:r>
    </w:p>
    <w:p w14:paraId="273C6D3E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r>
        <w:t>SEUP — Sociedad Española de Urgencias Pediátricas. Manual de Urgencias Pediátricas. Prioritaria en contexto de urgencias.</w:t>
      </w:r>
    </w:p>
    <w:p w14:paraId="5437B69E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proofErr w:type="spellStart"/>
      <w:r>
        <w:t>Neofax</w:t>
      </w:r>
      <w:proofErr w:type="spellEnd"/>
      <w:r>
        <w:t xml:space="preserve"> / Guías SEN — Para dosificación neonatal por edad gestacional y postnatal.</w:t>
      </w:r>
    </w:p>
    <w:p w14:paraId="7865B618" w14:textId="77777777" w:rsidR="004E458C" w:rsidRDefault="00000000">
      <w:pPr>
        <w:pStyle w:val="Prrafodelista"/>
        <w:numPr>
          <w:ilvl w:val="0"/>
          <w:numId w:val="7"/>
        </w:numPr>
        <w:spacing w:after="80" w:line="280" w:lineRule="auto"/>
      </w:pPr>
      <w:r>
        <w:t>Ficha técnica AEMPS — Agencia Española de Medicamentos y Productos Sanitarios (cima.aemps.es).</w:t>
      </w:r>
    </w:p>
    <w:p w14:paraId="7107A9BB" w14:textId="77777777" w:rsidR="004E458C" w:rsidRPr="00D86A63" w:rsidRDefault="00000000">
      <w:pPr>
        <w:pStyle w:val="Prrafodelista"/>
        <w:numPr>
          <w:ilvl w:val="0"/>
          <w:numId w:val="7"/>
        </w:numPr>
        <w:spacing w:after="80" w:line="280" w:lineRule="auto"/>
        <w:rPr>
          <w:lang w:val="en-US"/>
        </w:rPr>
      </w:pPr>
      <w:r w:rsidRPr="00D86A63">
        <w:rPr>
          <w:lang w:val="en-US"/>
        </w:rPr>
        <w:t xml:space="preserve">Harriet Lane Handbook (Johns Hopkins) y Lexicomp Pediatric &amp; Neonatal Dosage Handbook — </w:t>
      </w:r>
      <w:proofErr w:type="spellStart"/>
      <w:r w:rsidRPr="00D86A63">
        <w:rPr>
          <w:lang w:val="en-US"/>
        </w:rPr>
        <w:t>como</w:t>
      </w:r>
      <w:proofErr w:type="spellEnd"/>
      <w:r w:rsidRPr="00D86A63">
        <w:rPr>
          <w:lang w:val="en-US"/>
        </w:rPr>
        <w:t xml:space="preserve"> </w:t>
      </w:r>
      <w:proofErr w:type="spellStart"/>
      <w:r w:rsidRPr="00D86A63">
        <w:rPr>
          <w:lang w:val="en-US"/>
        </w:rPr>
        <w:t>complemento</w:t>
      </w:r>
      <w:proofErr w:type="spellEnd"/>
      <w:r w:rsidRPr="00D86A63">
        <w:rPr>
          <w:lang w:val="en-US"/>
        </w:rPr>
        <w:t>.</w:t>
      </w:r>
    </w:p>
    <w:p w14:paraId="4E07643E" w14:textId="77777777" w:rsidR="004E458C" w:rsidRDefault="00000000">
      <w:pPr>
        <w:spacing w:before="100" w:after="100" w:line="280" w:lineRule="auto"/>
      </w:pPr>
      <w:r>
        <w:t>Cada fármaco lleva un campo “fuente” visible al pie de su información clínica, indicando de dónde proceden los datos concretos.</w:t>
      </w:r>
    </w:p>
    <w:p w14:paraId="0C9D7B5D" w14:textId="77777777" w:rsidR="004E458C" w:rsidRDefault="00000000">
      <w:pPr>
        <w:pStyle w:val="Ttulo1"/>
      </w:pPr>
      <w:r>
        <w:t>24. Preguntas frecuentes</w:t>
      </w:r>
    </w:p>
    <w:p w14:paraId="1092544A" w14:textId="77777777" w:rsidR="004E458C" w:rsidRDefault="00000000">
      <w:pPr>
        <w:pStyle w:val="Ttulo3"/>
      </w:pPr>
      <w:r>
        <w:t>¿Puedo confiar al 100% en las dosis que muestra?</w:t>
      </w:r>
    </w:p>
    <w:p w14:paraId="58B84285" w14:textId="77777777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se ha desarrollado con cuidado clínico y verificación contra las fuentes citadas, pero NO sustituye la responsabilidad profesional. Las dosis son orientativas y deben verificarse antes de prescribir.</w:t>
      </w:r>
    </w:p>
    <w:p w14:paraId="2FDCC587" w14:textId="77777777" w:rsidR="004E458C" w:rsidRDefault="00000000">
      <w:pPr>
        <w:pStyle w:val="Ttulo3"/>
      </w:pPr>
      <w:r>
        <w:t>¿Por qué algunos fármacos no tienen ciertas vías?</w:t>
      </w:r>
    </w:p>
    <w:p w14:paraId="4392A462" w14:textId="77777777" w:rsidR="004E458C" w:rsidRDefault="00000000">
      <w:pPr>
        <w:spacing w:after="100" w:line="280" w:lineRule="auto"/>
      </w:pPr>
      <w:r>
        <w:t>Solo se incluyen las vías habituales en pediatría española. Si echas en falta una, contacta con el autor.</w:t>
      </w:r>
    </w:p>
    <w:p w14:paraId="6BB9235C" w14:textId="77777777" w:rsidR="004E458C" w:rsidRDefault="00000000">
      <w:pPr>
        <w:pStyle w:val="Ttulo3"/>
      </w:pPr>
      <w:r>
        <w:t>¿Cómo se actualizan las dosis?</w:t>
      </w:r>
    </w:p>
    <w:p w14:paraId="388E5F82" w14:textId="77777777" w:rsidR="004E458C" w:rsidRDefault="00000000">
      <w:pPr>
        <w:spacing w:after="100" w:line="280" w:lineRule="auto"/>
      </w:pPr>
      <w:r>
        <w:t xml:space="preserve">La aplicación recibe actualizaciones cuando se publican nuevas versiones (cambios en </w:t>
      </w:r>
      <w:proofErr w:type="spellStart"/>
      <w:r>
        <w:t>Pediamécum</w:t>
      </w:r>
      <w:proofErr w:type="spellEnd"/>
      <w:r>
        <w:t>, nuevos fármacos, mejoras). Con conexión a internet, las actualizaciones se aplican automáticamente.</w:t>
      </w:r>
    </w:p>
    <w:p w14:paraId="48F2C509" w14:textId="77777777" w:rsidR="004E458C" w:rsidRDefault="00000000">
      <w:pPr>
        <w:pStyle w:val="Ttulo3"/>
      </w:pPr>
      <w:r>
        <w:t>¿Mis datos de paciente se envían a algún servidor?</w:t>
      </w:r>
    </w:p>
    <w:p w14:paraId="247DB6B3" w14:textId="77777777" w:rsidR="004E458C" w:rsidRDefault="00000000">
      <w:pPr>
        <w:spacing w:after="100" w:line="280" w:lineRule="auto"/>
      </w:pPr>
      <w:r>
        <w:t xml:space="preserve">NO. </w:t>
      </w:r>
      <w:proofErr w:type="spellStart"/>
      <w:r>
        <w:t>DosisPed</w:t>
      </w:r>
      <w:proofErr w:type="spellEnd"/>
      <w:r>
        <w:t xml:space="preserve"> funciona íntegramente en el navegador del dispositivo. El peso, edad y prescripción se guardan solo en el almacenamiento local. Nada se envía fuera.</w:t>
      </w:r>
    </w:p>
    <w:p w14:paraId="05D6AEFF" w14:textId="77777777" w:rsidR="004E458C" w:rsidRDefault="00000000">
      <w:pPr>
        <w:pStyle w:val="Ttulo3"/>
      </w:pPr>
      <w:r>
        <w:t>¿Puedo usarla sin conexión?</w:t>
      </w:r>
    </w:p>
    <w:p w14:paraId="1804286F" w14:textId="77777777" w:rsidR="004E458C" w:rsidRDefault="00000000">
      <w:pPr>
        <w:spacing w:after="100" w:line="280" w:lineRule="auto"/>
      </w:pPr>
      <w:r>
        <w:t>Sí, una vez cargada la primera vez. Funciona completamente offline.</w:t>
      </w:r>
    </w:p>
    <w:p w14:paraId="728FDBD9" w14:textId="77777777" w:rsidR="004E458C" w:rsidRDefault="00000000">
      <w:pPr>
        <w:pStyle w:val="Ttulo3"/>
      </w:pPr>
      <w:r>
        <w:t>¿Cómo borro todos los datos del paciente?</w:t>
      </w:r>
    </w:p>
    <w:p w14:paraId="13F21683" w14:textId="77777777" w:rsidR="004E458C" w:rsidRDefault="00000000">
      <w:pPr>
        <w:spacing w:after="100" w:line="280" w:lineRule="auto"/>
      </w:pPr>
      <w:r>
        <w:t>Pulsa Paciente (👤) → Nuevo paciente. Esto borra peso, edad, modo neonato y prescripción.</w:t>
      </w:r>
    </w:p>
    <w:p w14:paraId="49564AAC" w14:textId="77777777" w:rsidR="004E458C" w:rsidRDefault="00000000">
      <w:pPr>
        <w:pStyle w:val="Ttulo3"/>
      </w:pPr>
      <w:r>
        <w:t>¿Se puede usar para adultos?</w:t>
      </w:r>
    </w:p>
    <w:p w14:paraId="0E7B9356" w14:textId="77777777" w:rsidR="004E458C" w:rsidRDefault="00000000">
      <w:pPr>
        <w:spacing w:after="100" w:line="280" w:lineRule="auto"/>
      </w:pPr>
      <w:r>
        <w:t xml:space="preserve">No. </w:t>
      </w:r>
      <w:proofErr w:type="spellStart"/>
      <w:r>
        <w:t>DosisPed</w:t>
      </w:r>
      <w:proofErr w:type="spellEnd"/>
      <w:r>
        <w:t xml:space="preserve"> está específicamente diseñada para pediatría. Para adultos UCI/Urgencias, existe el proyecto hermano Perfusiones UCI del mismo autor.</w:t>
      </w:r>
    </w:p>
    <w:p w14:paraId="35CFFE78" w14:textId="77777777" w:rsidR="004E458C" w:rsidRDefault="00000000">
      <w:pPr>
        <w:pStyle w:val="Ttulo3"/>
      </w:pPr>
      <w:r>
        <w:lastRenderedPageBreak/>
        <w:t>¿Cómo recupero el mensaje de bienvenida si lo desactivé?</w:t>
      </w:r>
    </w:p>
    <w:p w14:paraId="07620C3A" w14:textId="77777777" w:rsidR="004E458C" w:rsidRDefault="00000000">
      <w:pPr>
        <w:spacing w:after="100" w:line="280" w:lineRule="auto"/>
      </w:pPr>
      <w:r>
        <w:t xml:space="preserve">Abre la consola del navegador (F12) y ejecuta: </w:t>
      </w:r>
      <w:proofErr w:type="spellStart"/>
      <w:r>
        <w:t>localStorage.removeItem</w:t>
      </w:r>
      <w:proofErr w:type="spellEnd"/>
      <w:r>
        <w:t>("</w:t>
      </w:r>
      <w:proofErr w:type="spellStart"/>
      <w:r>
        <w:t>dosisped</w:t>
      </w:r>
      <w:proofErr w:type="spellEnd"/>
      <w:r>
        <w:t>-bienvenida-vista"); — o usa la versión incógnita.</w:t>
      </w:r>
    </w:p>
    <w:p w14:paraId="577BBD40" w14:textId="77777777" w:rsidR="004E458C" w:rsidRDefault="00000000">
      <w:pPr>
        <w:pStyle w:val="Ttulo1"/>
      </w:pPr>
      <w:r>
        <w:t>25. Contacto y soporte</w:t>
      </w:r>
    </w:p>
    <w:p w14:paraId="41181239" w14:textId="6315803F" w:rsidR="004E458C" w:rsidRDefault="00000000">
      <w:pPr>
        <w:spacing w:after="100" w:line="280" w:lineRule="auto"/>
      </w:pPr>
      <w:proofErr w:type="spellStart"/>
      <w:r>
        <w:t>DosisPed</w:t>
      </w:r>
      <w:proofErr w:type="spellEnd"/>
      <w:r>
        <w:t xml:space="preserve"> ha sido desarrollada por Carlos J. Galán Doval, </w:t>
      </w:r>
      <w:r w:rsidR="00E93098">
        <w:t>Especialista en Urgencias y Medicina Familiar y Comunitaria</w:t>
      </w:r>
      <w:r>
        <w:t>.</w:t>
      </w:r>
    </w:p>
    <w:p w14:paraId="537FE39B" w14:textId="77777777" w:rsidR="004E458C" w:rsidRDefault="00000000">
      <w:pPr>
        <w:spacing w:before="100" w:after="100" w:line="280" w:lineRule="auto"/>
      </w:pPr>
      <w:r>
        <w:t>Si encuentras un error en una dosis, quieres sugerir un fármaco nuevo o reportar un problema técnico, contacta a través del repositorio de GitHub:</w:t>
      </w:r>
    </w:p>
    <w:p w14:paraId="6C4B9569" w14:textId="77777777" w:rsidR="004E458C" w:rsidRDefault="004E458C">
      <w:pPr>
        <w:spacing w:after="200"/>
      </w:pPr>
      <w:hyperlink r:id="rId15" w:history="1">
        <w:r>
          <w:rPr>
            <w:b/>
            <w:bCs/>
            <w:color w:val="0D9488"/>
            <w:u w:val="single"/>
          </w:rPr>
          <w:t>github.com/</w:t>
        </w:r>
        <w:proofErr w:type="spellStart"/>
        <w:r>
          <w:rPr>
            <w:b/>
            <w:bCs/>
            <w:color w:val="0D9488"/>
            <w:u w:val="single"/>
          </w:rPr>
          <w:t>cjgaland</w:t>
        </w:r>
        <w:proofErr w:type="spellEnd"/>
        <w:r>
          <w:rPr>
            <w:b/>
            <w:bCs/>
            <w:color w:val="0D9488"/>
            <w:u w:val="single"/>
          </w:rPr>
          <w:t>/</w:t>
        </w:r>
        <w:proofErr w:type="spellStart"/>
        <w:r>
          <w:rPr>
            <w:b/>
            <w:bCs/>
            <w:color w:val="0D9488"/>
            <w:u w:val="single"/>
          </w:rPr>
          <w:t>DosisPed</w:t>
        </w:r>
        <w:proofErr w:type="spellEnd"/>
      </w:hyperlink>
    </w:p>
    <w:p w14:paraId="2AAFD0C3" w14:textId="77777777" w:rsidR="004E458C" w:rsidRDefault="004E458C">
      <w:pPr>
        <w:pBdr>
          <w:bottom w:val="single" w:sz="6" w:space="1" w:color="0D9488"/>
        </w:pBdr>
        <w:spacing w:before="200" w:after="200"/>
      </w:pPr>
    </w:p>
    <w:p w14:paraId="35E886CE" w14:textId="77777777" w:rsidR="004E458C" w:rsidRDefault="00000000">
      <w:pPr>
        <w:spacing w:before="400" w:after="100"/>
        <w:jc w:val="center"/>
      </w:pPr>
      <w:r>
        <w:rPr>
          <w:i/>
          <w:iCs/>
          <w:color w:val="4B5563"/>
        </w:rPr>
        <w:t xml:space="preserve">Gracias por usar </w:t>
      </w:r>
      <w:proofErr w:type="spellStart"/>
      <w:r>
        <w:rPr>
          <w:i/>
          <w:iCs/>
          <w:color w:val="4B5563"/>
        </w:rPr>
        <w:t>DosisPed</w:t>
      </w:r>
      <w:proofErr w:type="spellEnd"/>
    </w:p>
    <w:p w14:paraId="34886EFE" w14:textId="77777777" w:rsidR="004E458C" w:rsidRDefault="00000000">
      <w:pPr>
        <w:spacing w:after="100"/>
        <w:jc w:val="center"/>
      </w:pPr>
      <w:r>
        <w:rPr>
          <w:i/>
          <w:iCs/>
          <w:color w:val="6B7280"/>
          <w:sz w:val="20"/>
          <w:szCs w:val="20"/>
        </w:rPr>
        <w:t>Y por cuidar de tus pequeños pacientes.</w:t>
      </w:r>
    </w:p>
    <w:sectPr w:rsidR="004E458C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21F95" w14:textId="77777777" w:rsidR="00A45965" w:rsidRDefault="00A45965">
      <w:r>
        <w:separator/>
      </w:r>
    </w:p>
  </w:endnote>
  <w:endnote w:type="continuationSeparator" w:id="0">
    <w:p w14:paraId="4809F988" w14:textId="77777777" w:rsidR="00A45965" w:rsidRDefault="00A459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1B392" w14:textId="77777777" w:rsidR="004E458C" w:rsidRDefault="00000000">
    <w:pPr>
      <w:jc w:val="center"/>
    </w:pPr>
    <w:r>
      <w:rPr>
        <w:i/>
        <w:iCs/>
        <w:color w:val="6B7280"/>
        <w:sz w:val="18"/>
        <w:szCs w:val="18"/>
      </w:rPr>
      <w:t xml:space="preserve">Carlos J. Galán </w:t>
    </w:r>
    <w:proofErr w:type="gramStart"/>
    <w:r>
      <w:rPr>
        <w:i/>
        <w:iCs/>
        <w:color w:val="6B7280"/>
        <w:sz w:val="18"/>
        <w:szCs w:val="18"/>
      </w:rPr>
      <w:t>Doval  ·</w:t>
    </w:r>
    <w:proofErr w:type="gramEnd"/>
    <w:r>
      <w:rPr>
        <w:i/>
        <w:iCs/>
        <w:color w:val="6B7280"/>
        <w:sz w:val="18"/>
        <w:szCs w:val="18"/>
      </w:rPr>
      <w:t xml:space="preserve">  </w:t>
    </w: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D86A63">
      <w:rPr>
        <w:noProof/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  <w:r>
      <w:rPr>
        <w:color w:val="6B7280"/>
        <w:sz w:val="18"/>
        <w:szCs w:val="18"/>
      </w:rPr>
      <w:t xml:space="preserve"> de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NUMPAGES</w:instrText>
    </w:r>
    <w:r>
      <w:rPr>
        <w:color w:val="6B7280"/>
        <w:sz w:val="18"/>
        <w:szCs w:val="18"/>
      </w:rPr>
      <w:fldChar w:fldCharType="separate"/>
    </w:r>
    <w:r w:rsidR="00D86A63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799F4" w14:textId="77777777" w:rsidR="00A45965" w:rsidRDefault="00A45965">
      <w:r>
        <w:separator/>
      </w:r>
    </w:p>
  </w:footnote>
  <w:footnote w:type="continuationSeparator" w:id="0">
    <w:p w14:paraId="7E86C442" w14:textId="77777777" w:rsidR="00A45965" w:rsidRDefault="00A459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BD7EB" w14:textId="77777777" w:rsidR="004E458C" w:rsidRDefault="00000000">
    <w:pPr>
      <w:jc w:val="right"/>
    </w:pPr>
    <w:proofErr w:type="spellStart"/>
    <w:r>
      <w:rPr>
        <w:i/>
        <w:iCs/>
        <w:color w:val="6B7280"/>
        <w:sz w:val="18"/>
        <w:szCs w:val="18"/>
      </w:rPr>
      <w:t>DosisPed</w:t>
    </w:r>
    <w:proofErr w:type="spellEnd"/>
    <w:r>
      <w:rPr>
        <w:i/>
        <w:iCs/>
        <w:color w:val="6B7280"/>
        <w:sz w:val="18"/>
        <w:szCs w:val="18"/>
      </w:rPr>
      <w:t xml:space="preserve"> · Manual de uso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1689B"/>
    <w:multiLevelType w:val="hybridMultilevel"/>
    <w:tmpl w:val="98D24210"/>
    <w:lvl w:ilvl="0" w:tplc="CBCE3950">
      <w:start w:val="1"/>
      <w:numFmt w:val="decimal"/>
      <w:lvlText w:val="%1."/>
      <w:lvlJc w:val="left"/>
      <w:pPr>
        <w:ind w:left="720" w:hanging="360"/>
      </w:pPr>
    </w:lvl>
    <w:lvl w:ilvl="1" w:tplc="24E6D366">
      <w:numFmt w:val="decimal"/>
      <w:lvlText w:val=""/>
      <w:lvlJc w:val="left"/>
    </w:lvl>
    <w:lvl w:ilvl="2" w:tplc="957ACF3A">
      <w:numFmt w:val="decimal"/>
      <w:lvlText w:val=""/>
      <w:lvlJc w:val="left"/>
    </w:lvl>
    <w:lvl w:ilvl="3" w:tplc="9CFABD06">
      <w:numFmt w:val="decimal"/>
      <w:lvlText w:val=""/>
      <w:lvlJc w:val="left"/>
    </w:lvl>
    <w:lvl w:ilvl="4" w:tplc="439621F4">
      <w:numFmt w:val="decimal"/>
      <w:lvlText w:val=""/>
      <w:lvlJc w:val="left"/>
    </w:lvl>
    <w:lvl w:ilvl="5" w:tplc="D5467160">
      <w:numFmt w:val="decimal"/>
      <w:lvlText w:val=""/>
      <w:lvlJc w:val="left"/>
    </w:lvl>
    <w:lvl w:ilvl="6" w:tplc="CD8ABCB4">
      <w:numFmt w:val="decimal"/>
      <w:lvlText w:val=""/>
      <w:lvlJc w:val="left"/>
    </w:lvl>
    <w:lvl w:ilvl="7" w:tplc="C08675F6">
      <w:numFmt w:val="decimal"/>
      <w:lvlText w:val=""/>
      <w:lvlJc w:val="left"/>
    </w:lvl>
    <w:lvl w:ilvl="8" w:tplc="DBF87B2C">
      <w:numFmt w:val="decimal"/>
      <w:lvlText w:val=""/>
      <w:lvlJc w:val="left"/>
    </w:lvl>
  </w:abstractNum>
  <w:abstractNum w:abstractNumId="1" w15:restartNumberingAfterBreak="0">
    <w:nsid w:val="242E3598"/>
    <w:multiLevelType w:val="hybridMultilevel"/>
    <w:tmpl w:val="72AA421E"/>
    <w:lvl w:ilvl="0" w:tplc="E1AE4CCE">
      <w:start w:val="1"/>
      <w:numFmt w:val="decimal"/>
      <w:lvlText w:val="%1."/>
      <w:lvlJc w:val="left"/>
      <w:pPr>
        <w:ind w:left="720" w:hanging="360"/>
      </w:pPr>
    </w:lvl>
    <w:lvl w:ilvl="1" w:tplc="E0884EB6">
      <w:numFmt w:val="decimal"/>
      <w:lvlText w:val=""/>
      <w:lvlJc w:val="left"/>
    </w:lvl>
    <w:lvl w:ilvl="2" w:tplc="0324CB4E">
      <w:numFmt w:val="decimal"/>
      <w:lvlText w:val=""/>
      <w:lvlJc w:val="left"/>
    </w:lvl>
    <w:lvl w:ilvl="3" w:tplc="0E262A82">
      <w:numFmt w:val="decimal"/>
      <w:lvlText w:val=""/>
      <w:lvlJc w:val="left"/>
    </w:lvl>
    <w:lvl w:ilvl="4" w:tplc="112C4696">
      <w:numFmt w:val="decimal"/>
      <w:lvlText w:val=""/>
      <w:lvlJc w:val="left"/>
    </w:lvl>
    <w:lvl w:ilvl="5" w:tplc="6A54B946">
      <w:numFmt w:val="decimal"/>
      <w:lvlText w:val=""/>
      <w:lvlJc w:val="left"/>
    </w:lvl>
    <w:lvl w:ilvl="6" w:tplc="5EAA1C3C">
      <w:numFmt w:val="decimal"/>
      <w:lvlText w:val=""/>
      <w:lvlJc w:val="left"/>
    </w:lvl>
    <w:lvl w:ilvl="7" w:tplc="69D69CAC">
      <w:numFmt w:val="decimal"/>
      <w:lvlText w:val=""/>
      <w:lvlJc w:val="left"/>
    </w:lvl>
    <w:lvl w:ilvl="8" w:tplc="DDF6D8A6">
      <w:numFmt w:val="decimal"/>
      <w:lvlText w:val=""/>
      <w:lvlJc w:val="left"/>
    </w:lvl>
  </w:abstractNum>
  <w:abstractNum w:abstractNumId="2" w15:restartNumberingAfterBreak="0">
    <w:nsid w:val="280347B7"/>
    <w:multiLevelType w:val="hybridMultilevel"/>
    <w:tmpl w:val="E13069DE"/>
    <w:lvl w:ilvl="0" w:tplc="D304C188">
      <w:start w:val="1"/>
      <w:numFmt w:val="decimal"/>
      <w:lvlText w:val="%1."/>
      <w:lvlJc w:val="left"/>
      <w:pPr>
        <w:ind w:left="720" w:hanging="360"/>
      </w:pPr>
    </w:lvl>
    <w:lvl w:ilvl="1" w:tplc="235AAC54">
      <w:numFmt w:val="decimal"/>
      <w:lvlText w:val=""/>
      <w:lvlJc w:val="left"/>
    </w:lvl>
    <w:lvl w:ilvl="2" w:tplc="911444B0">
      <w:numFmt w:val="decimal"/>
      <w:lvlText w:val=""/>
      <w:lvlJc w:val="left"/>
    </w:lvl>
    <w:lvl w:ilvl="3" w:tplc="86FC04EA">
      <w:numFmt w:val="decimal"/>
      <w:lvlText w:val=""/>
      <w:lvlJc w:val="left"/>
    </w:lvl>
    <w:lvl w:ilvl="4" w:tplc="F69445A8">
      <w:numFmt w:val="decimal"/>
      <w:lvlText w:val=""/>
      <w:lvlJc w:val="left"/>
    </w:lvl>
    <w:lvl w:ilvl="5" w:tplc="B702718E">
      <w:numFmt w:val="decimal"/>
      <w:lvlText w:val=""/>
      <w:lvlJc w:val="left"/>
    </w:lvl>
    <w:lvl w:ilvl="6" w:tplc="E9C607EE">
      <w:numFmt w:val="decimal"/>
      <w:lvlText w:val=""/>
      <w:lvlJc w:val="left"/>
    </w:lvl>
    <w:lvl w:ilvl="7" w:tplc="751668EC">
      <w:numFmt w:val="decimal"/>
      <w:lvlText w:val=""/>
      <w:lvlJc w:val="left"/>
    </w:lvl>
    <w:lvl w:ilvl="8" w:tplc="C228135E">
      <w:numFmt w:val="decimal"/>
      <w:lvlText w:val=""/>
      <w:lvlJc w:val="left"/>
    </w:lvl>
  </w:abstractNum>
  <w:abstractNum w:abstractNumId="3" w15:restartNumberingAfterBreak="0">
    <w:nsid w:val="34375F4D"/>
    <w:multiLevelType w:val="hybridMultilevel"/>
    <w:tmpl w:val="8E480D9E"/>
    <w:lvl w:ilvl="0" w:tplc="D7E06A50">
      <w:start w:val="1"/>
      <w:numFmt w:val="bullet"/>
      <w:lvlText w:val="•"/>
      <w:lvlJc w:val="left"/>
      <w:pPr>
        <w:ind w:left="720" w:hanging="360"/>
      </w:pPr>
    </w:lvl>
    <w:lvl w:ilvl="1" w:tplc="F7BA2F6E">
      <w:numFmt w:val="decimal"/>
      <w:lvlText w:val=""/>
      <w:lvlJc w:val="left"/>
    </w:lvl>
    <w:lvl w:ilvl="2" w:tplc="EB802588">
      <w:numFmt w:val="decimal"/>
      <w:lvlText w:val=""/>
      <w:lvlJc w:val="left"/>
    </w:lvl>
    <w:lvl w:ilvl="3" w:tplc="2FDA412C">
      <w:numFmt w:val="decimal"/>
      <w:lvlText w:val=""/>
      <w:lvlJc w:val="left"/>
    </w:lvl>
    <w:lvl w:ilvl="4" w:tplc="7FE05BBA">
      <w:numFmt w:val="decimal"/>
      <w:lvlText w:val=""/>
      <w:lvlJc w:val="left"/>
    </w:lvl>
    <w:lvl w:ilvl="5" w:tplc="468E2132">
      <w:numFmt w:val="decimal"/>
      <w:lvlText w:val=""/>
      <w:lvlJc w:val="left"/>
    </w:lvl>
    <w:lvl w:ilvl="6" w:tplc="EC228304">
      <w:numFmt w:val="decimal"/>
      <w:lvlText w:val=""/>
      <w:lvlJc w:val="left"/>
    </w:lvl>
    <w:lvl w:ilvl="7" w:tplc="C87004DA">
      <w:numFmt w:val="decimal"/>
      <w:lvlText w:val=""/>
      <w:lvlJc w:val="left"/>
    </w:lvl>
    <w:lvl w:ilvl="8" w:tplc="A2202A6E">
      <w:numFmt w:val="decimal"/>
      <w:lvlText w:val=""/>
      <w:lvlJc w:val="left"/>
    </w:lvl>
  </w:abstractNum>
  <w:abstractNum w:abstractNumId="4" w15:restartNumberingAfterBreak="0">
    <w:nsid w:val="5F3842E2"/>
    <w:multiLevelType w:val="hybridMultilevel"/>
    <w:tmpl w:val="203AC89E"/>
    <w:lvl w:ilvl="0" w:tplc="EA569386">
      <w:start w:val="1"/>
      <w:numFmt w:val="decimal"/>
      <w:lvlText w:val="%1."/>
      <w:lvlJc w:val="left"/>
      <w:pPr>
        <w:ind w:left="720" w:hanging="360"/>
      </w:pPr>
    </w:lvl>
    <w:lvl w:ilvl="1" w:tplc="1F44DCC2">
      <w:numFmt w:val="decimal"/>
      <w:lvlText w:val=""/>
      <w:lvlJc w:val="left"/>
    </w:lvl>
    <w:lvl w:ilvl="2" w:tplc="9D8A34FA">
      <w:numFmt w:val="decimal"/>
      <w:lvlText w:val=""/>
      <w:lvlJc w:val="left"/>
    </w:lvl>
    <w:lvl w:ilvl="3" w:tplc="DDCC765A">
      <w:numFmt w:val="decimal"/>
      <w:lvlText w:val=""/>
      <w:lvlJc w:val="left"/>
    </w:lvl>
    <w:lvl w:ilvl="4" w:tplc="FDA086E6">
      <w:numFmt w:val="decimal"/>
      <w:lvlText w:val=""/>
      <w:lvlJc w:val="left"/>
    </w:lvl>
    <w:lvl w:ilvl="5" w:tplc="84623D6E">
      <w:numFmt w:val="decimal"/>
      <w:lvlText w:val=""/>
      <w:lvlJc w:val="left"/>
    </w:lvl>
    <w:lvl w:ilvl="6" w:tplc="150CD1BC">
      <w:numFmt w:val="decimal"/>
      <w:lvlText w:val=""/>
      <w:lvlJc w:val="left"/>
    </w:lvl>
    <w:lvl w:ilvl="7" w:tplc="9AEE3008">
      <w:numFmt w:val="decimal"/>
      <w:lvlText w:val=""/>
      <w:lvlJc w:val="left"/>
    </w:lvl>
    <w:lvl w:ilvl="8" w:tplc="2C6EFEDA">
      <w:numFmt w:val="decimal"/>
      <w:lvlText w:val=""/>
      <w:lvlJc w:val="left"/>
    </w:lvl>
  </w:abstractNum>
  <w:abstractNum w:abstractNumId="5" w15:restartNumberingAfterBreak="0">
    <w:nsid w:val="66051264"/>
    <w:multiLevelType w:val="hybridMultilevel"/>
    <w:tmpl w:val="928A3A04"/>
    <w:lvl w:ilvl="0" w:tplc="3B3A8B2E">
      <w:start w:val="1"/>
      <w:numFmt w:val="decimal"/>
      <w:lvlText w:val="%1."/>
      <w:lvlJc w:val="left"/>
      <w:pPr>
        <w:ind w:left="720" w:hanging="360"/>
      </w:pPr>
    </w:lvl>
    <w:lvl w:ilvl="1" w:tplc="FF28473C">
      <w:numFmt w:val="decimal"/>
      <w:lvlText w:val=""/>
      <w:lvlJc w:val="left"/>
    </w:lvl>
    <w:lvl w:ilvl="2" w:tplc="5484AF9E">
      <w:numFmt w:val="decimal"/>
      <w:lvlText w:val=""/>
      <w:lvlJc w:val="left"/>
    </w:lvl>
    <w:lvl w:ilvl="3" w:tplc="F578AF80">
      <w:numFmt w:val="decimal"/>
      <w:lvlText w:val=""/>
      <w:lvlJc w:val="left"/>
    </w:lvl>
    <w:lvl w:ilvl="4" w:tplc="3EE67594">
      <w:numFmt w:val="decimal"/>
      <w:lvlText w:val=""/>
      <w:lvlJc w:val="left"/>
    </w:lvl>
    <w:lvl w:ilvl="5" w:tplc="40AA276E">
      <w:numFmt w:val="decimal"/>
      <w:lvlText w:val=""/>
      <w:lvlJc w:val="left"/>
    </w:lvl>
    <w:lvl w:ilvl="6" w:tplc="E9EEE120">
      <w:numFmt w:val="decimal"/>
      <w:lvlText w:val=""/>
      <w:lvlJc w:val="left"/>
    </w:lvl>
    <w:lvl w:ilvl="7" w:tplc="4BCAD92C">
      <w:numFmt w:val="decimal"/>
      <w:lvlText w:val=""/>
      <w:lvlJc w:val="left"/>
    </w:lvl>
    <w:lvl w:ilvl="8" w:tplc="E4647472">
      <w:numFmt w:val="decimal"/>
      <w:lvlText w:val=""/>
      <w:lvlJc w:val="left"/>
    </w:lvl>
  </w:abstractNum>
  <w:abstractNum w:abstractNumId="6" w15:restartNumberingAfterBreak="0">
    <w:nsid w:val="763F1E55"/>
    <w:multiLevelType w:val="hybridMultilevel"/>
    <w:tmpl w:val="9820B2B0"/>
    <w:lvl w:ilvl="0" w:tplc="78DC0916">
      <w:start w:val="1"/>
      <w:numFmt w:val="decimal"/>
      <w:lvlText w:val="%1."/>
      <w:lvlJc w:val="left"/>
      <w:pPr>
        <w:ind w:left="720" w:hanging="360"/>
      </w:pPr>
    </w:lvl>
    <w:lvl w:ilvl="1" w:tplc="D5B0544E">
      <w:numFmt w:val="decimal"/>
      <w:lvlText w:val=""/>
      <w:lvlJc w:val="left"/>
    </w:lvl>
    <w:lvl w:ilvl="2" w:tplc="85B6025E">
      <w:numFmt w:val="decimal"/>
      <w:lvlText w:val=""/>
      <w:lvlJc w:val="left"/>
    </w:lvl>
    <w:lvl w:ilvl="3" w:tplc="2A1E428C">
      <w:numFmt w:val="decimal"/>
      <w:lvlText w:val=""/>
      <w:lvlJc w:val="left"/>
    </w:lvl>
    <w:lvl w:ilvl="4" w:tplc="80CA59A2">
      <w:numFmt w:val="decimal"/>
      <w:lvlText w:val=""/>
      <w:lvlJc w:val="left"/>
    </w:lvl>
    <w:lvl w:ilvl="5" w:tplc="206C30B6">
      <w:numFmt w:val="decimal"/>
      <w:lvlText w:val=""/>
      <w:lvlJc w:val="left"/>
    </w:lvl>
    <w:lvl w:ilvl="6" w:tplc="2E9697FC">
      <w:numFmt w:val="decimal"/>
      <w:lvlText w:val=""/>
      <w:lvlJc w:val="left"/>
    </w:lvl>
    <w:lvl w:ilvl="7" w:tplc="24EE4638">
      <w:numFmt w:val="decimal"/>
      <w:lvlText w:val=""/>
      <w:lvlJc w:val="left"/>
    </w:lvl>
    <w:lvl w:ilvl="8" w:tplc="5AC4669A">
      <w:numFmt w:val="decimal"/>
      <w:lvlText w:val=""/>
      <w:lvlJc w:val="left"/>
    </w:lvl>
  </w:abstractNum>
  <w:abstractNum w:abstractNumId="7" w15:restartNumberingAfterBreak="0">
    <w:nsid w:val="7CFE7C22"/>
    <w:multiLevelType w:val="hybridMultilevel"/>
    <w:tmpl w:val="EAC88914"/>
    <w:lvl w:ilvl="0" w:tplc="52342BAA">
      <w:start w:val="1"/>
      <w:numFmt w:val="bullet"/>
      <w:lvlText w:val="●"/>
      <w:lvlJc w:val="left"/>
      <w:pPr>
        <w:ind w:left="720" w:hanging="360"/>
      </w:pPr>
    </w:lvl>
    <w:lvl w:ilvl="1" w:tplc="7ACC7CAA">
      <w:start w:val="1"/>
      <w:numFmt w:val="bullet"/>
      <w:lvlText w:val="○"/>
      <w:lvlJc w:val="left"/>
      <w:pPr>
        <w:ind w:left="1440" w:hanging="360"/>
      </w:pPr>
    </w:lvl>
    <w:lvl w:ilvl="2" w:tplc="EDC07E24">
      <w:start w:val="1"/>
      <w:numFmt w:val="bullet"/>
      <w:lvlText w:val="■"/>
      <w:lvlJc w:val="left"/>
      <w:pPr>
        <w:ind w:left="2160" w:hanging="360"/>
      </w:pPr>
    </w:lvl>
    <w:lvl w:ilvl="3" w:tplc="B0D2FB0E">
      <w:start w:val="1"/>
      <w:numFmt w:val="bullet"/>
      <w:lvlText w:val="●"/>
      <w:lvlJc w:val="left"/>
      <w:pPr>
        <w:ind w:left="2880" w:hanging="360"/>
      </w:pPr>
    </w:lvl>
    <w:lvl w:ilvl="4" w:tplc="DCB24814">
      <w:start w:val="1"/>
      <w:numFmt w:val="bullet"/>
      <w:lvlText w:val="○"/>
      <w:lvlJc w:val="left"/>
      <w:pPr>
        <w:ind w:left="3600" w:hanging="360"/>
      </w:pPr>
    </w:lvl>
    <w:lvl w:ilvl="5" w:tplc="9858D9FE">
      <w:start w:val="1"/>
      <w:numFmt w:val="bullet"/>
      <w:lvlText w:val="■"/>
      <w:lvlJc w:val="left"/>
      <w:pPr>
        <w:ind w:left="4320" w:hanging="360"/>
      </w:pPr>
    </w:lvl>
    <w:lvl w:ilvl="6" w:tplc="664494F2">
      <w:start w:val="1"/>
      <w:numFmt w:val="bullet"/>
      <w:lvlText w:val="●"/>
      <w:lvlJc w:val="left"/>
      <w:pPr>
        <w:ind w:left="5040" w:hanging="360"/>
      </w:pPr>
    </w:lvl>
    <w:lvl w:ilvl="7" w:tplc="B1020BC4">
      <w:start w:val="1"/>
      <w:numFmt w:val="bullet"/>
      <w:lvlText w:val="●"/>
      <w:lvlJc w:val="left"/>
      <w:pPr>
        <w:ind w:left="5760" w:hanging="360"/>
      </w:pPr>
    </w:lvl>
    <w:lvl w:ilvl="8" w:tplc="B7EEB990">
      <w:start w:val="1"/>
      <w:numFmt w:val="bullet"/>
      <w:lvlText w:val="●"/>
      <w:lvlJc w:val="left"/>
      <w:pPr>
        <w:ind w:left="6480" w:hanging="360"/>
      </w:pPr>
    </w:lvl>
  </w:abstractNum>
  <w:num w:numId="1" w16cid:durableId="1149788004">
    <w:abstractNumId w:val="7"/>
    <w:lvlOverride w:ilvl="0">
      <w:startOverride w:val="1"/>
    </w:lvlOverride>
  </w:num>
  <w:num w:numId="2" w16cid:durableId="660356735">
    <w:abstractNumId w:val="3"/>
    <w:lvlOverride w:ilvl="0">
      <w:startOverride w:val="1"/>
    </w:lvlOverride>
  </w:num>
  <w:num w:numId="3" w16cid:durableId="219945535">
    <w:abstractNumId w:val="0"/>
    <w:lvlOverride w:ilvl="0">
      <w:startOverride w:val="1"/>
    </w:lvlOverride>
  </w:num>
  <w:num w:numId="4" w16cid:durableId="623855576">
    <w:abstractNumId w:val="6"/>
    <w:lvlOverride w:ilvl="0">
      <w:startOverride w:val="1"/>
    </w:lvlOverride>
  </w:num>
  <w:num w:numId="5" w16cid:durableId="636766048">
    <w:abstractNumId w:val="4"/>
    <w:lvlOverride w:ilvl="0">
      <w:startOverride w:val="1"/>
    </w:lvlOverride>
  </w:num>
  <w:num w:numId="6" w16cid:durableId="2105496892">
    <w:abstractNumId w:val="2"/>
    <w:lvlOverride w:ilvl="0">
      <w:startOverride w:val="1"/>
    </w:lvlOverride>
  </w:num>
  <w:num w:numId="7" w16cid:durableId="16519812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458C"/>
    <w:rsid w:val="001F45E0"/>
    <w:rsid w:val="003F0501"/>
    <w:rsid w:val="004E458C"/>
    <w:rsid w:val="005F57D4"/>
    <w:rsid w:val="007D7715"/>
    <w:rsid w:val="0087404C"/>
    <w:rsid w:val="00941231"/>
    <w:rsid w:val="00A45965"/>
    <w:rsid w:val="00B86692"/>
    <w:rsid w:val="00D86A63"/>
    <w:rsid w:val="00E93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6559D"/>
  <w15:docId w15:val="{D7C5F37A-684A-4851-9928-23DB01B3D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 w:line="320" w:lineRule="auto"/>
      <w:outlineLvl w:val="0"/>
    </w:pPr>
    <w:rPr>
      <w:b/>
      <w:bCs/>
      <w:color w:val="0D9488"/>
      <w:sz w:val="36"/>
      <w:szCs w:val="36"/>
    </w:rPr>
  </w:style>
  <w:style w:type="paragraph" w:styleId="Ttulo2">
    <w:name w:val="heading 2"/>
    <w:uiPriority w:val="9"/>
    <w:unhideWhenUsed/>
    <w:qFormat/>
    <w:pPr>
      <w:spacing w:before="280" w:after="140" w:line="300" w:lineRule="auto"/>
      <w:outlineLvl w:val="1"/>
    </w:pPr>
    <w:rPr>
      <w:b/>
      <w:bCs/>
      <w:color w:val="BE185D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100" w:line="280" w:lineRule="auto"/>
      <w:outlineLvl w:val="2"/>
    </w:pPr>
    <w:rPr>
      <w:b/>
      <w:bCs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jgaland.github.io/DosisPed/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github.com/cjgaland/DosisPed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3338</Words>
  <Characters>18359</Characters>
  <Application>Microsoft Office Word</Application>
  <DocSecurity>0</DocSecurity>
  <Lines>417</Lines>
  <Paragraphs>344</Paragraphs>
  <ScaleCrop>false</ScaleCrop>
  <Company/>
  <LinksUpToDate>false</LinksUpToDate>
  <CharactersWithSpaces>21353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DosisPed - Manual de uso</dc:title>
  <dc:creator>Carlos J. Galán Doval</dc:creator>
  <dc:description>Manual completo de DosisPed: calculadora pediátrica de dosis y perfusiones</dc:description>
  <cp:lastModifiedBy>Carlos J. Galán Doval</cp:lastModifiedBy>
  <cp:revision>3</cp:revision>
  <cp:lastPrinted>2026-05-29T06:53:00Z</cp:lastPrinted>
  <dcterms:created xsi:type="dcterms:W3CDTF">2026-05-29T06:53:00Z</dcterms:created>
  <dcterms:modified xsi:type="dcterms:W3CDTF">2026-05-29T06:53:00Z</dcterms:modified>
</cp:coreProperties>
</file>