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fármacos,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0.2 — sección de fármacos VALIDADA (27-10-2026); decisiones D-1 a D-16 pendientes de revisión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27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 El formulario de las 16 decisiones (sección 14) espera la revisión de Enrique Fernández Romero.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Bibliografía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16. Correcciones al borrador inicial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propias de Carlos para Vivo (pendientes de incorporar)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(tabla §2.4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de Carlos, pendientes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Decisiones abiertas para revisión (Carlos + Enrique)</w:t>
      </w:r>
      <w:bookmarkEnd w:id="14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En la versión Word de este documento, cada decisión aparece como </w:t>
      </w:r>
      <w:r>
        <w:rPr>
          <w:b/>
          <w:bCs/>
          <w:color w:val="333333"/>
          <w:sz w:val="19"/>
          <w:szCs w:val="19"/>
        </w:rPr>
        <w:t xml:space="preserve">formulario de revisión</w:t>
      </w:r>
      <w:r>
        <w:rPr>
          <w:color w:val="333333"/>
          <w:sz w:val="19"/>
          <w:szCs w:val="19"/>
        </w:rPr>
        <w:t xml:space="preserve">: casillas «Aceptamos la propuesta» / «La rechazamos» y un espacio para escribir la decisión propia. Lo acordado se incorporará aquí y pasará al motor de la app.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Jerarquía de fuentes cuando discrepan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ATS 2026 &gt; ERS/ATS 2017 &gt; BTS 2016 &gt; consenso 2021 &gt; manuales. ¿De acuerdo?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por gafas nasales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4%/L (clásica) vs 3%/L. </w:t>
            </w:r>
            <w:r>
              <w:rPr>
                <w:b/>
                <w:bCs/>
                <w:sz w:val="19"/>
                <w:szCs w:val="19"/>
              </w:rPr>
              <w:t xml:space="preserve">Errata del borrador (0,3/L) corregida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SaFi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¿Usar solo los anclajes 315/235 o curva continua interpolada? Aviso automático si SpO2 &gt;97%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Lactato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¿mg/dL o mmol/L (o conmutable)? Umbrales 2/4 mmol/L ≈ 18/36 mg/dL vs los del borrador (20/30 mg/dL)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HACOR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¿Se muestra como score con aviso (&gt;5 a 1 h = alto riesgo de fracaso) o solo como información docente?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Techo de EPAP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 "y nunca 8" (Inicio VMNI) vs 7 (Artacho) vs 8 (BTS/Foster) vs 80% de la autoPEEP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IPAP inicial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FR de respaldo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12–15 (mayoría) vs 16–20 (BTS)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Objetivo SpO2 no hipercápnico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92–96% propuesto (Foster usa ~93% en CPAP; algún texto 85–89% en binivel hipoxémico)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D-10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Vt objetivo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6–8 ml/kg ideal (propuesto) vs 5–7 (Foster) vs ≥7 (Inicio VMNI); alarma &gt;9,5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Pauta de gasometrías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 h + 4–6 h + 24 h (propuesta, consenso) vs variantes de los manuales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Fórmulas FiO2 del Vivo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b/>
                <w:bCs/>
                <w:sz w:val="19"/>
                <w:szCs w:val="19"/>
              </w:rPr>
              <w:t xml:space="preserve">Carlos las aporta</w:t>
            </w:r>
            <w:r>
              <w:rPr>
                <w:sz w:val="19"/>
                <w:szCs w:val="19"/>
              </w:rPr>
              <w:t xml:space="preserve"> y sustituyen/complementan la tabla genérica §2.4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TAFCN en el algoritmo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¿Incluimos el AirVo como rama propia (ATS 2026 lo exige en hipoxémico y en hipercapnia leve)? Propuesta: sí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Rama de sobredosis (A)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criterio y fármacos de reversión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HCO3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Valor absoluto confirmado como entrada (necesario para pH esperado y Winter)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Gasometría venosa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reglas §2.3 (corrección +0,03 de pH; pCO2 &lt;45 descarta)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2"/>
        <w:pageBreakBefore/>
        <w:spacing w:after="140" w:before="280"/>
      </w:pPr>
      <w:bookmarkStart w:name="_Toc15" w:id="15"/>
      <w:r>
        <w:t xml:space="preserve">15. Bibliografía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6" w:id="16"/>
      <w:r>
        <w:t xml:space="preserve">16. Correcciones al borrador inicial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p>
      <w:pPr>
        <w:pStyle w:val="Heading2"/>
        <w:spacing w:after="140" w:before="280"/>
      </w:pPr>
      <w:bookmarkStart w:name="_Toc17" w:id="17"/>
      <w:r>
        <w:t xml:space="preserve">Anexo A. Glosario de siglas y acrónimos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</dc:title>
  <dc:creator>Carlos J. Galán Doval</dc:creator>
  <cp:lastModifiedBy>Un-named</cp:lastModifiedBy>
  <cp:revision>1</cp:revision>
  <dcterms:created xsi:type="dcterms:W3CDTF">2026-10-27T15:09:26.296Z</dcterms:created>
  <dcterms:modified xsi:type="dcterms:W3CDTF">2026-10-27T15:09:26.297Z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