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0F4C5C"/>
          <w:sz w:val="64"/>
          <w:szCs w:val="64"/>
        </w:rPr>
        <w:t xml:space="preserve">VMNI EN URGENCIAS</w:t>
      </w:r>
    </w:p>
    <w:p>
      <w:pPr>
        <w:spacing w:before="160"/>
        <w:jc w:val="center"/>
      </w:pPr>
      <w:r>
        <w:rPr>
          <w:color w:val="16697A"/>
          <w:sz w:val="40"/>
          <w:szCs w:val="40"/>
        </w:rPr>
        <w:t xml:space="preserve">Respuesta y dudas — 1.ª entrega de la revisión</w:t>
      </w:r>
    </w:p>
    <w:p>
      <w:pPr>
        <w:spacing w:before="120"/>
        <w:jc w:val="center"/>
      </w:pPr>
      <w:r>
        <w:rPr>
          <w:i/>
          <w:iCs/>
          <w:color w:val="5A6B70"/>
          <w:sz w:val="24"/>
          <w:szCs w:val="24"/>
        </w:rPr>
        <w:t xml:space="preserve">Reconciliación del desarrollo clínico de Enrique Fernández Romero (30-10-2026) con la base científica: acuerdos, discrepancias de umbrales y dudas a resolver</w:t>
      </w:r>
    </w:p>
    <w:p>
      <w:pPr>
        <w:spacing w:before="600"/>
        <w:jc w:val="center"/>
      </w:pPr>
      <w:r>
        <w:rPr>
          <w:b/>
          <w:bCs/>
          <w:color w:val="2A7F8E"/>
          <w:sz w:val="24"/>
          <w:szCs w:val="24"/>
        </w:rPr>
        <w:t xml:space="preserve">Respuesta a la 1.ª entrega — 30 de octubre de 2026</w:t>
      </w:r>
    </w:p>
    <w:p>
      <w:pPr>
        <w:spacing w:before="400"/>
        <w:jc w:val="center"/>
      </w:pPr>
      <w:r>
        <w:rPr>
          <w:b/>
          <w:bCs/>
          <w:color w:val="222222"/>
          <w:sz w:val="26"/>
          <w:szCs w:val="26"/>
        </w:rPr>
        <w:t xml:space="preserve">Carlos J. Galán Doval</w:t>
      </w:r>
    </w:p>
    <w:p>
      <w:pPr>
        <w:jc w:val="center"/>
      </w:pPr>
      <w:r>
        <w:rPr>
          <w:color w:val="222222"/>
          <w:sz w:val="24"/>
          <w:szCs w:val="24"/>
        </w:rPr>
        <w:t xml:space="preserve">Coautor y revisor: Enrique Fernández Romero</w:t>
      </w:r>
    </w:p>
    <w:p>
      <w:pPr>
        <w:spacing w:before="120"/>
        <w:jc w:val="center"/>
      </w:pPr>
      <w:r>
        <w:rPr>
          <w:color w:val="5A6B70"/>
          <w:sz w:val="21"/>
          <w:szCs w:val="21"/>
        </w:rPr>
        <w:t xml:space="preserve">Urgencias · Hospital de Montilla · Área de Gestión Sanitaria Sur de Córdoba</w:t>
      </w:r>
    </w:p>
    <w:p>
      <w:pPr>
        <w:spacing w:before="120"/>
        <w:jc w:val="center"/>
      </w:pPr>
      <w:r>
        <w:rPr>
          <w:color w:val="5A6B70"/>
          <w:sz w:val="21"/>
          <w:szCs w:val="21"/>
        </w:rPr>
        <w:t xml:space="preserve">30 de octubre de 2026</w:t>
      </w:r>
    </w:p>
    <w:p>
      <w:pPr>
        <w:spacing w:before="900"/>
      </w:pPr>
    </w:p>
    <w:p>
      <w:pPr>
        <w:pBdr>
          <w:top w:val="single" w:color="2A7F8E" w:sz="6"/>
          <w:bottom w:val="single" w:color="2A7F8E" w:sz="6"/>
        </w:pBdr>
        <w:shd w:fill="EAF3F5" w:val="clear"/>
        <w:jc w:val="center"/>
      </w:pPr>
      <w:r>
        <w:rPr>
          <w:i/>
          <w:iCs/>
          <w:color w:val="444444"/>
          <w:sz w:val="19"/>
          <w:szCs w:val="19"/>
        </w:rPr>
        <w:t xml:space="preserve">Documento interno de trabajo entre los autores. La reconciliación completa, punto a punto, está en la sección 17 de la Base de Conocimiento Clínico (v0.3). Nada entra en el motor de la app hasta cerrar estas dudas.</w:t>
      </w:r>
    </w:p>
    <w:p>
      <w:r>
        <w:br w:type="page"/>
      </w:r>
    </w:p>
    <w:p>
      <w:pPr>
        <w:pBdr>
          <w:bottom w:val="single" w:color="2A7F8E" w:sz="8"/>
        </w:pBdr>
        <w:spacing w:after="160" w:before="200"/>
      </w:pPr>
      <w:r>
        <w:rPr>
          <w:b/>
          <w:bCs/>
          <w:color w:val="0F4C5C"/>
          <w:sz w:val="32"/>
          <w:szCs w:val="32"/>
        </w:rPr>
        <w:t xml:space="preserve">Índice</w:t>
      </w:r>
    </w:p>
    <w:sdt>
      <w:sdtPr>
        <w:alias w:val="Índice"/>
        <w:docPartObj>
          <w:docPartGallery w:val="Table of Contents"/>
          <w:docPartUnique/>
        </w:docPartObj>
      </w:sdtPr>
      <w:sdtContent>
        <w:p>
          <w:pPr>
            <w:pStyle w:val="TOC2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Lo que encaja (y lo que aporta de nuevo)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2. Donde los números no coinciden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3. Dudas concretas que necesitamos de ti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4. Tu duda sobre Ti y la I:E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5. Tus peticiones sobre la app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6. Siguiente paso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80"/>
      </w:pPr>
      <w:bookmarkStart w:name="_Toc1" w:id="1"/>
      <w:r>
        <w:t xml:space="preserve">1. Lo que encaja (y lo que aporta de nuevo)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Tu </w:t>
      </w:r>
      <w:r>
        <w:rPr>
          <w:b/>
          <w:bCs/>
        </w:rPr>
        <w:t xml:space="preserve">algoritmo inicial</w:t>
      </w:r>
      <w:r>
        <w:t xml:space="preserve"> (sobredosis → hipoxémico por PaFi → hipercápnico por HCO3/láctico/pH esperado) coincide con el árbol de la base casi punto por punto: mismos cortes de PaFi (300/200/100, UCI si &lt;150, VMI si &lt;100), misma rama de sobredosis, mismo inicio rápido EAP/EPOC.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</w:t>
      </w:r>
      <w:r>
        <w:rPr>
          <w:b/>
          <w:bCs/>
        </w:rPr>
        <w:t xml:space="preserve">REC 1–5</w:t>
      </w:r>
      <w:r>
        <w:t xml:space="preserve"> (parámetros iniciales concretos por escenario, con rampa, FiO2 objetivo y la subida de soporte de 2 en 2 hasta el Vt calculado) son la gran aportación de esta entrega: concretan decisiones que teníamos abiertas y pasan a la base como propuesta tuya, pendientes solo de las dudas de abajo.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También incorporamos como novedad: los </w:t>
      </w:r>
      <w:r>
        <w:rPr>
          <w:b/>
          <w:bCs/>
        </w:rPr>
        <w:t xml:space="preserve">criterios cuantitativos de mejoría gasométrica</w:t>
      </w:r>
      <w:r>
        <w:t xml:space="preserve"> (MG1–MG3), la </w:t>
      </w:r>
      <w:r>
        <w:rPr>
          <w:b/>
          <w:bCs/>
        </w:rPr>
        <w:t xml:space="preserve">valoración estructurada a las 6 h</w:t>
      </w:r>
      <w:r>
        <w:t xml:space="preserve">, la </w:t>
      </w:r>
      <w:r>
        <w:rPr>
          <w:b/>
          <w:bCs/>
        </w:rPr>
        <w:t xml:space="preserve">pauta de retirada</w:t>
      </w:r>
      <w:r>
        <w:t xml:space="preserve"> con descensos, la </w:t>
      </w:r>
      <w:r>
        <w:rPr>
          <w:b/>
          <w:bCs/>
        </w:rPr>
        <w:t xml:space="preserve">memoria de parámetros</w:t>
      </w:r>
      <w:r>
        <w:t xml:space="preserve"> (IPAP1/EPAP1) y la </w:t>
      </w:r>
      <w:r>
        <w:rPr>
          <w:b/>
          <w:bCs/>
        </w:rPr>
        <w:t xml:space="preserve">CPAP de Boussignac</w:t>
      </w:r>
      <w:r>
        <w:t xml:space="preserve"> como dispositivo nuevo de la app.</w:t>
      </w:r>
    </w:p>
    <w:p>
      <w:pPr>
        <w:pStyle w:val="Heading2"/>
        <w:spacing w:after="140" w:before="280"/>
      </w:pPr>
      <w:bookmarkStart w:name="_Toc2" w:id="2"/>
      <w:r>
        <w:t xml:space="preserve">2. Donde los números no coinciden</w:t>
      </w:r>
      <w:bookmarkEnd w:id="2"/>
    </w:p>
    <w:p>
      <w:pPr>
        <w:spacing w:after="100"/>
      </w:pPr>
      <w:r>
        <w:t xml:space="preserve">Proponemos mantener los valores ya referenciados en la base salvo que veas razón en contra — dinos en cada fila si aceptas o defiendes el tuyo: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720"/>
        <w:gridCol w:w="4664"/>
      </w:tblGrid>
      <w:tr>
        <w:trPr>
          <w:tblHeader/>
        </w:trPr>
        <w:tc>
          <w:tcPr>
            <w:tcW w:type="dxa" w:w="225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Magnitud</w:t>
            </w:r>
          </w:p>
        </w:tc>
        <w:tc>
          <w:tcPr>
            <w:tcW w:type="dxa" w:w="272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 escrito</w:t>
            </w:r>
          </w:p>
        </w:tc>
        <w:tc>
          <w:tcPr>
            <w:tcW w:type="dxa" w:w="466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 (referencia)</w:t>
            </w:r>
          </w:p>
        </w:tc>
      </w:tr>
      <w:tr>
        <w:tc>
          <w:tcPr>
            <w:tcW w:type="dxa" w:w="225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pH de fallo hipercápnico</w:t>
            </w:r>
          </w:p>
        </w:tc>
        <w:tc>
          <w:tcPr>
            <w:tcW w:type="dxa" w:w="272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&lt;7,33</w:t>
            </w:r>
          </w:p>
        </w:tc>
        <w:tc>
          <w:tcPr>
            <w:tcW w:type="dxa" w:w="466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&lt;7,35 (ERS/ATS 2017; BTS 2016; consenso 2021)</w:t>
            </w:r>
          </w:p>
        </w:tc>
      </w:tr>
      <w:tr>
        <w:tc>
          <w:tcPr>
            <w:tcW w:type="dxa" w:w="225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pCO2 de fallo hipercápnico</w:t>
            </w:r>
          </w:p>
        </w:tc>
        <w:tc>
          <w:tcPr>
            <w:tcW w:type="dxa" w:w="272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&gt;50</w:t>
            </w:r>
          </w:p>
        </w:tc>
        <w:tc>
          <w:tcPr>
            <w:tcW w:type="dxa" w:w="466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&gt;45 (ERS/ATS; BTS usa ~49 como criterio de inicio tras 60 min)</w:t>
            </w:r>
          </w:p>
        </w:tc>
      </w:tr>
      <w:tr>
        <w:tc>
          <w:tcPr>
            <w:tcW w:type="dxa" w:w="225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SpO2 objetivo hipercápnico</w:t>
            </w:r>
          </w:p>
        </w:tc>
        <w:tc>
          <w:tcPr>
            <w:tcW w:type="dxa" w:w="272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89–91%</w:t>
            </w:r>
          </w:p>
        </w:tc>
        <w:tc>
          <w:tcPr>
            <w:tcW w:type="dxa" w:w="466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88–92% (BTS rec. 4, grado A)</w:t>
            </w:r>
          </w:p>
        </w:tc>
      </w:tr>
      <w:tr>
        <w:tc>
          <w:tcPr>
            <w:tcW w:type="dxa" w:w="225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SpO2 objetivo no hipercápnico</w:t>
            </w:r>
          </w:p>
        </w:tc>
        <w:tc>
          <w:tcPr>
            <w:tcW w:type="dxa" w:w="272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94–96%</w:t>
            </w:r>
          </w:p>
        </w:tc>
        <w:tc>
          <w:tcPr>
            <w:tcW w:type="dxa" w:w="466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92–96% (GINA 93–95% en asma)</w:t>
            </w:r>
          </w:p>
        </w:tc>
      </w:tr>
      <w:tr>
        <w:tc>
          <w:tcPr>
            <w:tcW w:type="dxa" w:w="225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Vt objetivo</w:t>
            </w:r>
          </w:p>
        </w:tc>
        <w:tc>
          <w:tcPr>
            <w:tcW w:type="dxa" w:w="272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peso ideal ×6 (×5 en neuromuscular)</w:t>
            </w:r>
          </w:p>
        </w:tc>
        <w:tc>
          <w:tcPr>
            <w:tcW w:type="dxa" w:w="466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6–8 ml/kg de peso ideal (BTS)</w:t>
            </w:r>
          </w:p>
        </w:tc>
      </w:tr>
      <w:tr>
        <w:tc>
          <w:tcPr>
            <w:tcW w:type="dxa" w:w="225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Peso ideal</w:t>
            </w:r>
          </w:p>
        </w:tc>
        <w:tc>
          <w:tcPr>
            <w:tcW w:type="dxa" w:w="272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Lorentz</w:t>
            </w:r>
          </w:p>
        </w:tc>
        <w:tc>
          <w:tcPr>
            <w:tcW w:type="dxa" w:w="466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ARDSNet (es la fórmula con la que se definió el Vt protector)</w:t>
            </w:r>
          </w:p>
        </w:tc>
      </w:tr>
      <w:tr>
        <w:tc>
          <w:tcPr>
            <w:tcW w:type="dxa" w:w="225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pH predicho</w:t>
            </w:r>
          </w:p>
        </w:tc>
        <w:tc>
          <w:tcPr>
            <w:tcW w:type="dxa" w:w="272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7,40 + (40−PaCO2)/200</w:t>
            </w:r>
          </w:p>
        </w:tc>
        <w:tc>
          <w:tcPr>
            <w:tcW w:type="dxa" w:w="466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7,40 − 0,008×(PaCO2−40) agudo / −0,003 crónico + Winter (Berend, NEJM 2014)</w:t>
            </w:r>
          </w:p>
        </w:tc>
      </w:tr>
      <w:tr>
        <w:tc>
          <w:tcPr>
            <w:tcW w:type="dxa" w:w="225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IPAP en acidosis grave</w:t>
            </w:r>
          </w:p>
        </w:tc>
        <w:tc>
          <w:tcPr>
            <w:tcW w:type="dxa" w:w="272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15 si pH &lt;7,20</w:t>
            </w:r>
          </w:p>
        </w:tc>
        <w:tc>
          <w:tcPr>
            <w:tcW w:type="dxa" w:w="466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BTS: 20 si pH &lt;7,25</w:t>
            </w:r>
          </w:p>
        </w:tc>
      </w:tr>
      <w:tr>
        <w:tc>
          <w:tcPr>
            <w:tcW w:type="dxa" w:w="225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FiO2 por gafas nasales</w:t>
            </w:r>
          </w:p>
        </w:tc>
        <w:tc>
          <w:tcPr>
            <w:tcW w:type="dxa" w:w="272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0,21 + 0,3×L (¿errata por 0,03?)</w:t>
            </w:r>
          </w:p>
        </w:tc>
        <w:tc>
          <w:tcPr>
            <w:tcW w:type="dxa" w:w="466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0,21 + 0,04×L — ¿consolidamos 0,03 o 0,04?</w:t>
            </w:r>
          </w:p>
        </w:tc>
      </w:tr>
      <w:tr>
        <w:tc>
          <w:tcPr>
            <w:tcW w:type="dxa" w:w="225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pH de inicio de retirada</w:t>
            </w:r>
          </w:p>
        </w:tc>
        <w:tc>
          <w:tcPr>
            <w:tcW w:type="dxa" w:w="272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&gt;7,34 (escrito «1,34»)</w:t>
            </w:r>
          </w:p>
        </w:tc>
        <w:tc>
          <w:tcPr>
            <w:tcW w:type="dxa" w:w="466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≥7,35 con pCO2 &lt;50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Sobre el </w:t>
      </w:r>
      <w:r>
        <w:rPr>
          <w:b/>
          <w:bCs/>
        </w:rPr>
        <w:t xml:space="preserve">pH predicho</w:t>
      </w:r>
      <w:r>
        <w:t xml:space="preserve">: tu fórmula única (0,005/mmHg) cae entre la aguda y la crónica, y justo la distinción agudo/crónico agudizado es la que tu propio flujo necesita para separar la acidosis respiratoria pura (D) de la crónica agudizada (E). Proponemos mantener la doble pendiente + Winter, que además ya está programada.</w:t>
      </w:r>
    </w:p>
    <w:p>
      <w:pPr>
        <w:pStyle w:val="Heading2"/>
        <w:spacing w:after="140" w:before="280"/>
      </w:pPr>
      <w:bookmarkStart w:name="_Toc3" w:id="3"/>
      <w:r>
        <w:t xml:space="preserve">3. Dudas concretas que necesitamos de ti</w:t>
      </w:r>
      <w:bookmarkEnd w:id="3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Fórmulas del Vivo.</w:t>
      </w:r>
      <w:r>
        <w:t xml:space="preserve"> Escribes «tengo fórmulas para Vivo». Nosotros habíamos concluido que el fabricante no publica ninguna (su manual solo limita el O2 a 15 L/min). </w:t>
      </w:r>
      <w:r>
        <w:rPr>
          <w:b/>
          <w:bCs/>
        </w:rPr>
        <w:t xml:space="preserve">Mándanos esas fórmulas con su fuente</w:t>
      </w:r>
      <w:r>
        <w:t xml:space="preserve"> — si existen, cambian una decisión ya tomada.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Bibliografía de MG1–MG3.</w:t>
      </w:r>
      <w:r>
        <w:t xml:space="preserve"> ¿De dónde salen ΔPaFi &gt;21 (o ΔpO2 &gt;9), ΔpH &gt;0,014 y ΔpCO2 &gt;9? Ninguna recomendación entra en el motor sin referencia (guía/estudio y año). Ojo además: tal como está escrito, MG3 (pCO2 a la hora − pCO2 inicial &gt;9) sería un </w:t>
      </w:r>
      <w:r>
        <w:rPr>
          <w:i/>
          <w:iCs/>
        </w:rPr>
        <w:t xml:space="preserve">empeoramiento</w:t>
      </w:r>
      <w:r>
        <w:t xml:space="preserve">; entendemos que quieres decir </w:t>
      </w:r>
      <w:r>
        <w:rPr>
          <w:b/>
          <w:bCs/>
        </w:rPr>
        <w:t xml:space="preserve">descenso</w:t>
      </w:r>
      <w:r>
        <w:t xml:space="preserve"> &gt;9.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Bibliografía del Boussignac.</w:t>
      </w:r>
      <w:r>
        <w:t xml:space="preserve"> Tú mismo pides «confirmar con buena bibliografía» la tabla flujo→CPAP (15→4 … 27→10). Si tienes la fuente (¿datos de Vygon?), mándala. En las fórmulas de mezcla hay paréntesis bailados; la general sería FiO2 = (0,21×L_aire + L_O2) / (L_aire + L_O2) — confirma que es eso.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 de respaldo.</w:t>
      </w:r>
      <w:r>
        <w:t xml:space="preserve"> «FR 15 (10 r/min por debajo de la del paciente)»: las dos reglas no siempre coinciden (paciente a 32 rpm → ¿15 o 22?). ¿Cuál prevalece, y con qué techo/suelo?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Categorías de HCO3.</w:t>
      </w:r>
      <w:r>
        <w:t xml:space="preserve"> Propones «&lt;15, 15-22, 20-30, &gt;30» (se solapan 15–22 y 20–30). En la base quedó fijado el </w:t>
      </w:r>
      <w:r>
        <w:rPr>
          <w:b/>
          <w:bCs/>
        </w:rPr>
        <w:t xml:space="preserve">valor absoluto</w:t>
      </w:r>
      <w:r>
        <w:t xml:space="preserve"> porque lo exigen el pH predicho y Winter; la app puede mostrar la categoría además. ¿Te vale así?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Asma (REC 2).</w:t>
      </w:r>
      <w:r>
        <w:t xml:space="preserve"> La ERS/ATS 2017 no hace recomendación en asma (evidencia insuficiente). Tu REC 2 es más decidida. Proponemos dejarla como </w:t>
      </w:r>
      <w:r>
        <w:rPr>
          <w:b/>
          <w:bCs/>
        </w:rPr>
        <w:t xml:space="preserve">criterio de autores</w:t>
      </w:r>
      <w:r>
        <w:t xml:space="preserve">, con monitorización estricta y aviso explícito en la app. ¿Lo confirmas?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Retirada en EPOC.</w:t>
      </w:r>
      <w:r>
        <w:t xml:space="preserve"> Tu pauta de descenso progresivo es la que incorporamos como procedimiento general; ten en cuenta que en EPOC resuelto el ensayo de Sellarés (ERJ 2017) avala la retirada directa sin descenso. ¿La dejamos como opción preferente en EPOC y el descenso para el resto / mala tolerancia?</w:t>
      </w:r>
    </w:p>
    <w:p>
      <w:pPr>
        <w:pStyle w:val="Heading2"/>
        <w:spacing w:after="140" w:before="280"/>
      </w:pPr>
      <w:bookmarkStart w:name="_Toc4" w:id="4"/>
      <w:r>
        <w:t xml:space="preserve">4. Tu duda sobre Ti y la I:E</w:t>
      </w:r>
      <w:bookmarkEnd w:id="4"/>
    </w:p>
    <w:p>
      <w:pPr>
        <w:spacing w:after="100"/>
      </w:pPr>
      <w:r>
        <w:t xml:space="preserve">Tienes razón en la intuición: en S/T el patrón lo marca el paciente. El </w:t>
      </w:r>
      <w:r>
        <w:rPr>
          <w:b/>
          <w:bCs/>
        </w:rPr>
        <w:t xml:space="preserve">Ti y la I:E programados solo gobiernan los ciclos mandatorios</w:t>
      </w:r>
      <w:r>
        <w:t xml:space="preserve"> que entrega la FR de respaldo cuando el paciente no dispara; además, el Ti programado actúa como </w:t>
      </w:r>
      <w:r>
        <w:rPr>
          <w:b/>
          <w:bCs/>
        </w:rPr>
        <w:t xml:space="preserve">Ti máximo de seguridad</w:t>
      </w:r>
      <w:r>
        <w:t xml:space="preserve"> del ciclado (si una fuga impide ciclar por flujo, la máquina corta por tiempo). En los ciclos espontáneos manda el paciente. Lo vamos a aclarar en la propia interfaz de la app.</w:t>
      </w:r>
    </w:p>
    <w:p>
      <w:pPr>
        <w:pStyle w:val="Heading2"/>
        <w:spacing w:after="140" w:before="280"/>
      </w:pPr>
      <w:bookmarkStart w:name="_Toc5" w:id="5"/>
      <w:r>
        <w:t xml:space="preserve">5. Tus peticiones sobre la app</w:t>
      </w:r>
      <w:bookmarkEnd w:id="5"/>
    </w:p>
    <w:p>
      <w:pPr>
        <w:spacing w:after="100"/>
      </w:pPr>
      <w:r>
        <w:t xml:space="preserve">Trasladadas al equipo de desarrollo (no necesitan validación científica, sí diseño):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Alarmas al iniciar seguimiento: a 1 h (valoración 60–120 min) y a las 6 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permanente de </w:t>
      </w:r>
      <w:r>
        <w:rPr>
          <w:b/>
          <w:bCs/>
        </w:rPr>
        <w:t xml:space="preserve">corrección de problemas</w:t>
      </w:r>
      <w:r>
        <w:t xml:space="preserve">, activa salvo durante las ventanas de 1 h / 6 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Seguimiento simultáneo de al menos 3 pacientes desde móvil, tablet u ordenador.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Simulador: un pulsador por gráfica (por defecto las tres activas, combinables).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Memoria de parámetros IPAP1/EPAP1/rampa1 recuperada en cada ventana.</w:t>
      </w:r>
    </w:p>
    <w:p>
      <w:pPr>
        <w:pStyle w:val="Heading2"/>
        <w:spacing w:after="140" w:before="280"/>
      </w:pPr>
      <w:bookmarkStart w:name="_Toc6" w:id="6"/>
      <w:r>
        <w:t xml:space="preserve">6. Siguiente paso</w:t>
      </w:r>
      <w:bookmarkEnd w:id="6"/>
    </w:p>
    <w:p>
      <w:pPr>
        <w:spacing w:after="100"/>
      </w:pPr>
      <w:r>
        <w:t xml:space="preserve">Con tus respuestas a los puntos 2 y 3 (números y dudas) cerramos esta entrega y lo pasamos al motor. El </w:t>
      </w:r>
      <w:r>
        <w:rPr>
          <w:b/>
          <w:bCs/>
        </w:rPr>
        <w:t xml:space="preserve">formulario de las 19 decisiones (D-1 a D-19)</w:t>
      </w:r>
      <w:r>
        <w:t xml:space="preserve"> del Word de revisión sigue abierto — varias quedarán ya respondidas por esta entrega, pero conviene repasarlo porque hay decisiones (jerarquía de fuentes, HACOR, alto flujo/AirVo, modos avanzados y aviso ASV) que tu escrito no toca.</w:t>
      </w:r>
    </w:p>
    <w:p>
      <w:pPr>
        <w:spacing w:after="100"/>
      </w:pPr>
      <w:r>
        <w:t xml:space="preserve">Un abrazo, Carlos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color w:val="222222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2A7F8E" w:sz="8"/>
      </w:pBdr>
      <w:spacing w:after="160" w:before="420"/>
    </w:pPr>
    <w:rPr>
      <w:b/>
      <w:bCs/>
      <w:color w:val="0F4C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b/>
      <w:bCs/>
      <w:color w:val="1669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b/>
      <w:bCs/>
      <w:color w:val="2A7F8E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80"/>
    </w:pPr>
    <w:rPr>
      <w:b/>
      <w:bCs/>
      <w:i/>
      <w:iCs/>
      <w:color w:val="5A6B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VMNI EN URGENCIAS — Respuesta y dudas — 1.ª entrega de la revisión</dc:title>
  <dc:creator>Carlos J. Galán Doval</dc:creator>
  <cp:lastModifiedBy>Un-named</cp:lastModifiedBy>
  <cp:revision>1</cp:revision>
  <dcterms:created xsi:type="dcterms:W3CDTF">2026-10-30T11:12:48.825Z</dcterms:created>
  <dcterms:modified xsi:type="dcterms:W3CDTF">2026-10-30T11:12:48.826Z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