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0.1 — borrador para revisión científica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27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Correcciones al borrador inicial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propias de Carlos para Vivo (pendientes de incorporar)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(tabla §2.4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de Carlos, pendientes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Decisiones abiertas para revisión (Carlos + Enrique)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3213"/>
        <w:gridCol w:w="5209"/>
      </w:tblGrid>
      <w:tr>
        <w:trPr>
          <w:tblHeader/>
        </w:trP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Cuestión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Opciones / propuesta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Jerarquía de fuentes cuando discrepan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Propuesta: ATS 2026 &gt; ERS/ATS 2017 &gt; BTS 2016 &gt; consenso 2021 &gt; manuales. ¿De acuerdo?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D-2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por gafas nasales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4%/L (clásica) vs 3%/L.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Errata del borrador (0,3/L) corregida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D-3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¿Usar solo los anclajes 315/235 o curva continua interpolada? Aviso automático si SpO2 &gt;97%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D-4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¿mg/dL o mmol/L (o conmutable)? Umbrales 2/4 mmol/L ≈ 18/36 mg/dL vs los del borrador (20/30 mg/dL)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D-5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¿Se muestra como score con aviso (&gt;5 a 1 h = alto riesgo de fracaso) o solo como información docente?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D-6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Techo de EPAP en EPOC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 "y nunca 8" (Inicio VMNI) vs 7 (Artacho) vs 8 (BTS/Foster) vs 80% de la autoPEEP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D-7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 inicial en EPOC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D-8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de respaldo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(mayoría) vs 16–20 (BTS)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D-9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SpO2 no hipercápnico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92–96% propuesto (Foster usa ~93% en CPAP; algún texto 85–89% en binivel hipoxémico)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D-10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6–8 ml/kg ideal (propuesto) vs 5–7 (Foster) vs ≥7 (Inicio VMNI); alarma &gt;9,5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D-11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Pauta de gasometrías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 h + 4–6 h + 24 h (propuesta, consenso) vs variantes de los manuales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D-12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Fórmulas FiO2 del Vivo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Carlos las aporta</w:t>
            </w:r>
            <w:r>
              <w:rPr>
                <w:color w:val="222222"/>
                <w:sz w:val="18"/>
                <w:szCs w:val="18"/>
              </w:rPr>
              <w:t xml:space="preserve"> y sustituyen/complementan la tabla genérica §2.4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D-13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en el algoritmo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¿Incluimos el AirVo como rama propia (ATS 2026 lo exige en hipoxémico y en hipercapnia leve)? Propuesta: sí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D-14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Rama de sobredosis (A)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Validar criterio y fármacos de reversión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D-15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Valor absoluto confirmado como entrada (necesario para pH esperado y Winter)</w:t>
            </w:r>
          </w:p>
        </w:tc>
      </w:tr>
      <w:tr>
        <w:tc>
          <w:tcPr>
            <w:tcW w:type="dxa" w:w="12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D-16</w:t>
            </w:r>
          </w:p>
        </w:tc>
        <w:tc>
          <w:tcPr>
            <w:tcW w:type="dxa" w:w="321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venosa</w:t>
            </w:r>
          </w:p>
        </w:tc>
        <w:tc>
          <w:tcPr>
            <w:tcW w:type="dxa" w:w="52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Validar reglas §2.3 (corrección +0,03 de pH; pCO2 &lt;45 descarta)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5" w:id="15"/>
      <w:r>
        <w:t xml:space="preserve">15. Correcciones al borrador inicial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 v0.1</dc:title>
  <dc:creator>Carlos J. Galán Doval</dc:creator>
  <cp:lastModifiedBy>Un-named</cp:lastModifiedBy>
  <cp:revision>1</cp:revision>
  <dcterms:created xsi:type="dcterms:W3CDTF">2026-10-27T10:06:12.476Z</dcterms:created>
  <dcterms:modified xsi:type="dcterms:W3CDTF">2026-10-27T10:06:12.477Z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