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0F4C5C"/>
          <w:sz w:val="64"/>
          <w:szCs w:val="64"/>
        </w:rPr>
        <w:t xml:space="preserve">TRATAMIENTO FARMACOLÓGICO</w:t>
      </w:r>
    </w:p>
    <w:p>
      <w:pPr>
        <w:spacing w:before="160"/>
        <w:jc w:val="center"/>
      </w:pPr>
      <w:r>
        <w:rPr>
          <w:color w:val="16697A"/>
          <w:sz w:val="40"/>
          <w:szCs w:val="40"/>
        </w:rPr>
        <w:t xml:space="preserve">VMNI Urgencias · Sección de fármacos</w:t>
      </w:r>
    </w:p>
    <w:p>
      <w:pPr>
        <w:spacing w:before="120"/>
        <w:jc w:val="center"/>
      </w:pPr>
      <w:r>
        <w:rPr>
          <w:i/>
          <w:iCs/>
          <w:color w:val="5A6B70"/>
          <w:sz w:val="24"/>
          <w:szCs w:val="24"/>
        </w:rPr>
        <w:t xml:space="preserve">Recomendaciones generales por escenario según guías nacionales e internacionales (GesEPOC, GEMA, GOLD, GINA, ESC, BTS)</w:t>
      </w:r>
    </w:p>
    <w:p>
      <w:pPr>
        <w:spacing w:before="600"/>
        <w:jc w:val="center"/>
      </w:pPr>
      <w:r>
        <w:rPr>
          <w:b/>
          <w:bCs/>
          <w:color w:val="2A7F8E"/>
          <w:sz w:val="24"/>
          <w:szCs w:val="24"/>
        </w:rPr>
        <w:t xml:space="preserve">Versión 0.1 — BORRADOR para validación científica</w:t>
      </w:r>
    </w:p>
    <w:p>
      <w:pPr>
        <w:spacing w:before="400"/>
        <w:jc w:val="center"/>
      </w:pPr>
      <w:r>
        <w:rPr>
          <w:b/>
          <w:bCs/>
          <w:color w:val="222222"/>
          <w:sz w:val="26"/>
          <w:szCs w:val="26"/>
        </w:rPr>
        <w:t xml:space="preserve">Carlos J. Galán Doval</w:t>
      </w:r>
    </w:p>
    <w:p>
      <w:pPr>
        <w:jc w:val="center"/>
      </w:pPr>
      <w:r>
        <w:rPr>
          <w:color w:val="222222"/>
          <w:sz w:val="24"/>
          <w:szCs w:val="24"/>
        </w:rPr>
        <w:t xml:space="preserve">Coautor y revisor: Enrique Fernández Romero</w:t>
      </w:r>
    </w:p>
    <w:p>
      <w:pPr>
        <w:spacing w:before="120"/>
        <w:jc w:val="center"/>
      </w:pPr>
      <w:r>
        <w:rPr>
          <w:color w:val="5A6B70"/>
          <w:sz w:val="21"/>
          <w:szCs w:val="21"/>
        </w:rPr>
        <w:t xml:space="preserve">Urgencias · Hospital de Montilla · Área de Gestión Sanitaria Sur de Córdoba</w:t>
      </w:r>
    </w:p>
    <w:p>
      <w:pPr>
        <w:spacing w:before="120"/>
        <w:jc w:val="center"/>
      </w:pPr>
      <w:r>
        <w:rPr>
          <w:color w:val="5A6B70"/>
          <w:sz w:val="21"/>
          <w:szCs w:val="21"/>
        </w:rPr>
        <w:t xml:space="preserve">27 de octubre de 2026</w:t>
      </w:r>
    </w:p>
    <w:p>
      <w:pPr>
        <w:spacing w:before="900"/>
      </w:pPr>
    </w:p>
    <w:p>
      <w:pPr>
        <w:pBdr>
          <w:top w:val="single" w:color="2A7F8E" w:sz="6"/>
          <w:bottom w:val="single" w:color="2A7F8E" w:sz="6"/>
        </w:pBdr>
        <w:shd w:fill="EAF3F5" w:val="clear"/>
        <w:jc w:val="center"/>
      </w:pPr>
      <w:r>
        <w:rPr>
          <w:i/>
          <w:iCs/>
          <w:color w:val="444444"/>
          <w:sz w:val="19"/>
          <w:szCs w:val="19"/>
        </w:rPr>
        <w:t xml:space="preserve">Recomendaciones generales: NO sustituyen la valoración individual del paciente (alergias, antecedentes, enfermedades concomitantes, interacciones, función renal/hepática, embarazo). Dosis orientativas de adulto. Este contenido no entrará en la app hasta su validación por Enrique Fernández Romero (decisiones F-1 a F-7).</w:t>
      </w:r>
    </w:p>
    <w:p>
      <w:r>
        <w:br w:type="page"/>
      </w:r>
    </w:p>
    <w:p>
      <w:pPr>
        <w:pBdr>
          <w:bottom w:val="single" w:color="2A7F8E" w:sz="8"/>
        </w:pBdr>
        <w:spacing w:after="160" w:before="200"/>
      </w:pPr>
      <w:r>
        <w:rPr>
          <w:b/>
          <w:bCs/>
          <w:color w:val="0F4C5C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pPr>
            <w:pStyle w:val="TOC2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Agudización de EPOC (GOLD 2026 · GesEPOC 2021)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2. EAP / insuficiencia cardiaca aguda (ESC 2021)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3. Crisis asmática grave (GINA · GEMA)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4. Sospecha de sobredosis de depresores (rama A del algoritmo)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5. Coadyuvantes durante la VNI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6. Lo que NO (prácticas desaconsejadas por las guías)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7. Decisiones abiertas para Enrique (F-1 a F-7)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8. Referencias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80"/>
      </w:pPr>
      <w:bookmarkStart w:name="_Toc1" w:id="1"/>
      <w:r>
        <w:t xml:space="preserve">1. Agudización de EPOC </w:t>
      </w:r>
      <w:r>
        <w:rPr>
          <w:i/>
          <w:iCs/>
        </w:rPr>
        <w:t xml:space="preserve">(GOLD 2026 · GesEPOC 2021)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3780"/>
        <w:gridCol w:w="3779"/>
      </w:tblGrid>
      <w:tr>
        <w:trPr>
          <w:tblHeader/>
        </w:trPr>
        <w:tc>
          <w:tcPr>
            <w:tcW w:type="dxa" w:w="20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37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Pauta general</w:t>
            </w:r>
          </w:p>
        </w:tc>
        <w:tc>
          <w:tcPr>
            <w:tcW w:type="dxa" w:w="37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Claves</w:t>
            </w:r>
          </w:p>
        </w:tc>
      </w:tr>
      <w:tr>
        <w:tc>
          <w:tcPr>
            <w:tcW w:type="dxa" w:w="20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Broncodilatadores de acción corta</w:t>
            </w:r>
          </w:p>
        </w:tc>
        <w:tc>
          <w:tcPr>
            <w:tcW w:type="dxa" w:w="37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Salbutamol nebulizado 2,5–5 mg (o 4–8 pulsaciones con cámara) ± ipratropio 0,5 mg; repetir cada 20–30 min la primera hora, luego cada 4–6 h</w:t>
            </w:r>
          </w:p>
        </w:tc>
        <w:tc>
          <w:tcPr>
            <w:tcW w:type="dxa" w:w="37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Base del tratamiento en todos los pacientes (GesEPOC). Durante la VNI, nebulizar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sin interrumpirla</w:t>
            </w:r>
            <w:r>
              <w:rPr>
                <w:color w:val="222222"/>
                <w:sz w:val="18"/>
                <w:szCs w:val="18"/>
              </w:rPr>
              <w:t xml:space="preserve"> (malla vibrante en T)</w:t>
            </w:r>
          </w:p>
        </w:tc>
      </w:tr>
      <w:tr>
        <w:tc>
          <w:tcPr>
            <w:tcW w:type="dxa" w:w="20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Corticoide sistémico</w:t>
            </w:r>
          </w:p>
        </w:tc>
        <w:tc>
          <w:tcPr>
            <w:tcW w:type="dxa" w:w="37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Prednisona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40 mg vo, 5 días</w:t>
            </w:r>
            <w:r>
              <w:rPr>
                <w:color w:val="222222"/>
                <w:sz w:val="18"/>
                <w:szCs w:val="18"/>
              </w:rPr>
              <w:t xml:space="preserve"> (metilprednisolona IV si no tolera la vía oral)</w:t>
            </w:r>
          </w:p>
        </w:tc>
        <w:tc>
          <w:tcPr>
            <w:tcW w:type="dxa" w:w="37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Pauta GOLD; no alargar el curso. GesEPOC: mayor eficacia si eosinófilos ≥300/mm³ (→ decisión F-6)</w:t>
            </w:r>
          </w:p>
        </w:tc>
      </w:tr>
      <w:tr>
        <w:tc>
          <w:tcPr>
            <w:tcW w:type="dxa" w:w="20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Antibiótico</w:t>
            </w:r>
          </w:p>
        </w:tc>
        <w:tc>
          <w:tcPr>
            <w:tcW w:type="dxa" w:w="37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 ≥2 criterios de Anthonisen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con purulencia</w:t>
            </w:r>
            <w:r>
              <w:rPr>
                <w:color w:val="222222"/>
                <w:sz w:val="18"/>
                <w:szCs w:val="18"/>
              </w:rPr>
              <w:t xml:space="preserve">, necesidad de soporte ventilatorio (VNI/VMI) o PCR ≥20 mg/L (GesEPOC). Empírico habitual: amoxicilina-clavulánico 875/125 mg c/8 h, 5–7 días; alternativas según guía local (→ decisión F-1); riesgo de </w:t>
            </w:r>
            <w:r>
              <w:rPr>
                <w:i/>
                <w:iCs/>
                <w:color w:val="222222"/>
                <w:sz w:val="18"/>
                <w:szCs w:val="18"/>
              </w:rPr>
              <w:t xml:space="preserve">Pseudomonas</w:t>
            </w:r>
            <w:r>
              <w:rPr>
                <w:color w:val="222222"/>
                <w:sz w:val="18"/>
                <w:szCs w:val="18"/>
              </w:rPr>
              <w:t xml:space="preserve"> → ciprofloxacino</w:t>
            </w:r>
          </w:p>
        </w:tc>
        <w:tc>
          <w:tcPr>
            <w:tcW w:type="dxa" w:w="37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La necesidad de VNI es, por sí misma, indicación de antibiótico</w:t>
            </w:r>
          </w:p>
        </w:tc>
      </w:tr>
      <w:tr>
        <w:tc>
          <w:tcPr>
            <w:tcW w:type="dxa" w:w="20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Oxígeno</w:t>
            </w:r>
          </w:p>
        </w:tc>
        <w:tc>
          <w:tcPr>
            <w:tcW w:type="dxa" w:w="37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Controlado, objetivo SpO₂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88–92%</w:t>
            </w:r>
          </w:p>
        </w:tc>
        <w:tc>
          <w:tcPr>
            <w:tcW w:type="dxa" w:w="37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Ya recogido en la Base Científica</w:t>
            </w:r>
          </w:p>
        </w:tc>
      </w:tr>
      <w:tr>
        <w:tc>
          <w:tcPr>
            <w:tcW w:type="dxa" w:w="20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Otros</w:t>
            </w:r>
          </w:p>
        </w:tc>
        <w:tc>
          <w:tcPr>
            <w:tcW w:type="dxa" w:w="37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Tromboprofilaxis con HBPM si inmovilización/ingreso</w:t>
            </w:r>
          </w:p>
        </w:tc>
        <w:tc>
          <w:tcPr>
            <w:tcW w:type="dxa" w:w="377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No</w:t>
            </w:r>
            <w:r>
              <w:rPr>
                <w:color w:val="222222"/>
                <w:sz w:val="18"/>
                <w:szCs w:val="18"/>
              </w:rPr>
              <w:t xml:space="preserve"> metilxantinas de rutina (GOLD)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bookmarkStart w:name="_Toc2" w:id="2"/>
      <w:r>
        <w:t xml:space="preserve">2. EAP / insuficiencia cardiaca aguda </w:t>
      </w:r>
      <w:r>
        <w:rPr>
          <w:i/>
          <w:iCs/>
        </w:rPr>
        <w:t xml:space="preserve">(ESC 2021)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4101"/>
        <w:gridCol w:w="4102"/>
      </w:tblGrid>
      <w:tr>
        <w:trPr>
          <w:tblHeader/>
        </w:trPr>
        <w:tc>
          <w:tcPr>
            <w:tcW w:type="dxa" w:w="143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410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Pauta general</w:t>
            </w:r>
          </w:p>
        </w:tc>
        <w:tc>
          <w:tcPr>
            <w:tcW w:type="dxa" w:w="41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Claves</w:t>
            </w:r>
          </w:p>
        </w:tc>
      </w:tr>
      <w:tr>
        <w:tc>
          <w:tcPr>
            <w:tcW w:type="dxa" w:w="143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Diurético de asa</w:t>
            </w:r>
          </w:p>
        </w:tc>
        <w:tc>
          <w:tcPr>
            <w:tcW w:type="dxa" w:w="410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Furosemida IV 20–40 mg en bolo (o 1–2 veces su dosis oral habitual); repetir o perfusión según diuresis y congestión</w:t>
            </w:r>
          </w:p>
        </w:tc>
        <w:tc>
          <w:tcPr>
            <w:tcW w:type="dxa" w:w="41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Pilar del tratamiento en congestión (ESC, clase I)*</w:t>
            </w:r>
          </w:p>
        </w:tc>
      </w:tr>
      <w:tr>
        <w:tc>
          <w:tcPr>
            <w:tcW w:type="dxa" w:w="143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Vasodilatador</w:t>
            </w:r>
          </w:p>
        </w:tc>
        <w:tc>
          <w:tcPr>
            <w:tcW w:type="dxa" w:w="410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Nitroglicerina sl o IV (inicio 10–20 µg/min, titulando)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si TAS &gt;110 mmHg</w:t>
            </w:r>
          </w:p>
        </w:tc>
        <w:tc>
          <w:tcPr>
            <w:tcW w:type="dxa" w:w="41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ESC: puede considerarse (IIb-B)*; evitar si TAS &lt;90–100, estenosis aórtica grave o IAM de VD</w:t>
            </w:r>
          </w:p>
        </w:tc>
      </w:tr>
      <w:tr>
        <w:tc>
          <w:tcPr>
            <w:tcW w:type="dxa" w:w="143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Opiáceos</w:t>
            </w:r>
          </w:p>
        </w:tc>
        <w:tc>
          <w:tcPr>
            <w:tcW w:type="dxa" w:w="410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No de rutina</w:t>
            </w:r>
            <w:r>
              <w:rPr>
                <w:color w:val="222222"/>
                <w:sz w:val="18"/>
                <w:szCs w:val="18"/>
              </w:rPr>
              <w:t xml:space="preserve"> (ESC). Morfina 2,5–5 mg IV solo en disnea/ansiedad refractarias, con vigilancia</w:t>
            </w:r>
          </w:p>
        </w:tc>
        <w:tc>
          <w:tcPr>
            <w:tcW w:type="dxa" w:w="41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Estudios retrospectivos asocian su uso rutinario a peor pronóstico</w:t>
            </w:r>
          </w:p>
        </w:tc>
      </w:tr>
      <w:tr>
        <w:tc>
          <w:tcPr>
            <w:tcW w:type="dxa" w:w="143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Hipoperfusión / shock</w:t>
            </w:r>
          </w:p>
        </w:tc>
        <w:tc>
          <w:tcPr>
            <w:tcW w:type="dxa" w:w="410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Inotropos y vasopresores: terreno de UCI; la VNI no sustituye este manejo</w:t>
            </w:r>
          </w:p>
        </w:tc>
        <w:tc>
          <w:tcPr>
            <w:tcW w:type="dxa" w:w="41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Recordar: la CPAP está contraindicada en shock cardiogénico</w:t>
            </w:r>
          </w:p>
        </w:tc>
      </w:tr>
      <w:tr>
        <w:tc>
          <w:tcPr>
            <w:tcW w:type="dxa" w:w="143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Causa</w:t>
            </w:r>
          </w:p>
        </w:tc>
        <w:tc>
          <w:tcPr>
            <w:tcW w:type="dxa" w:w="410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Tratar el desencadenante: SCA, arritmia, crisis hipertensiva, valvulopatía aguda</w:t>
            </w:r>
          </w:p>
        </w:tc>
        <w:tc>
          <w:tcPr>
            <w:tcW w:type="dxa" w:w="41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«CHAMPIT» de la ESC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(*) Clase y nivel exactos pendientes de cotejo con la tabla de la guía (→ decisión F-2).</w:t>
      </w:r>
    </w:p>
    <w:p>
      <w:pPr>
        <w:pStyle w:val="Heading2"/>
        <w:spacing w:after="140" w:before="280"/>
      </w:pPr>
      <w:bookmarkStart w:name="_Toc3" w:id="3"/>
      <w:r>
        <w:t xml:space="preserve">3. Crisis asmática grave </w:t>
      </w:r>
      <w:r>
        <w:rPr>
          <w:i/>
          <w:iCs/>
        </w:rPr>
        <w:t xml:space="preserve">(GINA · GEMA)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4131"/>
        <w:gridCol w:w="4130"/>
      </w:tblGrid>
      <w:tr>
        <w:trPr>
          <w:tblHeader/>
        </w:trPr>
        <w:tc>
          <w:tcPr>
            <w:tcW w:type="dxa" w:w="137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413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Pauta general</w:t>
            </w:r>
          </w:p>
        </w:tc>
        <w:tc>
          <w:tcPr>
            <w:tcW w:type="dxa" w:w="413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Claves</w:t>
            </w:r>
          </w:p>
        </w:tc>
      </w:tr>
      <w:tr>
        <w:tc>
          <w:tcPr>
            <w:tcW w:type="dxa" w:w="137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Oxígeno</w:t>
            </w:r>
          </w:p>
        </w:tc>
        <w:tc>
          <w:tcPr>
            <w:tcW w:type="dxa" w:w="413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Objetivo SpO₂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93–95%</w:t>
            </w:r>
            <w:r>
              <w:rPr>
                <w:color w:val="222222"/>
                <w:sz w:val="18"/>
                <w:szCs w:val="18"/>
              </w:rPr>
              <w:t xml:space="preserve"> (distinto del EPOC)</w:t>
            </w:r>
          </w:p>
        </w:tc>
        <w:tc>
          <w:tcPr>
            <w:tcW w:type="dxa" w:w="413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Hiperoxia también perjudicial aquí</w:t>
            </w:r>
          </w:p>
        </w:tc>
      </w:tr>
      <w:tr>
        <w:tc>
          <w:tcPr>
            <w:tcW w:type="dxa" w:w="137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SABA</w:t>
            </w:r>
          </w:p>
        </w:tc>
        <w:tc>
          <w:tcPr>
            <w:tcW w:type="dxa" w:w="413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Salbutamol 4–10 pulsaciones con cámara cada 20 min la primera hora, o nebulizado 2,5–5 mg ×3</w:t>
            </w:r>
          </w:p>
        </w:tc>
        <w:tc>
          <w:tcPr>
            <w:tcW w:type="dxa" w:w="413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Primera línea indiscutible (evidencia A)</w:t>
            </w:r>
          </w:p>
        </w:tc>
      </w:tr>
      <w:tr>
        <w:tc>
          <w:tcPr>
            <w:tcW w:type="dxa" w:w="137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Ipratropio</w:t>
            </w:r>
          </w:p>
        </w:tc>
        <w:tc>
          <w:tcPr>
            <w:tcW w:type="dxa" w:w="413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0,5 mg nebulizado junto al SABA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en la crisis grave</w:t>
            </w:r>
          </w:p>
        </w:tc>
        <w:tc>
          <w:tcPr>
            <w:tcW w:type="dxa" w:w="413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Reduce hospitalización; no mantener tras el ingreso</w:t>
            </w:r>
          </w:p>
        </w:tc>
      </w:tr>
      <w:tr>
        <w:tc>
          <w:tcPr>
            <w:tcW w:type="dxa" w:w="137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Corticoide sistémico</w:t>
            </w:r>
          </w:p>
        </w:tc>
        <w:tc>
          <w:tcPr>
            <w:tcW w:type="dxa" w:w="413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En la primera hora</w:t>
            </w:r>
            <w:r>
              <w:rPr>
                <w:color w:val="222222"/>
                <w:sz w:val="18"/>
                <w:szCs w:val="18"/>
              </w:rPr>
              <w:t xml:space="preserve">: prednisona 40–50 mg vo o hidrocortisona 100–200 mg IV</w:t>
            </w:r>
          </w:p>
        </w:tc>
        <w:tc>
          <w:tcPr>
            <w:tcW w:type="dxa" w:w="413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La precocidad importa más que la vía</w:t>
            </w:r>
          </w:p>
        </w:tc>
      </w:tr>
      <w:tr>
        <w:tc>
          <w:tcPr>
            <w:tcW w:type="dxa" w:w="137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Sulfato de magnesio</w:t>
            </w:r>
          </w:p>
        </w:tc>
        <w:tc>
          <w:tcPr>
            <w:tcW w:type="dxa" w:w="413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 g IV en 20 min, dosis única</w:t>
            </w:r>
            <w:r>
              <w:rPr>
                <w:color w:val="222222"/>
                <w:sz w:val="18"/>
                <w:szCs w:val="18"/>
              </w:rPr>
              <w:t xml:space="preserve">, en crisis grave que no responde al tratamiento inicial o con hipoxemia persistente</w:t>
            </w:r>
          </w:p>
        </w:tc>
        <w:tc>
          <w:tcPr>
            <w:tcW w:type="dxa" w:w="413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GINA: no rutinario; reduce ingresos en los graves</w:t>
            </w:r>
          </w:p>
        </w:tc>
      </w:tr>
      <w:tr>
        <w:tc>
          <w:tcPr>
            <w:tcW w:type="dxa" w:w="137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Prohibidos</w:t>
            </w:r>
          </w:p>
        </w:tc>
        <w:tc>
          <w:tcPr>
            <w:tcW w:type="dxa" w:w="413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Sedantes fuera de la UCI</w:t>
            </w:r>
          </w:p>
        </w:tc>
        <w:tc>
          <w:tcPr>
            <w:tcW w:type="dxa" w:w="413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La VNI en asma, recordemos, es solo una prueba corta muy vigilada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bookmarkStart w:name="_Toc4" w:id="4"/>
      <w:r>
        <w:t xml:space="preserve">4. Sospecha de sobredosis de depresores </w:t>
      </w:r>
      <w:r>
        <w:rPr>
          <w:i/>
          <w:iCs/>
        </w:rPr>
        <w:t xml:space="preserve">(rama A del algoritmo)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6"/>
        <w:gridCol w:w="3881"/>
        <w:gridCol w:w="3881"/>
      </w:tblGrid>
      <w:tr>
        <w:trPr>
          <w:tblHeader/>
        </w:trPr>
        <w:tc>
          <w:tcPr>
            <w:tcW w:type="dxa" w:w="18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Fármaco</w:t>
            </w:r>
          </w:p>
        </w:tc>
        <w:tc>
          <w:tcPr>
            <w:tcW w:type="dxa" w:w="38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Pauta general</w:t>
            </w:r>
          </w:p>
        </w:tc>
        <w:tc>
          <w:tcPr>
            <w:tcW w:type="dxa" w:w="38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Claves</w:t>
            </w:r>
          </w:p>
        </w:tc>
      </w:tr>
      <w:tr>
        <w:tc>
          <w:tcPr>
            <w:tcW w:type="dxa" w:w="18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Naloxona (opioides)</w:t>
            </w:r>
          </w:p>
        </w:tc>
        <w:tc>
          <w:tcPr>
            <w:tcW w:type="dxa" w:w="38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Primero ventilar</w:t>
            </w:r>
            <w:r>
              <w:rPr>
                <w:color w:val="222222"/>
                <w:sz w:val="18"/>
                <w:szCs w:val="18"/>
              </w:rPr>
              <w:t xml:space="preserve"> (bolsa-mascarilla). Después 0,04–0,1 mg IV cada 2–3 min,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titulando hasta FR ≥10</w:t>
            </w:r>
            <w:r>
              <w:rPr>
                <w:color w:val="222222"/>
                <w:sz w:val="18"/>
                <w:szCs w:val="18"/>
              </w:rPr>
              <w:t xml:space="preserve"> (no hasta despertar). Sin respuesta con dosis acumuladas altas → replantear el diagnóstico. Opioides de acción larga → perfusión (≈2/3 de la dosis eficaz por hora)</w:t>
            </w:r>
          </w:p>
        </w:tc>
        <w:tc>
          <w:tcPr>
            <w:tcW w:type="dxa" w:w="38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El objetivo es la ventilación, no la consciencia: dosis altas de golpe precipitan abstinencia y agitación. Vida media más corta que muchos opioides: vigilancia prolongada</w:t>
            </w:r>
          </w:p>
        </w:tc>
      </w:tr>
      <w:tr>
        <w:tc>
          <w:tcPr>
            <w:tcW w:type="dxa" w:w="18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Flumazenilo (benzodiacepinas)</w:t>
            </w:r>
          </w:p>
        </w:tc>
        <w:tc>
          <w:tcPr>
            <w:tcW w:type="dxa" w:w="38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Uso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excepcional y muy seleccionado</w:t>
            </w:r>
            <w:r>
              <w:rPr>
                <w:color w:val="222222"/>
                <w:sz w:val="18"/>
                <w:szCs w:val="18"/>
              </w:rPr>
              <w:t xml:space="preserve">: 0,2 mg IV lentos, repetir 0,1–0,2 mg cada minuto (máx. 1–2 mg)</w:t>
            </w:r>
          </w:p>
        </w:tc>
        <w:tc>
          <w:tcPr>
            <w:tcW w:type="dxa" w:w="38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Contraindicado</w:t>
            </w:r>
            <w:r>
              <w:rPr>
                <w:color w:val="222222"/>
                <w:sz w:val="18"/>
                <w:szCs w:val="18"/>
              </w:rPr>
              <w:t xml:space="preserve"> en dependencia de BZD, coingesta proconvulsivante (tricíclicos) o epilepsia: riesgo de convulsiones. ¿Debe la app siquiera sugerirlo? (→ decisión F-4)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bookmarkStart w:name="_Toc5" w:id="5"/>
      <w:r>
        <w:t xml:space="preserve">5. Coadyuvantes durante la VNI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Nebulización sin interrumpir la VNI</w:t>
      </w:r>
      <w:r>
        <w:t xml:space="preserve"> si el paciente es dependiente (malla vibrante en T, o pMDI con cámara en la rama inspiratoria).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Intolerancia/agitación:</w:t>
      </w:r>
      <w:r>
        <w:t xml:space="preserve"> morfina 2,5–5 mg IV titulada (BTS, buena práctica) </w:t>
      </w:r>
      <w:r>
        <w:rPr>
          <w:b/>
          <w:bCs/>
        </w:rPr>
        <w:t xml:space="preserve">solo en entorno monitorizado</w:t>
      </w:r>
      <w:r>
        <w:t xml:space="preserve">; dexmedetomidina o remifentanilo son terreno de UCI.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Tromboprofilaxis</w:t>
      </w:r>
      <w:r>
        <w:t xml:space="preserve"> con HBPM en el paciente ingresado e inmovilizado.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Protección cutánea y confort</w:t>
      </w:r>
      <w:r>
        <w:t xml:space="preserve"> ya recogidos en la Base Científica (no farmacológicos, pero parte del tratamiento).</w:t>
      </w:r>
    </w:p>
    <w:p>
      <w:pPr>
        <w:pStyle w:val="Heading2"/>
        <w:spacing w:after="140" w:before="280"/>
      </w:pPr>
      <w:bookmarkStart w:name="_Toc6" w:id="6"/>
      <w:r>
        <w:t xml:space="preserve">6. Lo que NO (prácticas desaconsejadas por las guías)</w:t>
      </w:r>
      <w:bookmarkEnd w:id="6"/>
    </w:p>
    <w:p>
      <w:pPr>
        <w:spacing w:after="100"/>
      </w:pPr>
      <w:r>
        <w:t xml:space="preserve">Metilxantinas de rutina en el EPOC agudizado · morfina rutinaria en el EAP · sedantes en el asma fuera de la UCI · flumazenilo indiscriminado · antibiótico sin criterios (purulencia/soporte ventilatorio/PCR) · mucolíticos en el episodio agudo · oxígeno a alto flujo sin control en el hipercápnico.</w:t>
      </w:r>
    </w:p>
    <w:p>
      <w:pPr>
        <w:pStyle w:val="Heading2"/>
        <w:spacing w:after="140" w:before="280"/>
      </w:pPr>
      <w:bookmarkStart w:name="_Toc7" w:id="7"/>
      <w:r>
        <w:t xml:space="preserve">7. Decisiones abiertas para Enrique (F-1 a F-7)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tblHeader/>
        </w:trP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Cuestión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F-1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Antibiótico empírico del área</w:t>
            </w:r>
            <w:r>
              <w:rPr>
                <w:color w:val="222222"/>
                <w:sz w:val="18"/>
                <w:szCs w:val="18"/>
              </w:rPr>
              <w:t xml:space="preserve">: ¿amoxicilina-clavulánico de primera línea según el mapa local de resistencias? ¿Criterios de Pseudomonas del centro?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F-2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Cotejo de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clases/niveles exactos ESC 2021</w:t>
            </w:r>
            <w:r>
              <w:rPr>
                <w:color w:val="222222"/>
                <w:sz w:val="18"/>
                <w:szCs w:val="18"/>
              </w:rPr>
              <w:t xml:space="preserve"> (diurético, NTG, opiáceos) con la tabla de la guía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F-3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Dosis de corticoide en asma: ¿pauta GEMA (edición vigente) o GINA?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F-4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Flumazenilo</w:t>
            </w:r>
            <w:r>
              <w:rPr>
                <w:color w:val="222222"/>
                <w:sz w:val="18"/>
                <w:szCs w:val="18"/>
              </w:rPr>
              <w:t xml:space="preserve">: ¿lo sugiere la app con sus contraindicaciones, o solo lo menciona como «valorar con toxicología»?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F-5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Pauta de naloxona preferida del servicio (titulación fina 0,04 vs bolos 0,4 mg) e intranasal prehospitalaria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F-6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¿Usamos los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eosinófilos ≥300</w:t>
            </w:r>
            <w:r>
              <w:rPr>
                <w:color w:val="222222"/>
                <w:sz w:val="18"/>
                <w:szCs w:val="18"/>
              </w:rPr>
              <w:t xml:space="preserve"> (GesEPOC) como condicionante del corticoide en la app?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F-7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¿Añadimos neumonía/NAC con antibioterapia empírica, o queda fuera del alcance de la app?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bookmarkStart w:name="_Toc8" w:id="8"/>
      <w:r>
        <w:t xml:space="preserve">8. Referencias</w:t>
      </w:r>
      <w:bookmarkEnd w:id="8"/>
    </w:p>
    <w:p>
      <w:pPr>
        <w:pStyle w:val="ListParagraph"/>
        <w:numPr>
          <w:ilvl w:val="0"/>
          <w:numId w:val="3"/>
        </w:numPr>
        <w:spacing w:after="60"/>
      </w:pPr>
      <w:r>
        <w:t xml:space="preserve">GesEPOC 2021 — actualización del síndrome de agudización. Arch Bronconeumol 2022;58:159-170.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GOLD. Global Strategy for COPD, Report 2026 (capítulo de agudizaciones). goldcopd.org.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McDonagh TA et al. 2021 ESC Guidelines for acute and chronic heart failure. Eur Heart J 2021;42:3599-3726 (+ 2023 focused update).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GINA. Global Strategy for Asthma Management and Prevention (edición vigente). ginasthma.org.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GEMA (Guía Española para el Manejo del Asma), edición vigente. gemasma.org.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Davidson AC et al. BTS/ICS 2016 (sedación cautelosa y nebulización durante la VNI). Thorax 2016;71(Supl 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Cochrane: sulfato de magnesio IV en asma aguda del adulto (CD010909); revisión de titulación de naloxona (literatura toxicológica).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2A7F8E" w:sz="8"/>
      </w:pBdr>
      <w:spacing w:after="160" w:before="420"/>
    </w:pPr>
    <w:rPr>
      <w:b/>
      <w:bCs/>
      <w:color w:val="0F4C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b/>
      <w:bCs/>
      <w:color w:val="1669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b/>
      <w:bCs/>
      <w:color w:val="2A7F8E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80"/>
    </w:pPr>
    <w:rPr>
      <w:b/>
      <w:bCs/>
      <w:i/>
      <w:iCs/>
      <w:color w:val="5A6B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TRATAMIENTO FARMACOLÓGICO — VMNI Urgencias · Sección de fármacos</dc:title>
  <dc:creator>Carlos J. Galán Doval</dc:creator>
  <cp:lastModifiedBy>Un-named</cp:lastModifiedBy>
  <cp:revision>1</cp:revision>
  <dcterms:created xsi:type="dcterms:W3CDTF">2026-10-27T12:34:12.600Z</dcterms:created>
  <dcterms:modified xsi:type="dcterms:W3CDTF">2026-10-27T12:34:12.600Z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