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fármacos,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0.2 — sección de fármacos VALIDADA (27-10-2026); decisiones D-1 a D-16 pendientes de revisión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27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 El formulario de las 16 decisiones (sección 14) espera la revisión de Enrique Fernández Romero.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  <w:docPartObj>
          <w:docPartGallery w:val="Table of Contents"/>
          <w:docPartUnique/>
        </w:docPartObj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Tratamiento farmacológico por escenario — VALIDADO (27-10-2026)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Bibliografía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16. Correcciones al borrador inicial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No existen fórmulas propias del Vivo</w:t>
            </w:r>
            <w:r>
              <w:rPr>
                <w:color w:val="222222"/>
                <w:sz w:val="18"/>
                <w:szCs w:val="18"/>
              </w:rPr>
              <w:t xml:space="preserve">: el fabricante no las publica (su manual solo limita el O2 a 15 L/min y recomienda monitorizar)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 → la estimación es orientativa; titular por SpO2 y, si el equipo monta célula de FiO2, usar el valor medido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2.6 Clasificación ácido-base automática (añadida 27-10-2026)</w:t>
      </w:r>
    </w:p>
    <w:p>
      <w:pPr>
        <w:spacing w:after="100"/>
      </w:pPr>
      <w:r>
        <w:t xml:space="preserve">La app aplica en vivo, sobre pH + pCO2 + HCO3, la lectura sistemática del enfoque fisiológico (Berend, NEJM 2014 [26]) usando las fórmulas de §2.5: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</w:t>
      </w:r>
      <w:r>
        <w:t xml:space="preserve">: &lt;7,35 acidemia · &gt;7,45 alcalemia · en rango ≠ gasometría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Componente</w:t>
      </w:r>
      <w:r>
        <w:t xml:space="preserve">: pCO2 &gt;45 respiratorio · HCO3 &lt;22 (o &gt;26) metabólico · ambos en la misma dirección → </w:t>
      </w:r>
      <w:r>
        <w:rPr>
          <w:b/>
          <w:bCs/>
        </w:rPr>
        <w:t xml:space="preserve">mixto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Compensación</w:t>
      </w:r>
      <w:r>
        <w:t xml:space="preserve">: acidosis respiratoria → pH esperado agudo/crónico (0,008/0,003 por mmHg; entre ambos = </w:t>
      </w:r>
      <w:r>
        <w:rPr>
          <w:i/>
          <w:iCs/>
        </w:rPr>
        <w:t xml:space="preserve">crónica agudizada</w:t>
      </w:r>
      <w:r>
        <w:t xml:space="preserve">); acidosis metabólica → Winter ±2 (pCO2 real mayor = compensación insuficiente; menor = alcalosis respiratoria añadida).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 normal con pCO2/HCO3 alterados</w:t>
      </w:r>
      <w:r>
        <w:t xml:space="preserve"> → trastorno compensado o mixto equilibrado (aviso explícito: el retenedor crónico compensado no es indicación urgente de VNI por sí solo).</w:t>
      </w:r>
    </w:p>
    <w:p>
      <w:pPr>
        <w:spacing w:after="100"/>
      </w:pPr>
      <w:r>
        <w:t xml:space="preserve">En gasometría venosa se clasifica con el pH corregido (+0,03, §2.3) y se indica. Tolerancia de ±0,02 sobre los pH esperados para el corte agudo/crónico.</w:t>
      </w:r>
    </w:p>
    <w:p>
      <w:pPr>
        <w:pStyle w:val="Heading3"/>
        <w:spacing w:after="140" w:before="280"/>
      </w:pPr>
      <w:r>
        <w:t xml:space="preserve">2.7 Volúmenes y capacidades teóricos del espirograma docente (añadido 27-10-2026)</w:t>
      </w:r>
    </w:p>
    <w:p>
      <w:pPr>
        <w:spacing w:after="100"/>
      </w:pPr>
      <w:r>
        <w:t xml:space="preserve">Solo para el módulo docente (no intervienen en el motor de recomendación):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5726"/>
        <w:gridCol w:w="2576"/>
      </w:tblGrid>
      <w:tr>
        <w:trPr>
          <w:tblHeader/>
        </w:trP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PBW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misma de §2.5 (ARDSNet)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VT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PBW × 7 ml/kg (punto medio del rango fisiológico 6–8)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ARDSNet [10]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CV teórica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0,052×talla −0,022×edad −3,60 · Mujer: 0,041×talla −0,018×edad −2,69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Knudson 1976 [27]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VR teórico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1,31×talla(m) +0,022×edad −1,23 · Mujer: 1,81×talla(m) +0,016×edad −2,00 (L)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ECSC/ERS, Quanjer 1993 [28]</w:t>
            </w:r>
          </w:p>
        </w:tc>
      </w:tr>
      <w:tr>
        <w:tc>
          <w:tcPr>
            <w:tcW w:type="dxa" w:w="133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Reparto</w:t>
            </w:r>
          </w:p>
        </w:tc>
        <w:tc>
          <w:tcPr>
            <w:tcW w:type="dxa" w:w="57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VRE = 25% de la CV (proporción del adulto tipo); VRI = CV − VT − VRE; CRF = VR+VRE; CPT = CV+VR</w:t>
            </w:r>
          </w:p>
        </w:tc>
        <w:tc>
          <w:tcPr>
            <w:tcW w:type="dxa" w:w="257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Fisiología clásica (West)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Validez: edad 16–100 años, talla 130–220 cm; fuera de rango la app no muestra valores.</w:t>
      </w: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con la tabla de banco §2.4 (orientativa); O2 máx. 15 L/min según fabricante; si monta célula de FiO2, prevalece el valor medido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Tratamiento farmacológico por escenario — VALIDADO (27-10-2026)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Recomendaciones generales</w:t>
      </w:r>
      <w:r>
        <w:rPr>
          <w:color w:val="333333"/>
          <w:sz w:val="19"/>
          <w:szCs w:val="19"/>
        </w:rPr>
        <w:t xml:space="preserve"> según guías aceptadas (GesEPOC 2021, GOLD, ESC 2021, GINA/GEMA, BTS). </w:t>
      </w:r>
      <w:r>
        <w:rPr>
          <w:b/>
          <w:bCs/>
          <w:color w:val="333333"/>
          <w:sz w:val="19"/>
          <w:szCs w:val="19"/>
        </w:rPr>
        <w:t xml:space="preserve">No sustituyen la valoración individual</w:t>
      </w:r>
      <w:r>
        <w:rPr>
          <w:color w:val="333333"/>
          <w:sz w:val="19"/>
          <w:szCs w:val="19"/>
        </w:rPr>
        <w:t xml:space="preserve">: alergias, antecedentes, enfermedades concomitantes, interacciones, función renal/hepática, embarazo, y los protocolos y mapa de resistencias del centro. Dosis orientativas de adulto. </w:t>
      </w:r>
      <w:r>
        <w:rPr>
          <w:b/>
          <w:bCs/>
          <w:color w:val="333333"/>
          <w:sz w:val="19"/>
          <w:szCs w:val="19"/>
        </w:rPr>
        <w:t xml:space="preserve">La app aconseja: la decisión de prescribir, ajustar o retirar es siempre del profesional.</w:t>
      </w:r>
      <w:r>
        <w:rPr>
          <w:color w:val="333333"/>
          <w:sz w:val="19"/>
          <w:szCs w:val="19"/>
        </w:rPr>
        <w:t xml:space="preserve"> Detalle completo en </w:t>
      </w:r>
      <w:r>
        <w:rPr>
          <w:rFonts w:ascii="Menlo" w:cs="Menlo" w:eastAsia="Menlo" w:hAnsi="Menlo"/>
          <w:color w:val="16697A"/>
          <w:sz w:val="18"/>
          <w:szCs w:val="18"/>
        </w:rPr>
        <w:t xml:space="preserve">docs/FARMACOS.md</w:t>
      </w:r>
      <w:r>
        <w:rPr>
          <w:color w:val="333333"/>
          <w:sz w:val="19"/>
          <w:szCs w:val="19"/>
        </w:rPr>
        <w:t xml:space="preserve">.</w:t>
      </w:r>
    </w:p>
    <w:p>
      <w:pPr>
        <w:pStyle w:val="Heading3"/>
        <w:spacing w:after="140" w:before="280"/>
      </w:pPr>
      <w:r>
        <w:t xml:space="preserve">13.1 Agudización de EPOC </w:t>
      </w:r>
      <w:r>
        <w:rPr>
          <w:i/>
          <w:iCs/>
        </w:rPr>
        <w:t xml:space="preserve">(GOLD · GesEPOC)</w:t>
      </w:r>
    </w:p>
    <w:p>
      <w:pPr>
        <w:spacing w:after="100"/>
      </w:pPr>
      <w:r>
        <w:t xml:space="preserve">Salbutamol ± ipratropio nebulizado (2,5–5 mg + 0,5 mg cada 20–30 min la 1.ª hora, luego /4–6 h; </w:t>
      </w:r>
      <w:r>
        <w:rPr>
          <w:b/>
          <w:bCs/>
        </w:rPr>
        <w:t xml:space="preserve">sin interrumpir la VNI</w:t>
      </w:r>
      <w:r>
        <w:t xml:space="preserve">: malla en T) · </w:t>
      </w:r>
      <w:r>
        <w:rPr>
          <w:b/>
          <w:bCs/>
        </w:rPr>
        <w:t xml:space="preserve">Prednisona 40 mg vo 5 días</w:t>
      </w:r>
      <w:r>
        <w:t xml:space="preserve"> (metilprednisolona IV si no vo; mayor eficacia con eosinófilos ≥300) · Antibiótico si purulencia (Anthonisen ≥2), PCR ≥20 </w:t>
      </w:r>
      <w:r>
        <w:rPr>
          <w:b/>
          <w:bCs/>
        </w:rPr>
        <w:t xml:space="preserve">o necesidad de VNI</w:t>
      </w:r>
      <w:r>
        <w:t xml:space="preserve"> (que por sí sola lo indica): amoxicilina-clavulánico 875/125 /8 h 5–7 días, ajustado al mapa local · HBPM profiláctica. </w:t>
      </w:r>
      <w:r>
        <w:rPr>
          <w:b/>
          <w:bCs/>
        </w:rPr>
        <w:t xml:space="preserve">Evitar:</w:t>
      </w:r>
      <w:r>
        <w:t xml:space="preserve"> metilxantinas de rutina, O₂ sin control.</w:t>
      </w:r>
    </w:p>
    <w:p>
      <w:pPr>
        <w:pStyle w:val="Heading3"/>
        <w:spacing w:after="140" w:before="280"/>
      </w:pPr>
      <w:r>
        <w:t xml:space="preserve">13.2 EAP / IC aguda </w:t>
      </w:r>
      <w:r>
        <w:rPr>
          <w:i/>
          <w:iCs/>
        </w:rPr>
        <w:t xml:space="preserve">(ESC 2021)</w:t>
      </w:r>
    </w:p>
    <w:p>
      <w:pPr>
        <w:spacing w:after="100"/>
      </w:pPr>
      <w:r>
        <w:rPr>
          <w:b/>
          <w:bCs/>
        </w:rPr>
        <w:t xml:space="preserve">Furosemida IV 20–40 mg en bolo</w:t>
      </w:r>
      <w:r>
        <w:t xml:space="preserve"> (o 1–2× su dosis oral), repetir/perfusión según respuesta · NTG sl/IV (10–20 µg/min titulando) </w:t>
      </w:r>
      <w:r>
        <w:rPr>
          <w:b/>
          <w:bCs/>
        </w:rPr>
        <w:t xml:space="preserve">solo si TAS &gt;110</w:t>
      </w:r>
      <w:r>
        <w:t xml:space="preserve"> (evitar en TAS &lt;100, estenosis aórtica grave, IAM de VD) · </w:t>
      </w:r>
      <w:r>
        <w:rPr>
          <w:b/>
          <w:bCs/>
        </w:rPr>
        <w:t xml:space="preserve">Morfina NO rutinaria</w:t>
      </w:r>
      <w:r>
        <w:t xml:space="preserve"> (2,5–5 mg solo disnea/ansiedad refractarias: su uso rutinario se asocia a peor pronóstico) · tratar el desencadenante (SCA, arritmia, crisis HTA) · HBPM.</w:t>
      </w:r>
    </w:p>
    <w:p>
      <w:pPr>
        <w:pStyle w:val="Heading3"/>
        <w:spacing w:after="140" w:before="280"/>
      </w:pPr>
      <w:r>
        <w:t xml:space="preserve">13.3 Crisis asmática grave </w:t>
      </w:r>
      <w:r>
        <w:rPr>
          <w:i/>
          <w:iCs/>
        </w:rPr>
        <w:t xml:space="preserve">(GINA · GEMA)</w:t>
      </w:r>
    </w:p>
    <w:p>
      <w:pPr>
        <w:spacing w:after="100"/>
      </w:pPr>
      <w:r>
        <w:t xml:space="preserve">SpO₂ objetivo </w:t>
      </w:r>
      <w:r>
        <w:rPr>
          <w:b/>
          <w:bCs/>
        </w:rPr>
        <w:t xml:space="preserve">93–95%</w:t>
      </w:r>
      <w:r>
        <w:t xml:space="preserve"> · salbutamol 4–10 puls./20 min la 1.ª hora (o neb 2,5–5 mg ×3) </w:t>
      </w:r>
      <w:r>
        <w:rPr>
          <w:b/>
          <w:bCs/>
        </w:rPr>
        <w:t xml:space="preserve">+ ipratropio 0,5 mg en la grave</w:t>
      </w:r>
      <w:r>
        <w:t xml:space="preserve"> · </w:t>
      </w:r>
      <w:r>
        <w:rPr>
          <w:b/>
          <w:bCs/>
        </w:rPr>
        <w:t xml:space="preserve">corticoide sistémico en la 1.ª hora</w:t>
      </w:r>
      <w:r>
        <w:t xml:space="preserve"> (prednisona 40–50 mg vo o hidrocortisona 100–200 mg IV) · </w:t>
      </w:r>
      <w:r>
        <w:rPr>
          <w:b/>
          <w:bCs/>
        </w:rPr>
        <w:t xml:space="preserve">sulfato de magnesio 2 g IV en 20 min</w:t>
      </w:r>
      <w:r>
        <w:t xml:space="preserve"> solo en la grave sin respuesta. </w:t>
      </w:r>
      <w:r>
        <w:rPr>
          <w:b/>
          <w:bCs/>
        </w:rPr>
        <w:t xml:space="preserve">Evitar:</w:t>
      </w:r>
      <w:r>
        <w:t xml:space="preserve"> sedantes fuera de la UCI.</w:t>
      </w:r>
    </w:p>
    <w:p>
      <w:pPr>
        <w:pStyle w:val="Heading3"/>
        <w:spacing w:after="140" w:before="280"/>
      </w:pPr>
      <w:r>
        <w:t xml:space="preserve">13.4 Sobredosis de depresores </w:t>
      </w:r>
      <w:r>
        <w:rPr>
          <w:i/>
          <w:iCs/>
        </w:rPr>
        <w:t xml:space="preserve">(rama A)</w:t>
      </w:r>
    </w:p>
    <w:p>
      <w:pPr>
        <w:spacing w:after="100"/>
      </w:pPr>
      <w:r>
        <w:rPr>
          <w:b/>
          <w:bCs/>
        </w:rPr>
        <w:t xml:space="preserve">Primero ventilar.</w:t>
      </w:r>
      <w:r>
        <w:t xml:space="preserve"> Naloxona 0,04–0,1 mg IV cada 2–3 min </w:t>
      </w:r>
      <w:r>
        <w:rPr>
          <w:b/>
          <w:bCs/>
        </w:rPr>
        <w:t xml:space="preserve">titulando hasta FR ≥10</w:t>
      </w:r>
      <w:r>
        <w:t xml:space="preserve"> (no hasta despertar); opioides largos → perfusión (~2/3 de la dosis eficaz/h); vigilancia prolongada · Flumazenilo de uso </w:t>
      </w:r>
      <w:r>
        <w:rPr>
          <w:b/>
          <w:bCs/>
        </w:rPr>
        <w:t xml:space="preserve">excepcional</w:t>
      </w:r>
      <w:r>
        <w:t xml:space="preserve"> (0,2 mg IV lentos, máx. 1–2 mg): </w:t>
      </w:r>
      <w:r>
        <w:rPr>
          <w:b/>
          <w:bCs/>
        </w:rPr>
        <w:t xml:space="preserve">contraindicado</w:t>
      </w:r>
      <w:r>
        <w:t xml:space="preserve"> en dependencia de BZD, coingesta proconvulsivante o epilepsia.</w:t>
      </w:r>
    </w:p>
    <w:p>
      <w:pPr>
        <w:pStyle w:val="Heading3"/>
        <w:spacing w:after="140" w:before="280"/>
      </w:pPr>
      <w:r>
        <w:t xml:space="preserve">13.5 Coadyuvantes durante la VNI</w:t>
      </w:r>
    </w:p>
    <w:p>
      <w:pPr>
        <w:spacing w:after="100"/>
      </w:pPr>
      <w:r>
        <w:t xml:space="preserve">Nebulización sin interrumpir la VNI · morfina 2,5–5 mg IV titulada en intolerancia (BTS, solo entorno monitorizado) · HBPM en el encamado · los cuidados de confort de la §10.</w:t>
      </w:r>
    </w:p>
    <w:p>
      <w:pPr>
        <w:pStyle w:val="Heading3"/>
        <w:spacing w:after="140" w:before="280"/>
      </w:pPr>
      <w:r>
        <w:t xml:space="preserve">13.6 Ajustes locales pendientes</w:t>
      </w:r>
    </w:p>
    <w:p>
      <w:pPr>
        <w:spacing w:after="100"/>
      </w:pPr>
      <w:r>
        <w:t xml:space="preserve">Antibiótico empírico según el mapa de resistencias del área (F-1) y cotejo fino de las clases ESC (F-2); el resto de decisiones F-3…F-7 quedaron resueltas con la validación del documento de fármacos.</w:t>
      </w:r>
    </w:p>
    <w:p>
      <w:pPr>
        <w:pStyle w:val="Heading2"/>
        <w:pageBreakBefore/>
        <w:spacing w:after="140" w:before="280"/>
      </w:pPr>
      <w:bookmarkStart w:name="_Toc14" w:id="14"/>
      <w:r>
        <w:t xml:space="preserve">14. Decisiones abiertas para revisión (Carlos + Enrique)</w:t>
      </w:r>
      <w:bookmarkEnd w:id="14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En la versión Word de este documento, cada decisión aparece como </w:t>
      </w:r>
      <w:r>
        <w:rPr>
          <w:b/>
          <w:bCs/>
          <w:color w:val="333333"/>
          <w:sz w:val="19"/>
          <w:szCs w:val="19"/>
        </w:rPr>
        <w:t xml:space="preserve">formulario de revisión</w:t>
      </w:r>
      <w:r>
        <w:rPr>
          <w:color w:val="333333"/>
          <w:sz w:val="19"/>
          <w:szCs w:val="19"/>
        </w:rPr>
        <w:t xml:space="preserve">: casillas «Aceptamos la propuesta» / «La rechazamos» y un espacio para escribir la decisión propia. Lo acordado se incorporará aquí y pasará al motor de la app.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Jerarquía de fuentes cuando discrepan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ATS 2026 &gt; ERS/ATS 2017 &gt; BTS 2016 &gt; consenso 2021 &gt; manuales. ¿De acuerdo?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por gafas nasales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4%/L (clásica) vs 3%/L. </w:t>
            </w:r>
            <w:r>
              <w:rPr>
                <w:b/>
                <w:bCs/>
                <w:sz w:val="19"/>
                <w:szCs w:val="19"/>
              </w:rPr>
              <w:t xml:space="preserve">Errata del borrador (0,3/L) corregida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SaFi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¿Usar solo los anclajes 315/235 o curva continua interpolada? Aviso automático si SpO2 &gt;97%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Lactato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¿mg/dL o mmol/L (o conmutable)? Umbrales 2/4 mmol/L ≈ 18/36 mg/dL vs los del borrador (20/30 mg/dL)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HACOR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¿Se muestra como score con aviso (&gt;5 a 1 h = alto riesgo de fracaso) o solo como información docente?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Techo de EPAP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 "y nunca 8" (Inicio VMNI) vs 7 (Artacho) vs 8 (BTS/Foster) vs 80% de la autoPEEP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IPAP inicial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FR de respaldo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12–15 (mayoría) vs 16–20 (BTS)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Objetivo SpO2 no hipercápnico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92–96% propuesto (Foster usa ~93% en CPAP; algún texto 85–89% en binivel hipoxémico)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D-10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Vt objetivo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6–8 ml/kg ideal (propuesto) vs 5–7 (Foster) vs ≥7 (Inicio VMNI); alarma &gt;9,5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Pauta de gasometrías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 h + 4–6 h + 24 h (propuesta, consenso) vs variantes de los manuales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estimada en el Vivo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b/>
                <w:bCs/>
                <w:sz w:val="19"/>
                <w:szCs w:val="19"/>
              </w:rPr>
              <w:t xml:space="preserve">Reformulada (27-10-2026):</w:t>
            </w:r>
            <w:r>
              <w:rPr>
                <w:sz w:val="19"/>
                <w:szCs w:val="19"/>
              </w:rPr>
              <w:t xml:space="preserve"> no existen fórmulas propias (ni de Carlos ni del fabricante). Propuesta: mantener la tabla de banco §2.4 como estimación orientativa, titular siempre por SpO2 objetivo y, si el equipo monta célula de FiO2, usar el valor medido. ¿Se valida este enfoque?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TAFCN en el algoritmo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¿Incluimos el AirVo como rama propia (ATS 2026 lo exige en hipoxémico y en hipercapnia leve)? Propuesta: sí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Rama de sobredosis (A)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criterio y fármacos de reversión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HCO3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Valor absoluto confirmado como entrada (necesario para pH esperado y Winter)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Gasometría venosa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reglas §2.3 (corrección +0,03 de pH; pCO2 &lt;45 descarta)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2"/>
        <w:pageBreakBefore/>
        <w:spacing w:after="140" w:before="280"/>
      </w:pPr>
      <w:bookmarkStart w:name="_Toc15" w:id="15"/>
      <w:r>
        <w:t xml:space="preserve">15. Bibliografía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GesEPOC 2021 — síndrome de agudización de la EPOC. Arch Bronconeumol 2022;58:159-170.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GINA. Global Strategy for Asthma Management and Prevention (edición vigente). ginasthma.org.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 — Guía Española para el Manejo del Asma (edición vigente). gemasma.org.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Berend K, de Vries APJ, Gans ROB. Physiological approach to assessment of acid-base disturbances. N Engl J Med 2014;371:1434-1445.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Knudson RJ et al. The maximal expiratory flow-volume curve: normal standards, variability, and effects of age. Am Rev Respir Dis 1976;113:587-600.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Quanjer PH et al. Lung volumes and forced ventilatory flows. Official Statement of the European Respiratory Society. Eur Respir J 1993;6(Supl 16):5-40.</w:t>
      </w:r>
    </w:p>
    <w:p>
      <w:pPr>
        <w:pStyle w:val="Heading2"/>
        <w:spacing w:after="140" w:before="280"/>
      </w:pPr>
      <w:bookmarkStart w:name="_Toc16" w:id="16"/>
      <w:r>
        <w:t xml:space="preserve">16. Correcciones al borrador inicial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D-12 reformulada (27-10-2026):</w:t>
      </w:r>
      <w:r>
        <w:t xml:space="preserve"> las «fórmulas propias del Vivo» no existen — el fabricante no publica ninguna (el manual del Vivo 50 solo limita el O2 a 15 L/min y recomienda monitorizar la concentración) y los estudios de banco confirman que la FiO2 real varía con presiones, fuga y patrón del paciente. La app mantiene la tabla de Thys &amp; Liistro como estimación orientativa con aviso explícito.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Vídeos de Artacho descartados (27-10-2026, decisión de Carlos):</w:t>
      </w:r>
      <w:r>
        <w:t xml:space="preserve"> no se conoce el origen ni los permisos del material, así que no se enlazarán en la app.</w:t>
      </w:r>
    </w:p>
    <w:p>
      <w:pPr>
        <w:pStyle w:val="Heading2"/>
        <w:spacing w:after="140" w:before="280"/>
      </w:pPr>
      <w:bookmarkStart w:name="_Toc17" w:id="17"/>
      <w:r>
        <w:t xml:space="preserve">Anexo A. Glosario de siglas y acrónimos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</dc:title>
  <dc:creator>Carlos J. Galán Doval</dc:creator>
  <cp:lastModifiedBy>Un-named</cp:lastModifiedBy>
  <cp:revision>1</cp:revision>
  <dcterms:created xsi:type="dcterms:W3CDTF">2026-10-27T16:32:09.714Z</dcterms:created>
  <dcterms:modified xsi:type="dcterms:W3CDTF">2026-10-27T16:32:09.715Z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