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F4C5C"/>
          <w:sz w:val="64"/>
          <w:szCs w:val="64"/>
        </w:rPr>
        <w:t xml:space="preserve">VMNI EN URGENCIAS</w:t>
      </w:r>
    </w:p>
    <w:p>
      <w:pPr>
        <w:spacing w:before="160"/>
        <w:jc w:val="center"/>
      </w:pPr>
      <w:r>
        <w:rPr>
          <w:color w:val="16697A"/>
          <w:sz w:val="40"/>
          <w:szCs w:val="40"/>
        </w:rPr>
        <w:t xml:space="preserve">Base Científica de la aplicación</w:t>
      </w:r>
    </w:p>
    <w:p>
      <w:pPr>
        <w:spacing w:before="120"/>
        <w:jc w:val="center"/>
      </w:pPr>
      <w:r>
        <w:rPr>
          <w:i/>
          <w:iCs/>
          <w:color w:val="5A6B70"/>
          <w:sz w:val="24"/>
          <w:szCs w:val="24"/>
        </w:rPr>
        <w:t xml:space="preserve">Las guías, la evidencia y los umbrales que fundamentan cada recomendación de la app — edición de divulgación para sus usuarios</w:t>
      </w:r>
    </w:p>
    <w:p>
      <w:pPr>
        <w:spacing w:before="600"/>
        <w:jc w:val="center"/>
      </w:pPr>
      <w:r>
        <w:rPr>
          <w:b/>
          <w:bCs/>
          <w:color w:val="2A7F8E"/>
          <w:sz w:val="24"/>
          <w:szCs w:val="24"/>
        </w:rPr>
        <w:t xml:space="preserve">Edición pública — generada el 27 de octubre de 2026</w:t>
      </w:r>
    </w:p>
    <w:p>
      <w:pPr>
        <w:spacing w:before="400"/>
        <w:jc w:val="center"/>
      </w:pPr>
      <w:r>
        <w:rPr>
          <w:b/>
          <w:bCs/>
          <w:color w:val="222222"/>
          <w:sz w:val="26"/>
          <w:szCs w:val="26"/>
        </w:rPr>
        <w:t xml:space="preserve">Carlos J. Galán Doval</w:t>
      </w:r>
    </w:p>
    <w:p>
      <w:pPr>
        <w:jc w:val="center"/>
      </w:pPr>
      <w:r>
        <w:rPr>
          <w:color w:val="222222"/>
          <w:sz w:val="24"/>
          <w:szCs w:val="24"/>
        </w:rPr>
        <w:t xml:space="preserve">Coautor y revisor: Enrique Fernández Romero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Urgencias · Hospital de Montilla · Área de Gestión Sanitaria Sur de Córdoba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App: cjgaland.github.io/vmni-urgencias · código y proceso de revisión: github.com/cjgaland/vmni-urgencias</w:t>
      </w:r>
    </w:p>
    <w:p>
      <w:pPr>
        <w:spacing w:before="900"/>
      </w:pPr>
    </w:p>
    <w:p>
      <w:pPr>
        <w:pBdr>
          <w:top w:val="single" w:color="2A7F8E" w:sz="6"/>
          <w:bottom w:val="single" w:color="2A7F8E" w:sz="6"/>
        </w:pBdr>
        <w:shd w:fill="EAF3F5" w:val="clear"/>
        <w:jc w:val="center"/>
      </w:pPr>
      <w:r>
        <w:rPr>
          <w:i/>
          <w:iCs/>
          <w:color w:val="444444"/>
          <w:sz w:val="19"/>
          <w:szCs w:val="19"/>
        </w:rPr>
        <w:t xml:space="preserve">Documento divulgativo para transparencia del proyecto. La app es una utilidad de apoyo a la decisión y docencia: no sustituye el criterio del profesional ni los protocolos de cada centro. Los umbrales marcados como provisionales están en proceso de revisión científica externa; el proceso completo de revisión puede consultarse en el repositorio del proyecto.</w:t>
      </w:r>
    </w:p>
    <w:p>
      <w:r>
        <w:br w:type="page"/>
      </w:r>
    </w:p>
    <w:p>
      <w:pPr>
        <w:pBdr>
          <w:bottom w:val="single" w:color="2A7F8E" w:sz="8"/>
        </w:pBdr>
        <w:spacing w:after="160" w:before="200"/>
      </w:pPr>
      <w:r>
        <w:rPr>
          <w:b/>
          <w:bCs/>
          <w:color w:val="0F4C5C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2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Marco de evidencia (jerarquía de fuentes)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2. Entradas de la app (evaluación inicial)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3. Árbol de decisión (formalización del algoritmo A–E del borrador)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4. Contraindicaciones de la VNI (fusión BTS 2016 · consenso 2021 · Neumosur)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5. Elección de modo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6. Parámetros iniciales por escenario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7. Titulación y objetivos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8. Monitorización, respuesta y fracaso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9. Retirada de la VNI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10. Resolución de problemas y asincronías (módulo "fallos" y simulador)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11. Interfaces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12. Dispositivos del área (pendiente de completar con los manuales de cada equipo (pendiente de revisión))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13. Tratamiento farmacológico por escenario — VALIDADO (27-10-2026)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14. Bibliografía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Anexo A. Glosario de siglas y acrónimos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pageBreakBefore/>
        <w:spacing w:after="140" w:before="280"/>
      </w:pPr>
      <w:bookmarkStart w:name="_Toc1" w:id="1"/>
      <w:r>
        <w:t xml:space="preserve">1. Marco de evidencia (jerarquía de fuentes)</w:t>
      </w:r>
      <w:bookmarkEnd w:id="1"/>
    </w:p>
    <w:p>
      <w:pPr>
        <w:spacing w:after="100"/>
      </w:pPr>
      <w:r>
        <w:t xml:space="preserve">Orden de prelación cuando las fuentes discrepan (criterio propuesto, pendiente de revisión):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ATS 2026</w:t>
      </w:r>
      <w:r>
        <w:t xml:space="preserve"> — </w:t>
      </w:r>
      <w:r>
        <w:rPr>
          <w:i/>
          <w:iCs/>
        </w:rPr>
        <w:t xml:space="preserve">Noninvasive Respiratory Support for Adult Patients with Acute Respiratory Failure</w:t>
      </w:r>
      <w:r>
        <w:t xml:space="preserve">. Am J Respir Crit Care Med 2026;212:2135 (doi 10.1093/ajrccm/aamag302). Es la guía más reciente; actualiza la ERS/ATS 2017 e incorpora el alto flujo (TAFCN).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ERS/ATS 2017</w:t>
      </w:r>
      <w:r>
        <w:t xml:space="preserve"> — Rochwerg B et al. Eur Respir J 2017;50:1602426. Sigue siendo la referencia para los escenarios que la ATS 2026 no reevaluó (EAP, inmunodeprimido, asma, postoperatorio, paliativo, trauma, destete).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BTS/ICS 2016</w:t>
      </w:r>
      <w:r>
        <w:t xml:space="preserve"> — Davidson AC et al. Thorax 2016;71(Supl 2):ii1–ii35. La más operativa en fallo hipercápnico: parámetros, titulación y escalada.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Consenso español 2021</w:t>
      </w:r>
      <w:r>
        <w:t xml:space="preserve"> (SEPAR, SEMICYUC, SEMES, SECIP, SENeo, SEDAR, SENP) — Luján M, Peñuelas Ó, Cinesi C et al. Med Intensiva 2021;45:298-312 (+ documento extenso). Marco organizativo y criterios de fracaso/IOT. SEMES es firmante: es el documento de referencia para Urgencias en España.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GOLD 2026</w:t>
      </w:r>
      <w:r>
        <w:t xml:space="preserve"> (EPOC), </w:t>
      </w:r>
      <w:r>
        <w:rPr>
          <w:b/>
          <w:bCs/>
        </w:rPr>
        <w:t xml:space="preserve">ESC 2021</w:t>
      </w:r>
      <w:r>
        <w:t xml:space="preserve"> (IC aguda/EAP), </w:t>
      </w:r>
      <w:r>
        <w:rPr>
          <w:b/>
          <w:bCs/>
        </w:rPr>
        <w:t xml:space="preserve">Cochrane</w:t>
      </w:r>
      <w:r>
        <w:t xml:space="preserve"> por patología y estudios primarios.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Manuales prácticos</w:t>
      </w:r>
      <w:r>
        <w:t xml:space="preserve"> (Artacho </w:t>
      </w:r>
      <w:r>
        <w:rPr>
          <w:i/>
          <w:iCs/>
        </w:rPr>
        <w:t xml:space="preserve">Manual de Soporte Respiratorio</w:t>
      </w:r>
      <w:r>
        <w:t xml:space="preserve">; Manual VMNI HUGCR; Carratalá </w:t>
      </w:r>
      <w:r>
        <w:rPr>
          <w:i/>
          <w:iCs/>
        </w:rPr>
        <w:t xml:space="preserve">Foster Manual de ventilación mecánica</w:t>
      </w:r>
      <w:r>
        <w:t xml:space="preserve"> 2020; SEMES </w:t>
      </w:r>
      <w:r>
        <w:rPr>
          <w:i/>
          <w:iCs/>
        </w:rPr>
        <w:t xml:space="preserve">Fundamentos</w:t>
      </w:r>
      <w:r>
        <w:t xml:space="preserve">): detalle operativo donde las guías no llegan.</w:t>
      </w:r>
    </w:p>
    <w:p>
      <w:pPr>
        <w:pStyle w:val="Heading3"/>
        <w:spacing w:after="140" w:before="280"/>
      </w:pPr>
      <w:r>
        <w:t xml:space="preserve">1.1 Resumen de recomendaciones por escenario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2514"/>
        <w:gridCol w:w="2095"/>
        <w:gridCol w:w="2515"/>
      </w:tblGrid>
      <w:tr>
        <w:trPr>
          <w:tblHeader/>
        </w:trP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Fuerza / certeza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 agudizado con pH ≤7,35 y PaCO2 &gt;45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VNI binivel</w:t>
            </w:r>
            <w:r>
              <w:rPr>
                <w:color w:val="222222"/>
                <w:sz w:val="18"/>
                <w:szCs w:val="18"/>
              </w:rPr>
              <w:t xml:space="preserve"> (fuerte ↓mortalidad y ↓intubación)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Fuerte / alta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Q1b; BTS 2016 rec. 25 (A); ATS 2026 PICO2; consenso 2021 (verde, 100%)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 hipercápnico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</w:t>
            </w:r>
            <w:r>
              <w:rPr>
                <w:color w:val="222222"/>
                <w:sz w:val="18"/>
                <w:szCs w:val="18"/>
              </w:rPr>
              <w:t xml:space="preserve"> acidosis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usar VNI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en contra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Q1a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EPOC: prueba de VNI antes de intubar (salvo deterioro inmediato)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Fuerte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Q1b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Hipercapnia con acidemia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leve</w:t>
            </w:r>
            <w:r>
              <w:rPr>
                <w:color w:val="222222"/>
                <w:sz w:val="18"/>
                <w:szCs w:val="18"/>
              </w:rPr>
              <w:t xml:space="preserve"> (pH &gt;7,25)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 como alternativa a VNI, con monitorización y escalada disponibles (~1/3 acaba en VNI)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PICO2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 cardiogénico (hospital)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CPAP o binivel</w:t>
            </w:r>
            <w:r>
              <w:rPr>
                <w:color w:val="222222"/>
                <w:sz w:val="18"/>
                <w:szCs w:val="18"/>
              </w:rPr>
              <w:t xml:space="preserve"> (equivalentes)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Fuerte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Q2a; consenso 2021 (verde, 100%); Cochrane 2019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 prehospitalario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 o binivel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Q2b; Mal 2014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IC aguda con FR &gt;25 y SpO2 &lt;90%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precoz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Clase IIa, nivel B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 2021 (IC)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hipoxémico de novo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TAFCN</w:t>
            </w:r>
            <w:r>
              <w:rPr>
                <w:color w:val="222222"/>
                <w:sz w:val="18"/>
                <w:szCs w:val="18"/>
              </w:rPr>
              <w:t xml:space="preserve"> primera línea frente a O2 convencional; VNI/CPAP (mascarilla o helmet) sugeridas; sin preferencia TAFCN vs VNI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TAFCN: fuerte/moderada. VNI/CPAP: condicional/baja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PICO1 (la ERS/ATS 2017 no hacía recomendación)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Neumonía sin comorbilidad cardiorrespiratoria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no aconsejable (prueba solo con comorbilidad, en entorno monitorizado)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Rojo 73% / amarillo 93%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SDRA moderado-grave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VNI (excepción: SDRA leve, PaFi 200-300)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Rojo 86%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Inmunodeprimido con IRA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temprana (beneficio cuestionado en ensayos posteriores; TAFCN alternativa)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Q4; matiz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Asma aguda grave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Sin recomendación (ERS/ATS); prueba corta solo con vigilancia estrecha, idealmente UCI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Amarillo 93%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Q3; consenso 2021; Cochrane 2012; Homer-Bouthiette 2025 (favorable, certeza baja)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SHO descompensado con acidosis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(mismos criterios que EPOC; sin acidosis, si somnolencia + trastorno del sueño o IC derecha)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Verde 66% / BTS rec. 57 (B), 58 (D)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Consenso 2021; BTS 2016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Neuromuscular / restrictivo agudo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precoz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 esperar acidosis</w:t>
            </w:r>
            <w:r>
              <w:rPr>
                <w:color w:val="222222"/>
                <w:sz w:val="18"/>
                <w:szCs w:val="18"/>
              </w:rPr>
              <w:t xml:space="preserve"> (VC &lt;1 L + FR &gt;20 ya la indica); no retrasar IOT si falla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rec. 50-53 (D)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2016;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Trauma torácico (sin neumotórax no drenado)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con dolor controlado e hipoxemia no grave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Q8;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Paliativo / disnea terminal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Ofrecer VNI como coadyuvante (no techo terapéutico); también con orden de no intubar en grupos de eficacia documentada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Q7;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Post-extubación de alto riesgo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profiláctica (≥65 años, comorbilidad cardiorrespiratoria, hipercapnia, VM prolongada, obesidad)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PICO4; ERS/ATS 2017 Q10a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post-extubación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ya establecido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VNI (retrasa la reintubación)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en contra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Q10b; consenso 2021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1.2 Magnitud del efecto (para el módulo docente)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EPOC (Cochrane Osadnik 2017, 17 ECA, n=1264):</w:t>
      </w:r>
      <w:r>
        <w:t xml:space="preserve"> mortalidad RR 0,54 (0,38–0,76), NNT 12; intubación RR 0,36 (0,28–0,46), NNT 5; estancia −3,4 días. Beneficio igual con pH 7,30–7,35 que &lt;7,30, y en planta que en UCI.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EAP (Cochrane Berbenetz 2019, 24 estudios, n=2664):</w:t>
      </w:r>
      <w:r>
        <w:t xml:space="preserve"> mortalidad RR 0,65 (0,51–0,82), NNT 17; intubación RR 0,49 (0,38–0,62), NNT 13; sin aumento de IAM (RR 1,03).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Asma (Cochrane Lim 2012; Homer-Bouthiette &amp; Wilson, Ann Am Thorac Soc 2025):</w:t>
      </w:r>
      <w:r>
        <w:t xml:space="preserve"> evidencia escasa; en la revisión de 2025 todos los resultados significativos favorecieron a la VNI (intubación RR 0,46 en ECA, no significativa; observacionales RR 0,55), certeza baja-muy baja.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Prehospitalaria (Mal 2014, 7 ECA, n=632):</w:t>
      </w:r>
      <w:r>
        <w:t xml:space="preserve"> mortalidad RR 0,58, NNT 18; VMI RR 0,37, NNT 8 (certeza alta).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Fracaso real en urgencias españolas:</w:t>
      </w:r>
      <w:r>
        <w:t xml:space="preserve"> 4,5–9,8% de IOT en series de EAP/EPOC (Cano Ballesteros 2019; Carratalá 2010; serie SEMES n=207: BiPAP ineficaz 8,7%, IOT 4,3%).</w:t>
      </w:r>
    </w:p>
    <w:p>
      <w:pPr>
        <w:pStyle w:val="Heading2"/>
        <w:spacing w:after="140" w:before="280"/>
      </w:pPr>
      <w:bookmarkStart w:name="_Toc2" w:id="2"/>
      <w:r>
        <w:t xml:space="preserve">2. Entradas de la app (evaluación inicial)</w:t>
      </w:r>
      <w:bookmarkEnd w:id="2"/>
    </w:p>
    <w:p>
      <w:pPr>
        <w:pStyle w:val="Heading3"/>
        <w:spacing w:after="140" w:before="280"/>
      </w:pPr>
      <w:r>
        <w:t xml:space="preserve">2.1 Antecedentes personales</w:t>
      </w:r>
    </w:p>
    <w:p>
      <w:pPr>
        <w:spacing w:after="100"/>
      </w:pPr>
      <w:r>
        <w:t xml:space="preserve">Según el borrador inicial, con dos matices añadidos (en cursiva):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Patología respiratoria</w:t>
      </w:r>
      <w:r>
        <w:t xml:space="preserve"> (selección múltiple): EPOC · Sospecha de EPOC no confirmada · Asma · SAHOS · SHO · Trastorno restrictivo toracógeno · Patología respiratoria neuromuscular · Otros trastornos respiratorios · </w:t>
      </w:r>
      <w:r>
        <w:rPr>
          <w:i/>
          <w:iCs/>
        </w:rPr>
        <w:t xml:space="preserve">Bronquiectasias/FQ (la BTS les da los mismos criterios que la EPOC, rec. 42)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Otros antecedentes:</w:t>
      </w:r>
      <w:r>
        <w:t xml:space="preserve"> Insuficiencia cardiaca · HTA · Diabetes · Enfermedad renal crónica · Enfermedad grave de otra etiología · </w:t>
      </w:r>
      <w:r>
        <w:rPr>
          <w:i/>
          <w:iCs/>
        </w:rPr>
        <w:t xml:space="preserve">Inmunodepresión (cambia la recomendación: VNI/TAFCN temprana, ERS/ATS Q4)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Otras circunstancias:</w:t>
      </w:r>
      <w:r>
        <w:t xml:space="preserve"> O2 domiciliario (continuo / por horas) · </w:t>
      </w:r>
      <w:r>
        <w:rPr>
          <w:i/>
          <w:iCs/>
        </w:rPr>
        <w:t xml:space="preserve">VMNI o CPAP domiciliaria previa (condiciona parámetros y retirada)</w:t>
      </w:r>
      <w:r>
        <w:t xml:space="preserve"> · Vida limitada / LET (activa la rama paliativa).</w:t>
      </w:r>
    </w:p>
    <w:p>
      <w:pPr>
        <w:pStyle w:val="Heading3"/>
        <w:spacing w:after="140" w:before="280"/>
      </w:pPr>
      <w:r>
        <w:t xml:space="preserve">2.2 Situación clínica (signos de gravedad)</w:t>
      </w:r>
    </w:p>
    <w:p>
      <w:pPr>
        <w:spacing w:after="100"/>
      </w:pPr>
      <w:r>
        <w:t xml:space="preserve">FR (valor numérico) · respiración abdominal paradójica · uso de musculatura accesoria · aumento evidente del trabajo respiratorio · nivel de consciencia (</w:t>
      </w:r>
      <w:r>
        <w:rPr>
          <w:b/>
          <w:bCs/>
        </w:rPr>
        <w:t xml:space="preserve">GCS numérico</w:t>
      </w:r>
      <w:r>
        <w:t xml:space="preserve">: lo exigen HACOR y los umbrales de contraindicación GCS ≤8) · FC · TA · SpO2.</w:t>
      </w:r>
    </w:p>
    <w:p>
      <w:pPr>
        <w:spacing w:after="100"/>
      </w:pPr>
      <w:r>
        <w:t xml:space="preserve">Umbrales relevantes: FR &gt;24 (criterio de inicio en EPOC, ERS/ATS p.6), FR &gt;30 (fallo de novo), FR &gt;35 persistente (fracaso probable, BTS ii16).</w:t>
      </w:r>
    </w:p>
    <w:p>
      <w:pPr>
        <w:pStyle w:val="Heading3"/>
        <w:spacing w:after="140" w:before="280"/>
      </w:pPr>
      <w:r>
        <w:t xml:space="preserve">2.3 Gasometría: ¿arterial o venosa?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 venoso:</w:t>
      </w:r>
      <w:r>
        <w:t xml:space="preserve"> fiable para cribado; sesgo medio ≈ −0,03 respecto al arterial (el venoso es más bajo). El 96% de pH arterial ≥7,35 también son venosos ≥7,35 (Kelly). </w:t>
      </w:r>
      <w:r>
        <w:rPr>
          <w:b/>
          <w:bCs/>
        </w:rPr>
        <w:t xml:space="preserve">Regla de la app:</w:t>
      </w:r>
      <w:r>
        <w:t xml:space="preserve"> pH venoso + 0,03 ≈ pH arterial, con aviso de imprecisión.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pCO2 venosa:</w:t>
      </w:r>
      <w:r>
        <w:t xml:space="preserve"> NO intercambiable (sesgo ≈ +5–6 mmHg, límites de acuerdo amplios; Razi 2007). </w:t>
      </w:r>
      <w:r>
        <w:rPr>
          <w:b/>
          <w:bCs/>
        </w:rPr>
        <w:t xml:space="preserve">Regla de cribado:</w:t>
      </w:r>
      <w:r>
        <w:t xml:space="preserve"> pCO2 venosa &lt;45 mmHg descarta hipercapnia significativa; si ≥45 o hay acidosis, confirmar con arterial.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Consenso 2021 (p.91):</w:t>
      </w:r>
      <w:r>
        <w:t xml:space="preserve"> gasometría venosa aceptable en EAP sin shock ni patología obstructiva crónica; arterial en el resto.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PaO2 </w:t>
      </w:r>
      <w:r>
        <w:rPr>
          <w:b/>
          <w:bCs/>
        </w:rPr>
        <w:t xml:space="preserve">solo</w:t>
      </w:r>
      <w:r>
        <w:t xml:space="preserve"> vale de gasometría arterial; con venosa, la oxigenación se evalúa por SpO2 → SaFi.</w:t>
      </w:r>
    </w:p>
    <w:p>
      <w:pPr>
        <w:pStyle w:val="Heading3"/>
        <w:spacing w:after="140" w:before="280"/>
      </w:pPr>
      <w:r>
        <w:t xml:space="preserve">2.4 FiO2 administrada (estimación)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3323"/>
        <w:gridCol w:w="3324"/>
      </w:tblGrid>
      <w:tr>
        <w:trPr>
          <w:tblHeader/>
        </w:trP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FiO2 estimada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Aire ambiente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0,21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Gafas nasales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0,21 +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0,04</w:t>
            </w:r>
            <w:r>
              <w:rPr>
                <w:color w:val="222222"/>
                <w:sz w:val="18"/>
                <w:szCs w:val="18"/>
              </w:rPr>
              <w:t xml:space="preserve"> × L/min (clásica regla del 4%/L, hasta 6 L/min)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⚠️ El borrador inicial decía «0,21 + 0,3×L/min»: errata evidente. Decidir 3%/L vs 4%/L (pendiente de revisión)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Ventimask (VK)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% del dispositivo / 100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Reservorio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4-5 L/min → 0,60 · 6-7 → 0,70 · 8-9 → 0,80 · ≥10 → 0,90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Según borrador inicial (coherente con la docencia habitual)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 (AirVo)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programada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Respirador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con</w:t>
            </w:r>
            <w:r>
              <w:rPr>
                <w:color w:val="222222"/>
                <w:sz w:val="18"/>
                <w:szCs w:val="18"/>
              </w:rPr>
              <w:t xml:space="preserve"> mezclador (V60, Vivo con módulo O2)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programada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Respirador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</w:t>
            </w:r>
            <w:r>
              <w:rPr>
                <w:color w:val="222222"/>
                <w:sz w:val="18"/>
                <w:szCs w:val="18"/>
              </w:rPr>
              <w:t xml:space="preserve"> mezclador (O2 a caudalímetro)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Tabla Thys &amp; Liistro (abajo).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No existen fórmulas propias del Vivo</w:t>
            </w:r>
            <w:r>
              <w:rPr>
                <w:color w:val="222222"/>
                <w:sz w:val="18"/>
                <w:szCs w:val="18"/>
              </w:rPr>
              <w:t xml:space="preserve">: el fabricante no las publica (su manual solo limita el O2 a 15 L/min y recomienda monitorizar)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FiO2 real depende de IPAP, flujo de O2, punto de conexión, fuga y patrón ventilatorio → la estimación es orientativa; titular por SpO2 y, si el equipo monta célula de FiO2, usar el valor medido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FiO2 (%) según flujo de O2 e IPAP</w:t>
      </w:r>
      <w:r>
        <w:t xml:space="preserve"> (Thys &amp; Liistro, en Rev Am Med Resp 2021, tabla 2.3.5):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/>
        </w:trP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O2 L/min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12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16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20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29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26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33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41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~50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~46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~43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~42</w:t>
            </w:r>
          </w:p>
        </w:tc>
      </w:tr>
    </w:tbl>
    <w:p>
      <w:pPr>
        <w:spacing w:after="120"/>
      </w:pPr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A mayor IPAP, menor FiO2 para el mismo flujo (más dilución). Conectar el O2 lo más cerca de la mascarilla (lado del puerto espiratorio) aumenta la FiO2.</w:t>
      </w:r>
    </w:p>
    <w:p>
      <w:pPr>
        <w:pStyle w:val="Heading3"/>
        <w:spacing w:after="140" w:before="280"/>
      </w:pPr>
      <w:r>
        <w:t xml:space="preserve">2.5 Cálculos derivados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1"/>
        <w:gridCol w:w="3683"/>
        <w:gridCol w:w="3684"/>
      </w:tblGrid>
      <w:tr>
        <w:trPr>
          <w:tblHeader/>
        </w:trP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Umbrales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PaFi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PaO2 / FiO2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&gt;300 normal · 200–300 leve · 100–200 moderada · &lt;100 grave (clasificación del borrador, coherente con Berlín)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SaFi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SpO2 / FiO2 (válida solo con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SpO2 ≤97%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SaFi 315 ≈ PaFi 300 · SaFi 235 ≈ PaFi 200 (Rice 2007) · intermedios por interpolación (pendiente de revisión)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pH esperado (hipercapnia aguda)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= 7,40 − 0,008 × (PaCO2 − 40)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el pH real ≈ esperado → acidosis respiratoria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aguda</w:t>
            </w:r>
            <w:r>
              <w:rPr>
                <w:color w:val="222222"/>
                <w:sz w:val="18"/>
                <w:szCs w:val="18"/>
              </w:rPr>
              <w:t xml:space="preserve"> pura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pH esperado (hipercapnia crónica)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= 7,40 − 0,003 × (PaCO2 − 40)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el pH real ≈ este → crónica compensada; entre ambas →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crónica agudizada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HCO3 esperado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Agudo: +1 mEq/L por cada 10 mmHg de ↑PaCO2 · Crónico: +3,5–4 mEq/L por 10 mmHg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 &gt;30 con hipercapnia → componente crónico (IRC agudizada)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Componente metabólico (Winter)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esperada = 1,5 × HCO3 + 8 (±2)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real &gt; esperada → acidosis mixta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Lactato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&lt;2 mmol/L (≈18 mg/dL) normal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Borrador: &lt;20 / 20–30 / &gt;30 mg/dL. Láctico alto + pH menor del esperado → componente metabólico/hipoperfusión (pendiente de revisión)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HACOR</w:t>
            </w:r>
            <w:r>
              <w:rPr>
                <w:color w:val="222222"/>
                <w:sz w:val="18"/>
                <w:szCs w:val="18"/>
              </w:rPr>
              <w:t xml:space="preserve"> (a 1–2 h de VNI)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FC + pH + GCS + PaFi + FR (0–25 puntos)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≤5: fracaso ~18% · &gt;5: fracaso ~78% (Duan 2017; validación externa más débil, AUC 0,71–0,83) (pendiente de revisión)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Peso ideal</w:t>
            </w:r>
            <w:r>
              <w:rPr>
                <w:color w:val="222222"/>
                <w:sz w:val="18"/>
                <w:szCs w:val="18"/>
              </w:rPr>
              <w:t xml:space="preserve"> (para Vt objetivo)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Varón: 50 + 0,91×(talla cm −152,4) · Mujer: 45,5 + 0,91×(talla cm −152,4)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Vt objetivo 6–8 ml/kg ideal (ver §7)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2.6 Clasificación ácido-base automática (añadida 27-10-2026)</w:t>
      </w:r>
    </w:p>
    <w:p>
      <w:pPr>
        <w:spacing w:after="100"/>
      </w:pPr>
      <w:r>
        <w:t xml:space="preserve">La app aplica en vivo, sobre pH + pCO2 + HCO3, la lectura sistemática del enfoque fisiológico (Berend, NEJM 2014 [26]) usando las fórmulas de §2.5: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</w:t>
      </w:r>
      <w:r>
        <w:t xml:space="preserve">: &lt;7,35 acidemia · &gt;7,45 alcalemia · en rango ≠ gasometría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</w:t>
      </w:r>
      <w:r>
        <w:t xml:space="preserve">: pCO2 &gt;45 respiratorio · HCO3 &lt;22 (o &gt;26) metabólico · ambos en la misma dirección → </w:t>
      </w:r>
      <w:r>
        <w:rPr>
          <w:b/>
          <w:bCs/>
        </w:rPr>
        <w:t xml:space="preserve">mixto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Compensación</w:t>
      </w:r>
      <w:r>
        <w:t xml:space="preserve">: acidosis respiratoria → pH esperado agudo/crónico (0,008/0,003 por mmHg; entre ambos = </w:t>
      </w:r>
      <w:r>
        <w:rPr>
          <w:i/>
          <w:iCs/>
        </w:rPr>
        <w:t xml:space="preserve">crónica agudizada</w:t>
      </w:r>
      <w:r>
        <w:t xml:space="preserve">); acidosis metabólica → Winter ±2 (pCO2 real mayor = compensación insuficiente; menor = alcalosis respiratoria añadida).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 normal con pCO2/HCO3 alterados</w:t>
      </w:r>
      <w:r>
        <w:t xml:space="preserve"> → trastorno compensado o mixto equilibrado (aviso explícito: el retenedor crónico compensado no es indicación urgente de VNI por sí solo).</w:t>
      </w:r>
    </w:p>
    <w:p>
      <w:pPr>
        <w:spacing w:after="100"/>
      </w:pPr>
      <w:r>
        <w:t xml:space="preserve">En gasometría venosa se clasifica con el pH corregido (+0,03, §2.3) y se indica. Tolerancia de ±0,02 sobre los pH esperados para el corte agudo/crónico.</w:t>
      </w:r>
    </w:p>
    <w:p>
      <w:pPr>
        <w:pStyle w:val="Heading3"/>
        <w:spacing w:after="140" w:before="280"/>
      </w:pPr>
      <w:r>
        <w:t xml:space="preserve">2.7 Volúmenes y capacidades teóricos del espirograma docente (añadido 27-10-2026)</w:t>
      </w:r>
    </w:p>
    <w:p>
      <w:pPr>
        <w:spacing w:after="100"/>
      </w:pPr>
      <w:r>
        <w:t xml:space="preserve">Solo para el módulo docente (no intervienen en el motor de recomendación):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5726"/>
        <w:gridCol w:w="2576"/>
      </w:tblGrid>
      <w:tr>
        <w:trPr>
          <w:tblHeader/>
        </w:trP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PBW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misma de §2.5 (ARDSNet)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ARDSNet [10]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VT teórico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PBW × 7 ml/kg (punto medio del rango fisiológico 6–8)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ARDSNet [10]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CV teórica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Varón: 0,052×talla −0,022×edad −3,60 · Mujer: 0,041×talla −0,018×edad −2,69 (L)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Knudson 1976 [27]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VR teórico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Varón: 1,31×talla(m) +0,022×edad −1,23 · Mujer: 1,81×talla(m) +0,016×edad −2,00 (L)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ECSC/ERS, Quanjer 1993 [28]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Reparto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VRE = 25% de la CV (proporción del adulto tipo); VRI = CV − VT − VRE; CRF = VR+VRE; CPT = CV+VR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Fisiología clásica (West)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Validez: edad 16–100 años, talla 130–220 cm; fuera de rango la app no muestra valores.</w:t>
      </w:r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b/>
          <w:bCs/>
          <w:color w:val="333333"/>
          <w:sz w:val="19"/>
          <w:szCs w:val="19"/>
        </w:rPr>
        <w:t xml:space="preserve">Nota HCO3 (pregunta del borrador):</w:t>
      </w:r>
      <w:r>
        <w:rPr>
          <w:color w:val="333333"/>
          <w:sz w:val="19"/>
          <w:szCs w:val="19"/>
        </w:rPr>
        <w:t xml:space="preserve"> se necesita el </w:t>
      </w:r>
      <w:r>
        <w:rPr>
          <w:b/>
          <w:bCs/>
          <w:color w:val="333333"/>
          <w:sz w:val="19"/>
          <w:szCs w:val="19"/>
        </w:rPr>
        <w:t xml:space="preserve">valor absoluto</w:t>
      </w:r>
      <w:r>
        <w:rPr>
          <w:color w:val="333333"/>
          <w:sz w:val="19"/>
          <w:szCs w:val="19"/>
        </w:rPr>
        <w:t xml:space="preserve">, no categorías — las fórmulas de pH esperado y Winter lo requieren. La app puede mostrar además la categoría (&lt;22 / 22–26 / 27–30 / &gt;30).</w:t>
      </w:r>
    </w:p>
    <w:p>
      <w:pPr>
        <w:pStyle w:val="Heading2"/>
        <w:pageBreakBefore/>
        <w:spacing w:after="140" w:before="280"/>
      </w:pPr>
      <w:bookmarkStart w:name="_Toc3" w:id="3"/>
      <w:r>
        <w:t xml:space="preserve">3. Árbol de decisión (formalización del algoritmo A–E del borrador)</w:t>
      </w:r>
      <w:bookmarkEnd w:id="3"/>
    </w:p>
    <w:p>
      <w:pPr>
        <w:spacing w:after="80" w:before="160"/>
        <w:jc w:val="center"/>
      </w:pPr>
      <w:r>
        <w:drawing>
          <wp:inline distT="0" distB="0" distL="0" distR="0">
            <wp:extent cx="6096000" cy="4762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</w:rPr>
        <w:t xml:space="preserve">Figura 1. Visión global del proceso: cribado de intubación (paso 0), rama de tóxicos (A), clasificación en fallo hipoxémico (B), hipercápnico (C) y EAP (D), reevaluación a la hora y salidas (continuar/retirada vs escalada). Los umbrales detallados, en el texto.</w:t>
      </w:r>
    </w:p>
    <w:p>
      <w:pPr>
        <w:pStyle w:val="Heading3"/>
        <w:spacing w:after="140" w:before="280"/>
      </w:pPr>
      <w:r>
        <w:t xml:space="preserve">Paso 0 — Cribado de intubación/UCI inmediata (antes de cualquier VNI)</w:t>
      </w:r>
    </w:p>
    <w:p>
      <w:pPr>
        <w:spacing w:after="100"/>
      </w:pPr>
      <w:r>
        <w:rPr>
          <w:b/>
          <w:bCs/>
        </w:rPr>
        <w:t xml:space="preserve">IOT emergente</w:t>
      </w:r>
      <w:r>
        <w:t xml:space="preserve"> (consenso 2021, tabla 3; BTS Box 1): parada respiratoria o cardiaca · pausas respiratorias o gasping con pérdida de alerta · FC &lt;50 con bajo nivel de consciencia · agitación incontrolable · aspiración masiva / secreciones no manejables · inestabilidad hemodinámica sin respuesta a volumen y vasoactivos · GCS &lt;8 de causa no hipercápnica. → Si LET/paliativo: rama paliativa (VNI para confort si pertenece a grupos con eficacia documentada).</w:t>
      </w:r>
    </w:p>
    <w:p>
      <w:pPr>
        <w:pStyle w:val="Heading3"/>
        <w:spacing w:after="140" w:before="280"/>
      </w:pPr>
      <w:r>
        <w:t xml:space="preserve">Rama A — Sospecha de sobredosis de depresores</w:t>
      </w:r>
    </w:p>
    <w:p>
      <w:pPr>
        <w:spacing w:after="100"/>
      </w:pPr>
      <w:r>
        <w:t xml:space="preserve">pH &lt;7,30 + pCO2 &gt;50 + clínica compatible, sin otros antecedentes → </w:t>
      </w:r>
      <w:r>
        <w:rPr>
          <w:b/>
          <w:bCs/>
        </w:rPr>
        <w:t xml:space="preserve">revertir</w:t>
      </w:r>
      <w:r>
        <w:t xml:space="preserve"> (naloxona/flumazenilo según tóxico) + soporte; reevaluar gasometría. Si no revierte → continuar por B/C según patrón. </w:t>
      </w:r>
      <w:r>
        <w:rPr>
          <w:i/>
          <w:iCs/>
        </w:rPr>
        <w:t xml:space="preserve">(Criterio del borrador; sin guía específica — validación de Enrique.)</w:t>
      </w:r>
    </w:p>
    <w:p>
      <w:pPr>
        <w:pStyle w:val="Heading3"/>
        <w:spacing w:after="140" w:before="280"/>
      </w:pPr>
      <w:r>
        <w:t xml:space="preserve">Rama B — pH ≥7,35 con pCO2 normal/baja: fallo hipoxémico</w:t>
      </w:r>
    </w:p>
    <w:p>
      <w:pPr>
        <w:spacing w:after="100"/>
      </w:pPr>
      <w:r>
        <w:t xml:space="preserve">Estratificar por PaFi (o SaFi):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6572"/>
      </w:tblGrid>
      <w:tr>
        <w:trPr>
          <w:tblHeader/>
        </w:trP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PaFi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Gravedad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Conducta propuesta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&gt;300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Sin hipoxemia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trabajo respiratorio intenso / FR alta: buscar causa; vigilar riesgo de agotamiento; considerar TAFCN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200–300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Leve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1º subir FiO2 &gt;0,40 y reevaluar.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TAFCN de primera línea</w:t>
            </w:r>
            <w:r>
              <w:rPr>
                <w:color w:val="222222"/>
                <w:sz w:val="18"/>
                <w:szCs w:val="18"/>
              </w:rPr>
              <w:t xml:space="preserve"> (ATS 2026). CPAP si EAP, trabajo intenso o PaFi &lt;250; binivel si antecedente de EPOC/SAHOS/SHO/restrictivo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100–200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Moderada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 (valorar binivel según antecedentes) o TAFCN con vigilancia estrecha.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PaFi &lt;150 → avisar/consultar UCI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&lt;100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Grave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Valorar VMI/UCI.</w:t>
            </w:r>
            <w:r>
              <w:rPr>
                <w:color w:val="222222"/>
                <w:sz w:val="18"/>
                <w:szCs w:val="18"/>
              </w:rPr>
              <w:t xml:space="preserve"> VNI solo si LET, por equipo experto y reevaluación precoz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Matices de guía: en neumonía sin comorbilidad la VNI no es aconsejable (consenso 2021); en SDRA moderado-grave, no VNI; el fracaso de VNI en de novo se asocia a Vt espontáneo alto y a retrasar la IOT (ERS/ATS p.9).</w:t>
      </w:r>
    </w:p>
    <w:p>
      <w:pPr>
        <w:pStyle w:val="Heading3"/>
        <w:spacing w:after="140" w:before="280"/>
      </w:pPr>
      <w:r>
        <w:t xml:space="preserve">Rama C — pH &lt;7,35 con pCO2 &gt;45: fallo hipercápnico</w:t>
      </w:r>
    </w:p>
    <w:p>
      <w:pPr>
        <w:spacing w:after="100"/>
      </w:pPr>
      <w:r>
        <w:t xml:space="preserve">Subclasificar con HCO3, lactato y pH esperado: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C1. Acidosis respiratoria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aguda</w:t>
            </w:r>
            <w:r>
              <w:rPr>
                <w:color w:val="222222"/>
                <w:sz w:val="18"/>
                <w:szCs w:val="18"/>
              </w:rPr>
              <w:t xml:space="preserve"> pura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 &lt;30, lactato normal, pH real ≈ esperado agudo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IRA hipercápnica de novo (EPOC agudizado, depresores…)</w:t>
            </w:r>
          </w:p>
        </w:tc>
      </w:tr>
      <w:t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C2. Crónica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agudizada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 &gt;30, lactato normal, pH entre esperado agudo y crónico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IRC agudizada (EPOC evolucionado, SHO)</w:t>
            </w:r>
          </w:p>
        </w:tc>
      </w:tr>
      <w:t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C3. Acidosis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mixta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menor que el esperado respiratorio, y/o lactato alto, y/o Winter con PaCO2 &gt; esperada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Buscar hipoperfusión/sepsis; peor pronóstico; VNI con más vigilancia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Conducta común: </w:t>
      </w:r>
      <w:r>
        <w:rPr>
          <w:b/>
          <w:bCs/>
        </w:rPr>
        <w:t xml:space="preserve">VNI binivel</w:t>
      </w:r>
      <w:r>
        <w:t xml:space="preserve"> si pH &lt;7,35 persiste tras tratamiento médico óptimo con O2 controlado (SpO2 88–92%) durante máx. 60 min (BTS fig.1: pH &lt;7,35 + PaCO2 &gt;6,5 kPa [~49 mmHg] + FR &gt;23). No esperar a la radiografía si pH &lt;7,25 (BTS ii16). Gravedad: pH 7,25–7,35 → VNI en Urgencias/área monitorizada · pH &lt;7,25 → VNI con vía de IOT inmediata disponible (UCI/críticos) · pH &lt;7,15 (o &lt;7,25 con rasgo adverso) → IOT salvo LET (BTS ii18). Acidemia leve (pH &gt;7,25): TAFCN es alternativa con monitorización (ATS 2026) — relevante si hay AirVo disponible.</w:t>
      </w:r>
    </w:p>
    <w:p>
      <w:pPr>
        <w:pStyle w:val="Heading3"/>
        <w:spacing w:after="140" w:before="280"/>
      </w:pPr>
      <w:r>
        <w:t xml:space="preserve">Rama D — EAP/IC aguda (inicio rápido)</w:t>
      </w:r>
    </w:p>
    <w:p>
      <w:pPr>
        <w:spacing w:after="100"/>
      </w:pPr>
      <w:r>
        <w:t xml:space="preserve">Criterios ESC 2021: FR &gt;25, SpO2 &lt;90% → </w:t>
      </w:r>
      <w:r>
        <w:rPr>
          <w:b/>
          <w:bCs/>
        </w:rPr>
        <w:t xml:space="preserve">CPAP precoz</w:t>
      </w:r>
      <w:r>
        <w:t xml:space="preserve"> (5→7,5→10 cmH2O; ver §6). Binivel si hipercapnia, acidosis o fatiga. No en shock cardiogénico ni SCA no estabilizado (exclusiones ERS/ATS Q2a).</w:t>
      </w:r>
    </w:p>
    <w:p>
      <w:pPr>
        <w:pStyle w:val="Heading3"/>
        <w:spacing w:after="140" w:before="280"/>
      </w:pPr>
      <w:r>
        <w:t xml:space="preserve">Rama E — pH esperado mayor que el real (categoría del borrador)</w:t>
      </w:r>
    </w:p>
    <w:p>
      <w:pPr>
        <w:spacing w:after="100"/>
      </w:pPr>
      <w:r>
        <w:t xml:space="preserve">Equivale a detectar componente metabólico añadido (C3): la app mostrará la descomposición (respiratorio vs metabólico) y recomendará buscar causa (lactato, cetoacidosis, renal) además del soporte ventilatorio.</w:t>
      </w:r>
    </w:p>
    <w:p>
      <w:pPr>
        <w:pStyle w:val="Heading3"/>
        <w:spacing w:after="140" w:before="280"/>
      </w:pPr>
      <w:r>
        <w:t xml:space="preserve">Inicio rápido (botón del borrador)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EAP</w:t>
      </w:r>
      <w:r>
        <w:t xml:space="preserve"> → rama D directa. Entradas mínimas: pH, pO2/SpO2, pCO2, FiO2.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EPOC hipercápnico</w:t>
      </w:r>
      <w:r>
        <w:t xml:space="preserve"> → rama C directa. Mismas entradas mínimas (para evaluar respuesta se repiten a 1 h).</w:t>
      </w:r>
    </w:p>
    <w:p>
      <w:pPr>
        <w:pStyle w:val="Heading2"/>
        <w:spacing w:after="140" w:before="280"/>
      </w:pPr>
      <w:bookmarkStart w:name="_Toc4" w:id="4"/>
      <w:r>
        <w:t xml:space="preserve">4. Contraindicaciones de la VNI (fusión BTS 2016 · consenso 2021 · Neumosur)</w:t>
      </w:r>
      <w:bookmarkEnd w:id="4"/>
    </w:p>
    <w:p>
      <w:pPr>
        <w:spacing w:after="100"/>
      </w:pPr>
      <w:r>
        <w:rPr>
          <w:b/>
          <w:bCs/>
        </w:rPr>
        <w:t xml:space="preserve">Absolutas:</w:t>
      </w:r>
      <w:r>
        <w:t xml:space="preserve"> necesidad de IOT emergente (paso 0) · imposibilidad de ajustar interfaz (trauma/quemadura/deformidad facial grave) · obstrucción fija de vía aérea superior · neumotórax no drenado (alta sospecha) · hemoptisis/hematemesis amenazante · coma no hipercápnico · rechazo del paciente · falta de control de secreciones · shock no estabilizable.</w:t>
      </w:r>
    </w:p>
    <w:p>
      <w:pPr>
        <w:spacing w:after="100"/>
      </w:pPr>
      <w:r>
        <w:rPr>
          <w:b/>
          <w:bCs/>
        </w:rPr>
        <w:t xml:space="preserve">Relativas</w:t>
      </w:r>
      <w:r>
        <w:t xml:space="preserve"> (aumentan el riesgo de fracaso; exigen entorno monitorizado): pH &lt;7,15 (o &lt;7,25 con rasgo adverso añadido) · GCS ≤8 de causa hipercápnica (la encefalopatía hipercápnica NO contraindica: puede revertir) · agitación/confusión · vómitos no controlados (sonda nasogástrica si distensión) · cirugía reciente de vía aérea o digestiva alta · secreciones abundantes · embarazo · inestabilidad hemodinámica moderada · FMO.</w:t>
      </w:r>
    </w:p>
    <w:p>
      <w:pPr>
        <w:pStyle w:val="Heading2"/>
        <w:spacing w:after="140" w:before="280"/>
      </w:pPr>
      <w:bookmarkStart w:name="_Toc5" w:id="5"/>
      <w:r>
        <w:t xml:space="preserve">5. Elección de modo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1"/>
        <w:gridCol w:w="3755"/>
        <w:gridCol w:w="3192"/>
      </w:tblGrid>
      <w:tr>
        <w:trPr>
          <w:tblHeader/>
        </w:trPr>
        <w:tc>
          <w:tcPr>
            <w:tcW w:type="dxa" w:w="26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37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de elección</w:t>
            </w:r>
          </w:p>
        </w:tc>
        <w:tc>
          <w:tcPr>
            <w:tcW w:type="dxa" w:w="319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26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hipercápnico (EPOC, SHO, restrictivo)</w:t>
            </w:r>
          </w:p>
        </w:tc>
        <w:tc>
          <w:tcPr>
            <w:tcW w:type="dxa" w:w="37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Binivel S/T</w:t>
            </w:r>
            <w:r>
              <w:rPr>
                <w:color w:val="222222"/>
                <w:sz w:val="18"/>
                <w:szCs w:val="18"/>
              </w:rPr>
              <w:t xml:space="preserve"> (presión de soporte + EPAP, con FR de respaldo)</w:t>
            </w:r>
          </w:p>
        </w:tc>
        <w:tc>
          <w:tcPr>
            <w:tcW w:type="dxa" w:w="319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Descarga musculatura y barre CO2 (consenso p.81-82)</w:t>
            </w:r>
          </w:p>
        </w:tc>
      </w:tr>
      <w:tr>
        <w:tc>
          <w:tcPr>
            <w:tcW w:type="dxa" w:w="26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</w:t>
            </w:r>
          </w:p>
        </w:tc>
        <w:tc>
          <w:tcPr>
            <w:tcW w:type="dxa" w:w="37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CPAP</w:t>
            </w:r>
            <w:r>
              <w:rPr>
                <w:color w:val="222222"/>
                <w:sz w:val="18"/>
                <w:szCs w:val="18"/>
              </w:rPr>
              <w:t xml:space="preserve"> (equivalente a binivel; más simple y barata); binivel si hipercapnia/fatiga</w:t>
            </w:r>
          </w:p>
        </w:tc>
        <w:tc>
          <w:tcPr>
            <w:tcW w:type="dxa" w:w="319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Q2a; Masip 2018</w:t>
            </w:r>
          </w:p>
        </w:tc>
      </w:tr>
      <w:tr>
        <w:tc>
          <w:tcPr>
            <w:tcW w:type="dxa" w:w="26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Hipoxemia de novo</w:t>
            </w:r>
          </w:p>
        </w:tc>
        <w:tc>
          <w:tcPr>
            <w:tcW w:type="dxa" w:w="37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 1ª línea; CPAP/VNI (mascarilla o helmet) como alternativa</w:t>
            </w:r>
          </w:p>
        </w:tc>
        <w:tc>
          <w:tcPr>
            <w:tcW w:type="dxa" w:w="319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PICO1</w:t>
            </w:r>
          </w:p>
        </w:tc>
      </w:tr>
      <w:tr>
        <w:tc>
          <w:tcPr>
            <w:tcW w:type="dxa" w:w="26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Vt insuficiente pese a IPAP alta (SHO, ENM)</w:t>
            </w:r>
          </w:p>
        </w:tc>
        <w:tc>
          <w:tcPr>
            <w:tcW w:type="dxa" w:w="37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Modos con volumen asegurado (AVAPS / volumen garantizado) o PCV</w:t>
            </w:r>
          </w:p>
        </w:tc>
        <w:tc>
          <w:tcPr>
            <w:tcW w:type="dxa" w:w="319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 p.102</w:t>
            </w:r>
          </w:p>
        </w:tc>
      </w:tr>
      <w:tr>
        <w:tc>
          <w:tcPr>
            <w:tcW w:type="dxa" w:w="26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ENM con disparo débil</w:t>
            </w:r>
          </w:p>
        </w:tc>
        <w:tc>
          <w:tcPr>
            <w:tcW w:type="dxa" w:w="37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PCV/controlada (el trigger falla)</w:t>
            </w:r>
          </w:p>
        </w:tc>
        <w:tc>
          <w:tcPr>
            <w:tcW w:type="dxa" w:w="319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rec. 52</w:t>
            </w:r>
          </w:p>
        </w:tc>
      </w:tr>
    </w:tbl>
    <w:p>
      <w:pPr>
        <w:spacing w:after="120"/>
      </w:pPr>
    </w:p>
    <w:p>
      <w:pPr>
        <w:pStyle w:val="Heading2"/>
        <w:pageBreakBefore/>
        <w:spacing w:after="140" w:before="280"/>
      </w:pPr>
      <w:bookmarkStart w:name="_Toc6" w:id="6"/>
      <w:r>
        <w:t xml:space="preserve">6. Parámetros iniciales por escenario</w:t>
      </w:r>
      <w:bookmarkEnd w:id="6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Valores de inicio "seguros" + rango de titulación. Donde las fuentes discrepan se indica el rango y la opción propuesta, pendiente de revisión.</w:t>
      </w:r>
    </w:p>
    <w:p>
      <w:pPr>
        <w:pStyle w:val="Heading3"/>
        <w:spacing w:after="140" w:before="280"/>
      </w:pPr>
      <w:r>
        <w:t xml:space="preserve">6.1 Binivel (EPOC agudizado — escenario de referencia)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"/>
        <w:gridCol w:w="2981"/>
        <w:gridCol w:w="2981"/>
        <w:gridCol w:w="2980"/>
      </w:tblGrid>
      <w:tr>
        <w:trPr>
          <w:tblHeader/>
        </w:trP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Titulación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4–5 cmH2O (mínimo 4 con rama única, evita reinhalación)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Subidas de 1–2 hasta compensar autoPEEP / esfuerzos inefectivos. Techo habitual 8 sin revisión experta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(inicio 3); Artacho; consenso (5-6); pendiente de revisión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10–12 cmH2O (BTS: 15 directo; 20 si pH &lt;7,25)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+2–3 cmH2O cada 10–30 min según tolerancia, Vt y FR. Techo habitual 20–25; no superar 30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ii9; Foster p.39-40; pendiente de revisión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 respaldo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12–15 rpm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Foster/Artacho (BTS dice 16–20; pendiente de revisión)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 / I:E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 0,8–1,2 s · I:E 1:2–1:3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Apnea tolerada 8–15 s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BTS; Artacho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Rampa (rise)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Rápida-media, la más corta tolerada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Más lenta si intolerancia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Artacho; Foster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Trigger insp.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Flujo 3–5 L/min (sensible, sin autociclado)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 D4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Ciclado esp.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~25%; subir a 40–60% si Ti largo o esfuerzos inefectivos (obstructivos &gt;25%)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</w:t>
            </w:r>
          </w:p>
        </w:tc>
      </w:tr>
      <w:tr>
        <w:tc>
          <w:tcPr>
            <w:tcW w:type="dxa" w:w="69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O2 / SpO2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Objetivo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88–92%</w:t>
            </w:r>
            <w:r>
              <w:rPr>
                <w:color w:val="222222"/>
                <w:sz w:val="18"/>
                <w:szCs w:val="18"/>
              </w:rPr>
              <w:t xml:space="preserve">. FiO2 inicio 0,3–0,4 si regulable; si caudalímetro, ajustar por SpO2</w:t>
            </w:r>
          </w:p>
        </w:tc>
        <w:tc>
          <w:tcPr>
            <w:tcW w:type="dxa" w:w="29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FiO2 solo tras optimizar ventilación; &gt;4 L/min por caudalímetro genera fugas/asincronía → preferir equipo con mezclador</w:t>
            </w:r>
          </w:p>
        </w:tc>
        <w:tc>
          <w:tcPr>
            <w:tcW w:type="dxa" w:w="298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rec. 4 (A)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6.2 Binivel en restrictivo / SHO / neuromuscular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SHO:</w:t>
      </w:r>
      <w:r>
        <w:t xml:space="preserve"> EPAP 8–10 (hasta 10–15 si IMC &gt;35 / SAHOS), IPAP alta (puede superar 25–30 para lograr Vt). Ti 1,2–1,5 s; I:E 1:1–1:2; ciclado &lt;25%.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ENM:</w:t>
      </w:r>
      <w:r>
        <w:t xml:space="preserve"> IPAP 10 de inicio (o +5 sobre su ventilador habitual), suele bastar PS 8–12; considerar PCV si disparo débil. No retrasar IOT si falla (BTS rec. 53).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Cifoescoliosis:</w:t>
      </w:r>
      <w:r>
        <w:t xml:space="preserve"> IPAP &gt;20, a veces &gt;30 (Artacho p.102); EPAP puede subir para reclutar.</w:t>
      </w:r>
    </w:p>
    <w:p>
      <w:pPr>
        <w:pStyle w:val="Heading3"/>
        <w:spacing w:after="140" w:before="280"/>
      </w:pPr>
      <w:r>
        <w:t xml:space="preserve">6.3 CPAP (EAP)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Inicio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4–5 cmH2O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Titulación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+2 cmH2O cada 5–10 min hasta la mínima presión eficaz (SpO2 ≥92–93%, ↓FR, ↓trabajo)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Rango habitual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7–12 cmH2O (Boussignac igual; &gt;15–18 sin objetivos → cambiar modo o IOT)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Alta al inicio (1,0 con sistema convencional), bajar 15–20% cada 30 min hasta ≤0,5 con SpO2 ~93%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Retirada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Bajar 2 cmH2O cada 30 min hasta 4–5; sustituir por TAFCN 35–40 L/min u O2 convencional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6.4 TAFCN (AirVo)</w:t>
      </w:r>
    </w:p>
    <w:p>
      <w:pPr>
        <w:spacing w:after="100"/>
      </w:pPr>
      <w:r>
        <w:t xml:space="preserve">Flujo 45–50 L/min (inicio a 30–40 si intolerancia) · Temperatura 37 °C · FiO2 mínima para SpO2 93–94% (88–92% si riesgo hipercápnico) · </w:t>
      </w:r>
      <w:r>
        <w:rPr>
          <w:b/>
          <w:bCs/>
        </w:rPr>
        <w:t xml:space="preserve">Índice ROX</w:t>
      </w:r>
      <w:r>
        <w:t xml:space="preserve"> (SaFi/FR) ≥4,88 a las 12 h se asocia a éxito (consenso 2021 p.87-88).</w:t>
      </w:r>
    </w:p>
    <w:p>
      <w:pPr>
        <w:pStyle w:val="Heading3"/>
        <w:spacing w:after="140" w:before="280"/>
      </w:pPr>
      <w:r>
        <w:t xml:space="preserve">6.5 Objetivos de SpO2 (unificación propuesta (pendiente de revisión))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Riesgo hipercápnico (EPOC, SHO, ENM, toracógeno): </w:t>
      </w:r>
      <w:r>
        <w:rPr>
          <w:b/>
          <w:bCs/>
        </w:rPr>
        <w:t xml:space="preserve">88–92%</w:t>
      </w:r>
      <w:r>
        <w:t xml:space="preserve"> (BTS rec. 4, grado 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Resto (EAP, hipoxémico de novo): </w:t>
      </w:r>
      <w:r>
        <w:rPr>
          <w:b/>
          <w:bCs/>
        </w:rPr>
        <w:t xml:space="preserve">92–96%</w:t>
      </w:r>
      <w:r>
        <w:t xml:space="preserve">.</w:t>
      </w:r>
    </w:p>
    <w:p>
      <w:pPr>
        <w:pStyle w:val="Heading2"/>
        <w:spacing w:after="140" w:before="280"/>
      </w:pPr>
      <w:bookmarkStart w:name="_Toc7" w:id="7"/>
      <w:r>
        <w:t xml:space="preserve">7. Titulación y objetivos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Posición 30–45°, monitorización (SpO2 continua, FR, FC, TA, GCS), explicar la técnica, sujetar la mascarilla con la mano al inicio, arnés sin tensión excesiva (pasar 2 dedos).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Vt objetivo: 6–8 ml/kg de peso ideal</w:t>
      </w:r>
      <w:r>
        <w:t xml:space="preserve"> (BTS/criterio mayoritario; rango 5–7 según Foster; riesgo si &gt;9,5) y FR &lt;25 rpm.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Hipoxemia persistente → subir EPAP de 2 en 2 (máx. 8–12 según escenario) → después FiO2.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Hipercapnia persistente → mejorar sincronía y fugas → subir IPAP (techo 20–25) → reducir espacio muerto (mascarilla menor, puerto espiratorio próximo, válvula antirreinhalación si acidosis grave).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continuo las primeras horas (máximo uso en las primeras 24 h, BTS ii17), pausas breves para comida/nebulización (nebulizar sin interrumpir la VNI si es dependiente: malla vibrante en T o pMDI con cámara en rama inspiratoria).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Sedación cautelosa solo en entorno monitorizado (morfina 2,5–5 mg IV en agitación/taquipnea — BTS buena práctica; dexmedetomidina/remifentanilo en UCI).</w:t>
      </w:r>
    </w:p>
    <w:p>
      <w:pPr>
        <w:pStyle w:val="Heading2"/>
        <w:spacing w:after="140" w:before="280"/>
      </w:pPr>
      <w:bookmarkStart w:name="_Toc8" w:id="8"/>
      <w:r>
        <w:t xml:space="preserve">8. Monitorización, respuesta y fracaso</w:t>
      </w:r>
      <w:bookmarkEnd w:id="8"/>
    </w:p>
    <w:p>
      <w:pPr>
        <w:pStyle w:val="Heading3"/>
        <w:spacing w:after="140" w:before="280"/>
      </w:pPr>
      <w:r>
        <w:t xml:space="preserve">8.1 Tiempos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Gasometría:</w:t>
      </w:r>
      <w:r>
        <w:t xml:space="preserve"> basal → </w:t>
      </w:r>
      <w:r>
        <w:rPr>
          <w:b/>
          <w:bCs/>
        </w:rPr>
        <w:t xml:space="preserve">a 1 h</w:t>
      </w:r>
      <w:r>
        <w:t xml:space="preserve"> (consenso p.91; BTS: 1–2 h) → a las 4–6 h → tras cada cambio relevante y a las 8–12 y 24 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Vigilancia clínica cada 10–15 min la primera hora; 30–45 min hasta la 4ª h; horaria hasta la 12ª (Foster p.33).</w:t>
      </w:r>
    </w:p>
    <w:p>
      <w:pPr>
        <w:pStyle w:val="Heading3"/>
        <w:spacing w:after="140" w:before="280"/>
      </w:pPr>
      <w:r>
        <w:t xml:space="preserve">8.2 Respuesta favorable (1–4 h)</w:t>
      </w:r>
    </w:p>
    <w:p>
      <w:pPr>
        <w:spacing w:after="100"/>
      </w:pPr>
      <w:r>
        <w:t xml:space="preserve">↓FR y mejoría del pH (mejores predictores de éxito, BTS nivel 1+) · ↓trabajo respiratorio y FC · mejoría del nivel de consciencia · Vt adecuado con fugas controladas.</w:t>
      </w:r>
    </w:p>
    <w:p>
      <w:pPr>
        <w:pStyle w:val="Heading3"/>
        <w:spacing w:after="140" w:before="280"/>
      </w:pPr>
      <w:r>
        <w:t xml:space="preserve">8.3 Criterios de fracaso (consenso 2021, pp. 95–100)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Deterioro clínico o incapacidad de mejorar: disnea persistente con tiraje, </w:t>
      </w:r>
      <w:r>
        <w:rPr>
          <w:b/>
          <w:bCs/>
        </w:rPr>
        <w:t xml:space="preserve">FR que no baja de 30 a la 1ª hora</w:t>
      </w:r>
      <w:r>
        <w:t xml:space="preserve"> (no retrasar IOT), deterioro de consciencia.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Intolerancia con deseo de retirada; asincronías no corregibles.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Gasométrico a 1 h: hipercápnico — PaCO2 persistentemente elevada o pH que no mejora (pH &lt;7,25 pese a VNI óptima = bandera roja BTS) · hipoxémico — </w:t>
      </w:r>
      <w:r>
        <w:rPr>
          <w:b/>
          <w:bCs/>
        </w:rPr>
        <w:t xml:space="preserve">PaFi ≤146</w:t>
      </w:r>
      <w:r>
        <w:t xml:space="preserve"> (≤175 en SDRA).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Broncorrea no expectorable · inestabilidad hemodinámica, isquemia o arritmias letales.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HACOR &gt;5</w:t>
      </w:r>
      <w:r>
        <w:t xml:space="preserve"> a 1–2 h (apoyo, no sustituto del juicio clínico).</w:t>
      </w:r>
    </w:p>
    <w:p>
      <w:pPr>
        <w:spacing w:after="100"/>
      </w:pPr>
      <w:r>
        <w:t xml:space="preserve">Tipos: inmediato (&lt;1 h), precoz (1–48 h, el más frecuente), tardío (&gt;48 h: infección, delirio).</w:t>
      </w:r>
    </w:p>
    <w:p>
      <w:pPr>
        <w:pStyle w:val="Heading3"/>
        <w:spacing w:after="140" w:before="280"/>
      </w:pPr>
      <w:r>
        <w:t xml:space="preserve">8.4 Criterios de IOT (consenso p.100; BTS Box 1)</w:t>
      </w:r>
    </w:p>
    <w:p>
      <w:pPr>
        <w:spacing w:after="100"/>
      </w:pPr>
      <w:r>
        <w:rPr>
          <w:b/>
          <w:bCs/>
        </w:rPr>
        <w:t xml:space="preserve">Mayores (IOT inmediata):</w:t>
      </w:r>
      <w:r>
        <w:t xml:space="preserve"> los del paso 0. </w:t>
      </w:r>
      <w:r>
        <w:rPr>
          <w:b/>
          <w:bCs/>
        </w:rPr>
        <w:t xml:space="preserve">Menores (2 en la primera hora):</w:t>
      </w:r>
      <w:r>
        <w:t xml:space="preserve"> FR &gt;35 o mayor que la inicial · pH &lt;7,30 o menor que el inicial, o PaCO2 +20% sobre la inicial · PaFi &lt;150 · empeoramiento de la encefalopatía. Antes de intubar, descartar y corregir: neumotórax, broncoaspiración, IC, fugas/interfaz inadecuada, IPAP insuficiente (subir hasta ~20 y revisar válvula espiratoria).</w:t>
      </w:r>
    </w:p>
    <w:p>
      <w:pPr>
        <w:pStyle w:val="Heading3"/>
        <w:spacing w:after="140" w:before="280"/>
      </w:pPr>
      <w:r>
        <w:t xml:space="preserve">8.5 Derivación a UCI (BTS fig.1 + consenso tabla 6)</w:t>
      </w:r>
    </w:p>
    <w:p>
      <w:pPr>
        <w:spacing w:after="100"/>
      </w:pPr>
      <w:r>
        <w:t xml:space="preserve">pH &lt;7,25 mantenido · PaFi &lt;150 · amenaza de parada · imposibilidad de mantener SpO2 &gt;85–88% · necesidad de sedación IV · neumonía grave, SDRA, trauma torácico · posible vía aérea difícil (SHO, distrofia).</w:t>
      </w:r>
    </w:p>
    <w:p>
      <w:pPr>
        <w:pStyle w:val="Heading2"/>
        <w:spacing w:after="140" w:before="280"/>
      </w:pPr>
      <w:bookmarkStart w:name="_Toc9" w:id="9"/>
      <w:r>
        <w:t xml:space="preserve">9. Retirada de la VNI</w:t>
      </w:r>
      <w:bookmarkEnd w:id="9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EPOC:</w:t>
      </w:r>
      <w:r>
        <w:t xml:space="preserve"> retirada </w:t>
      </w:r>
      <w:r>
        <w:rPr>
          <w:b/>
          <w:bCs/>
        </w:rPr>
        <w:t xml:space="preserve">directa</w:t>
      </w:r>
      <w:r>
        <w:t xml:space="preserve"> cuando se resuelve el episodio: pH normalizado (≥7,35) con PaCO2 mejorada (&lt;50), estabilidad clínica y tolerancia a respiración espontánea (prueba de 4 h con O2 controlado). Prolongar VNI nocturna 3 noches NO reduce recaídas y alarga la estancia (Sellarés, ERJ 2017, ECA n=120; recaída 17% vs 13%, ns). Pauta alternativa si se prefiere gradual: BTS ii17 — retirada progresiva 2–3 días, suspendiendo primero el día.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Criterio de recaída</w:t>
      </w:r>
      <w:r>
        <w:t xml:space="preserve"> (Sellarés): ≥2 de — pH &lt;7,35 con PaCO2 &gt;45 · SpO2 &lt;90% o PaO2 &lt;60 con FiO2 ≥0,5 · ≥30 min de FR &gt;35, ↓consciencia, agitación o fatiga → reiniciar VNI.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ENM/toracógeno:</w:t>
      </w:r>
      <w:r>
        <w:t xml:space="preserve"> retirada lenta; mantener VNI nocturna; objetivo PaCO2 45–50 en espontánea; derivar a VMD.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SHO:</w:t>
      </w:r>
      <w:r>
        <w:t xml:space="preserve"> retirada diurna como EPOC + VNI/CPAP nocturna y estudio de sueño/VMD al alta.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CPAP en EAP:</w:t>
      </w:r>
      <w:r>
        <w:t xml:space="preserve"> ver §6.3.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 alta tras fallo hipercápnico</w:t>
      </w:r>
      <w:r>
        <w:t xml:space="preserve"> (BTS Box 4): valorar derivación a VMD (hipercapnia persistente &gt;53–56 mmHg a las 2–4 semanas se asocia a reingreso — consenso p.105), rehabilitación respiratoria, revisión precoz.</w:t>
      </w:r>
    </w:p>
    <w:p>
      <w:pPr>
        <w:pStyle w:val="Heading2"/>
        <w:pageBreakBefore/>
        <w:spacing w:after="140" w:before="280"/>
      </w:pPr>
      <w:bookmarkStart w:name="_Toc10" w:id="10"/>
      <w:r>
        <w:t xml:space="preserve">10. Resolución de problemas y asincronías (módulo "fallos" y simulador)</w:t>
      </w:r>
      <w:bookmarkEnd w:id="10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La fuga excesiva es la causa más frecuente de asincronía: </w:t>
      </w:r>
      <w:r>
        <w:rPr>
          <w:b/>
          <w:bCs/>
          <w:color w:val="333333"/>
          <w:sz w:val="19"/>
          <w:szCs w:val="19"/>
        </w:rPr>
        <w:t xml:space="preserve">corregir fugas antes de tocar parámetros</w:t>
      </w:r>
      <w:r>
        <w:rPr>
          <w:color w:val="333333"/>
          <w:sz w:val="19"/>
          <w:szCs w:val="19"/>
        </w:rPr>
        <w:t xml:space="preserve"> (Foster p.49).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2582"/>
        <w:gridCol w:w="2582"/>
        <w:gridCol w:w="2581"/>
      </w:tblGrid>
      <w:tr>
        <w:trPr>
          <w:tblHeader/>
        </w:trP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Asincronía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Firma en las curvas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Causas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Autociclado</w:t>
            </w:r>
            <w:r>
              <w:rPr>
                <w:color w:val="222222"/>
                <w:sz w:val="18"/>
                <w:szCs w:val="18"/>
              </w:rPr>
              <w:t xml:space="preserve"> (autotrigger)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Ciclo sin deflexión negativa previa en presión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Fugas, agua/artefactos en tubuladura, trigger demasiado sensible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Reducir fuga; bajar sensibilidad del trigger; revisar circuito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Esfuerzo inefectivo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Deflexión positiva en flujo sin ciclo (sin cambio de presión)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AutoPEEP, trigger poco sensible, PS excesiva, debilidad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EPAP (sin superar la PEEPi; regla 80%); sensibilizar trigger; bajar IPAP si sobreasistencia; broncodilatar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Retraso de trigger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Desfase flujo→presión &gt;100–200 ms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Hiperinsuflación, fugas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Como el anterior; alargar espiración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Flujo insuficiente</w:t>
            </w:r>
            <w:r>
              <w:rPr>
                <w:color w:val="222222"/>
                <w:sz w:val="18"/>
                <w:szCs w:val="18"/>
              </w:rPr>
              <w:t xml:space="preserve"> (presurización lenta)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cóncava, flujo redondeado; disnea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Rampa lenta, IPAP baja, demanda alta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IPAP; rampa más rápida; reducir fugas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Sobreasistencia / flujo excesivo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Pico de presión/flujo brusco, intolerancia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IPAP/rampa excesivas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Bajar IPAP o alargar rampa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Doble disparo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Dos ciclos de presión sin espiración entre ellos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 mecánico &lt; Ti neural, demanda alta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Alargar Ti; modo por presión; revisar PS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Ciclado tardío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Elevación final de presión &gt;2 cmH2O sobre IPAP, caída brusca de flujo; espiración activa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Criterio de ciclado bajo, fugas, PS alta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% de ciclado (&gt;25–50% en obstructivos); reducir fugas; bajar PS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Ciclado precoz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Flujo espiratorio que "rebota" hacia la línea de base (el paciente sigue inspirando)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Criterio de ciclado alto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Bajar % de ciclado; Ti mínimo; modos por tiempo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Fugas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Trigger y ciclado erráticos, Vt sobrestimado, ruido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Interfaz/talla/arnés, boca abierta (nasal)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Reajustar o cambiar interfaz; parches hidrocoloides; bajar presiones a lo mínimo eficaz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Reinhalación CO2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que no baja pese a buena mecánica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Espacio muerto, EPAP &lt;4, puerto lejano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 ≥4–5; válvula antirreinhalación; mascarilla de menor espacio muerto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Complicaciones y frecuencia</w:t>
      </w:r>
      <w:r>
        <w:t xml:space="preserve"> (HUGCR p.22): fugas 80–100% · sequedad/congestión 25–70% · incomodidad 30–50% · distensión gástrica 30–50% (improbable con pico &lt;25 cmH2O; SNG si vómitos) · irritación ocular 15–30% · úlcera nasal 5–20% (parches, rotar interfaz) · broncoaspiración ~5% · claustrofobia ~10%.</w:t>
      </w:r>
    </w:p>
    <w:p>
      <w:pPr>
        <w:pStyle w:val="Heading2"/>
        <w:spacing w:after="140" w:before="280"/>
      </w:pPr>
      <w:bookmarkStart w:name="_Toc11" w:id="11"/>
      <w:r>
        <w:t xml:space="preserve">11. Interfaces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4316"/>
        <w:gridCol w:w="4315"/>
      </w:tblGrid>
      <w:tr>
        <w:trPr>
          <w:tblHeader/>
        </w:trP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agudo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Oronasal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Primera elección en IRA</w:t>
            </w:r>
            <w:r>
              <w:rPr>
                <w:color w:val="222222"/>
                <w:sz w:val="18"/>
                <w:szCs w:val="18"/>
              </w:rPr>
              <w:t xml:space="preserve"> (BTS rec. 2)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Espacio muerto ~180–250 ml; proteger puente nasal (hidrocoloide) desde el inicio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Facial total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Alternativa: menos fugas y úlceras, mejor tolerancia prolongada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Más espacio muerto; rotar con la oronasal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Helmet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Hipoxémico/pandemias; edéntulos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 ~10, PS hasta 20, tubuladura corta; presurización amortiguada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Nasal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recomendada en IRA (fuga bucal)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Útil en destete/VMD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Elección por anatomía, consciencia, claustrofobia y compatibilidad con el circuito (fuga intencional vs válvula). Con circuito de rama única y fuga intencional: EPAP mínima 4 cmH2O.</w:t>
      </w:r>
    </w:p>
    <w:p>
      <w:pPr>
        <w:pStyle w:val="Heading2"/>
        <w:spacing w:after="140" w:before="280"/>
      </w:pPr>
      <w:bookmarkStart w:name="_Toc12" w:id="12"/>
      <w:r>
        <w:t xml:space="preserve">12. Dispositivos del área (pendiente de completar con los manuales de cada equipo (pendiente de revisión))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3934"/>
        <w:gridCol w:w="3934"/>
      </w:tblGrid>
      <w:tr>
        <w:trPr>
          <w:tblHeader/>
        </w:trP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 para la app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Breas Vivo 50 / Vivo 60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Ventilador de soporte vital domiciliario/hospitalario, turbina, rama única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Modos PSV/PCV/CPAP (± volumen asegurado). O2 por caudalímetro de serie → FiO2 estimada con la tabla de banco §2.4 (orientativa); O2 máx. 15 L/min según fabricante; si monta célula de FiO2, prevalece el valor medido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Philips V60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Ventilador de VNI hospitalario con mezclador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directa; modos CPAP/S/T/PCV/AVAPS; compensación de fugas Auto-Trak. Aparece en los vídeos de Artacho (Práctica 2)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Hersill VITAE 40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Ventilador de transporte (sala de críticos)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Verificar modos de VNI/CPAP disponibles y manejo de FiO2 (aire comprimido/Venturi) con el manual del equipo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AirVo (F&amp;P)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Flujo/FiO2/temperatura directos (§6.4)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El simulador de la app mostrará las curvas en modo </w:t>
      </w:r>
      <w:r>
        <w:rPr>
          <w:b/>
          <w:bCs/>
        </w:rPr>
        <w:t xml:space="preserve">genérico</w:t>
      </w:r>
      <w:r>
        <w:t xml:space="preserve"> y con "pieles" (skins) de estos equipos.</w:t>
      </w:r>
    </w:p>
    <w:p>
      <w:pPr>
        <w:pStyle w:val="Heading2"/>
        <w:pageBreakBefore/>
        <w:spacing w:after="140" w:before="280"/>
      </w:pPr>
      <w:bookmarkStart w:name="_Toc13" w:id="13"/>
      <w:r>
        <w:t xml:space="preserve">13. Tratamiento farmacológico por escenario — VALIDADO (27-10-2026)</w:t>
      </w:r>
      <w:bookmarkEnd w:id="13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b/>
          <w:bCs/>
          <w:color w:val="333333"/>
          <w:sz w:val="19"/>
          <w:szCs w:val="19"/>
        </w:rPr>
        <w:t xml:space="preserve">Recomendaciones generales</w:t>
      </w:r>
      <w:r>
        <w:rPr>
          <w:color w:val="333333"/>
          <w:sz w:val="19"/>
          <w:szCs w:val="19"/>
        </w:rPr>
        <w:t xml:space="preserve"> según guías aceptadas (GesEPOC 2021, GOLD, ESC 2021, GINA/GEMA, BTS). </w:t>
      </w:r>
      <w:r>
        <w:rPr>
          <w:b/>
          <w:bCs/>
          <w:color w:val="333333"/>
          <w:sz w:val="19"/>
          <w:szCs w:val="19"/>
        </w:rPr>
        <w:t xml:space="preserve">No sustituyen la valoración individual</w:t>
      </w:r>
      <w:r>
        <w:rPr>
          <w:color w:val="333333"/>
          <w:sz w:val="19"/>
          <w:szCs w:val="19"/>
        </w:rPr>
        <w:t xml:space="preserve">: alergias, antecedentes, enfermedades concomitantes, interacciones, función renal/hepática, embarazo, y los protocolos y mapa de resistencias del centro. Dosis orientativas de adulto. </w:t>
      </w:r>
      <w:r>
        <w:rPr>
          <w:b/>
          <w:bCs/>
          <w:color w:val="333333"/>
          <w:sz w:val="19"/>
          <w:szCs w:val="19"/>
        </w:rPr>
        <w:t xml:space="preserve">La app aconseja: la decisión de prescribir, ajustar o retirar es siempre del profesional.</w:t>
      </w:r>
      <w:r>
        <w:rPr>
          <w:color w:val="333333"/>
          <w:sz w:val="19"/>
          <w:szCs w:val="19"/>
        </w:rPr>
        <w:t xml:space="preserve"> Detalle completo en </w:t>
      </w:r>
      <w:r>
        <w:rPr>
          <w:rFonts w:ascii="Menlo" w:cs="Menlo" w:eastAsia="Menlo" w:hAnsi="Menlo"/>
          <w:color w:val="16697A"/>
          <w:sz w:val="18"/>
          <w:szCs w:val="18"/>
        </w:rPr>
        <w:t xml:space="preserve">docs/FARMACOS.md</w:t>
      </w:r>
      <w:r>
        <w:rPr>
          <w:color w:val="333333"/>
          <w:sz w:val="19"/>
          <w:szCs w:val="19"/>
        </w:rPr>
        <w:t xml:space="preserve">.</w:t>
      </w:r>
    </w:p>
    <w:p>
      <w:pPr>
        <w:pStyle w:val="Heading3"/>
        <w:spacing w:after="140" w:before="280"/>
      </w:pPr>
      <w:r>
        <w:t xml:space="preserve">13.1 Agudización de EPOC </w:t>
      </w:r>
      <w:r>
        <w:rPr>
          <w:i/>
          <w:iCs/>
        </w:rPr>
        <w:t xml:space="preserve">(GOLD · GesEPOC)</w:t>
      </w:r>
    </w:p>
    <w:p>
      <w:pPr>
        <w:spacing w:after="100"/>
      </w:pPr>
      <w:r>
        <w:t xml:space="preserve">Salbutamol ± ipratropio nebulizado (2,5–5 mg + 0,5 mg cada 20–30 min la 1.ª hora, luego /4–6 h; </w:t>
      </w:r>
      <w:r>
        <w:rPr>
          <w:b/>
          <w:bCs/>
        </w:rPr>
        <w:t xml:space="preserve">sin interrumpir la VNI</w:t>
      </w:r>
      <w:r>
        <w:t xml:space="preserve">: malla en T) · </w:t>
      </w:r>
      <w:r>
        <w:rPr>
          <w:b/>
          <w:bCs/>
        </w:rPr>
        <w:t xml:space="preserve">Prednisona 40 mg vo 5 días</w:t>
      </w:r>
      <w:r>
        <w:t xml:space="preserve"> (metilprednisolona IV si no vo; mayor eficacia con eosinófilos ≥300) · Antibiótico si purulencia (Anthonisen ≥2), PCR ≥20 </w:t>
      </w:r>
      <w:r>
        <w:rPr>
          <w:b/>
          <w:bCs/>
        </w:rPr>
        <w:t xml:space="preserve">o necesidad de VNI</w:t>
      </w:r>
      <w:r>
        <w:t xml:space="preserve"> (que por sí sola lo indica): amoxicilina-clavulánico 875/125 /8 h 5–7 días, ajustado al mapa local · HBPM profiláctica. </w:t>
      </w:r>
      <w:r>
        <w:rPr>
          <w:b/>
          <w:bCs/>
        </w:rPr>
        <w:t xml:space="preserve">Evitar:</w:t>
      </w:r>
      <w:r>
        <w:t xml:space="preserve"> metilxantinas de rutina, O₂ sin control.</w:t>
      </w:r>
    </w:p>
    <w:p>
      <w:pPr>
        <w:pStyle w:val="Heading3"/>
        <w:spacing w:after="140" w:before="280"/>
      </w:pPr>
      <w:r>
        <w:t xml:space="preserve">13.2 EAP / IC aguda </w:t>
      </w:r>
      <w:r>
        <w:rPr>
          <w:i/>
          <w:iCs/>
        </w:rPr>
        <w:t xml:space="preserve">(ESC 2021)</w:t>
      </w:r>
    </w:p>
    <w:p>
      <w:pPr>
        <w:spacing w:after="100"/>
      </w:pPr>
      <w:r>
        <w:rPr>
          <w:b/>
          <w:bCs/>
        </w:rPr>
        <w:t xml:space="preserve">Furosemida IV 20–40 mg en bolo</w:t>
      </w:r>
      <w:r>
        <w:t xml:space="preserve"> (o 1–2× su dosis oral), repetir/perfusión según respuesta · NTG sl/IV (10–20 µg/min titulando) </w:t>
      </w:r>
      <w:r>
        <w:rPr>
          <w:b/>
          <w:bCs/>
        </w:rPr>
        <w:t xml:space="preserve">solo si TAS &gt;110</w:t>
      </w:r>
      <w:r>
        <w:t xml:space="preserve"> (evitar en TAS &lt;100, estenosis aórtica grave, IAM de VD) · </w:t>
      </w:r>
      <w:r>
        <w:rPr>
          <w:b/>
          <w:bCs/>
        </w:rPr>
        <w:t xml:space="preserve">Morfina NO rutinaria</w:t>
      </w:r>
      <w:r>
        <w:t xml:space="preserve"> (2,5–5 mg solo disnea/ansiedad refractarias: su uso rutinario se asocia a peor pronóstico) · tratar el desencadenante (SCA, arritmia, crisis HTA) · HBPM.</w:t>
      </w:r>
    </w:p>
    <w:p>
      <w:pPr>
        <w:pStyle w:val="Heading3"/>
        <w:spacing w:after="140" w:before="280"/>
      </w:pPr>
      <w:r>
        <w:t xml:space="preserve">13.3 Crisis asmática grave </w:t>
      </w:r>
      <w:r>
        <w:rPr>
          <w:i/>
          <w:iCs/>
        </w:rPr>
        <w:t xml:space="preserve">(GINA · GEMA)</w:t>
      </w:r>
    </w:p>
    <w:p>
      <w:pPr>
        <w:spacing w:after="100"/>
      </w:pPr>
      <w:r>
        <w:t xml:space="preserve">SpO₂ objetivo </w:t>
      </w:r>
      <w:r>
        <w:rPr>
          <w:b/>
          <w:bCs/>
        </w:rPr>
        <w:t xml:space="preserve">93–95%</w:t>
      </w:r>
      <w:r>
        <w:t xml:space="preserve"> · salbutamol 4–10 puls./20 min la 1.ª hora (o neb 2,5–5 mg ×3) </w:t>
      </w:r>
      <w:r>
        <w:rPr>
          <w:b/>
          <w:bCs/>
        </w:rPr>
        <w:t xml:space="preserve">+ ipratropio 0,5 mg en la grave</w:t>
      </w:r>
      <w:r>
        <w:t xml:space="preserve"> · </w:t>
      </w:r>
      <w:r>
        <w:rPr>
          <w:b/>
          <w:bCs/>
        </w:rPr>
        <w:t xml:space="preserve">corticoide sistémico en la 1.ª hora</w:t>
      </w:r>
      <w:r>
        <w:t xml:space="preserve"> (prednisona 40–50 mg vo o hidrocortisona 100–200 mg IV) · </w:t>
      </w:r>
      <w:r>
        <w:rPr>
          <w:b/>
          <w:bCs/>
        </w:rPr>
        <w:t xml:space="preserve">sulfato de magnesio 2 g IV en 20 min</w:t>
      </w:r>
      <w:r>
        <w:t xml:space="preserve"> solo en la grave sin respuesta. </w:t>
      </w:r>
      <w:r>
        <w:rPr>
          <w:b/>
          <w:bCs/>
        </w:rPr>
        <w:t xml:space="preserve">Evitar:</w:t>
      </w:r>
      <w:r>
        <w:t xml:space="preserve"> sedantes fuera de la UCI.</w:t>
      </w:r>
    </w:p>
    <w:p>
      <w:pPr>
        <w:pStyle w:val="Heading3"/>
        <w:spacing w:after="140" w:before="280"/>
      </w:pPr>
      <w:r>
        <w:t xml:space="preserve">13.4 Sobredosis de depresores </w:t>
      </w:r>
      <w:r>
        <w:rPr>
          <w:i/>
          <w:iCs/>
        </w:rPr>
        <w:t xml:space="preserve">(rama A)</w:t>
      </w:r>
    </w:p>
    <w:p>
      <w:pPr>
        <w:spacing w:after="100"/>
      </w:pPr>
      <w:r>
        <w:rPr>
          <w:b/>
          <w:bCs/>
        </w:rPr>
        <w:t xml:space="preserve">Primero ventilar.</w:t>
      </w:r>
      <w:r>
        <w:t xml:space="preserve"> Naloxona 0,04–0,1 mg IV cada 2–3 min </w:t>
      </w:r>
      <w:r>
        <w:rPr>
          <w:b/>
          <w:bCs/>
        </w:rPr>
        <w:t xml:space="preserve">titulando hasta FR ≥10</w:t>
      </w:r>
      <w:r>
        <w:t xml:space="preserve"> (no hasta despertar); opioides largos → perfusión (~2/3 de la dosis eficaz/h); vigilancia prolongada · Flumazenilo de uso </w:t>
      </w:r>
      <w:r>
        <w:rPr>
          <w:b/>
          <w:bCs/>
        </w:rPr>
        <w:t xml:space="preserve">excepcional</w:t>
      </w:r>
      <w:r>
        <w:t xml:space="preserve"> (0,2 mg IV lentos, máx. 1–2 mg): </w:t>
      </w:r>
      <w:r>
        <w:rPr>
          <w:b/>
          <w:bCs/>
        </w:rPr>
        <w:t xml:space="preserve">contraindicado</w:t>
      </w:r>
      <w:r>
        <w:t xml:space="preserve"> en dependencia de BZD, coingesta proconvulsivante o epilepsia.</w:t>
      </w:r>
    </w:p>
    <w:p>
      <w:pPr>
        <w:pStyle w:val="Heading3"/>
        <w:spacing w:after="140" w:before="280"/>
      </w:pPr>
      <w:r>
        <w:t xml:space="preserve">13.5 Coadyuvantes durante la VNI</w:t>
      </w:r>
    </w:p>
    <w:p>
      <w:pPr>
        <w:spacing w:after="100"/>
      </w:pPr>
      <w:r>
        <w:t xml:space="preserve">Nebulización sin interrumpir la VNI · morfina 2,5–5 mg IV titulada en intolerancia (BTS, solo entorno monitorizado) · HBPM en el encamado · los cuidados de confort de la §10.</w:t>
      </w:r>
    </w:p>
    <w:p>
      <w:pPr>
        <w:pStyle w:val="Heading3"/>
        <w:spacing w:after="140" w:before="280"/>
      </w:pPr>
      <w:r>
        <w:t xml:space="preserve">13.6 Ajustes locales pendientes</w:t>
      </w:r>
    </w:p>
    <w:p>
      <w:pPr>
        <w:spacing w:after="100"/>
      </w:pPr>
      <w:r>
        <w:t xml:space="preserve">Antibiótico empírico según el mapa de resistencias del área (F-1) y cotejo fino de las clases ESC (F-2); el resto de decisiones F-3…F-7 quedaron resueltas con la validación del documento de fármacos.</w:t>
      </w:r>
    </w:p>
    <w:p>
      <w:pPr>
        <w:pStyle w:val="Heading2"/>
        <w:pageBreakBefore/>
        <w:spacing w:after="140" w:before="280"/>
      </w:pPr>
      <w:bookmarkStart w:name="_Toc14" w:id="14"/>
      <w:r>
        <w:t xml:space="preserve">14. Bibliografía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ATS. Noninvasive Respiratory Support for Adult Patients with Acute Respiratory Failure: An Official American Thoracic Society Clinical Practice Guideline. Am J Respir Crit Care Med 2026;212:2135. doi:10.1093/ajrccm/aamag302.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Rochwerg B et al. Official ERS/ATS clinical practice guidelines: noninvasive ventilation for acute respiratory failure. Eur Respir J 2017;50:1602426.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Davidson AC et al. BTS/ICS guideline for the ventilatory management of acute hypercapnic respiratory failure in adults. Thorax 2016;71(Supl 2):ii1–ii35.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Luján M, Peñuelas Ó, Cinesi C et al. Sumario de recomendaciones… VNI y TAFCN en IRA grave (SEPAR/SEMICYUC/SEMES/SECIP/SENeo/SEDAR/SENP). Med Intensiva 2021;45:298-312 (+ documento extenso).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GOLD. Global Strategy for the Diagnosis, Management, and Prevention of COPD. Report 2026. goldcopd.org. </w:t>
      </w:r>
      <w:r>
        <w:rPr>
          <w:i/>
          <w:iCs/>
        </w:rPr>
        <w:t xml:space="preserve">(Umbral NIV: pH ≤7,35 y/o PaCO2 ≥45 mmHg + disnea con fatiga/↑trabajo — verificar texto 2026.)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McDonagh TA et al. 2021 ESC Guidelines for the diagnosis and treatment of acute and chronic heart failure. Eur Heart J 2021;42:3599-3726.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Osadnik CR et al. Cochrane Database Syst Rev 2017;7:CD004104 (VNI en EPOC).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Berbenetz N et al. Cochrane Database Syst Rev 2019:CD005351 (CPAP/binivel en EAP).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 WJ et al. Cochrane Database Syst Rev 2012:CD004360 (VNI en asma).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Homer-Bouthiette C, Wilson KC. Noninvasive Ventilation in Acute Asthma Exacerbations: A Systematic Review. Ann Am Thorac Soc 2025;22:776-784.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Sellarés J et al. Discontinuing noninvasive ventilation in severe COPD exacerbations: a randomised controlled trial. Eur Respir J 2017;50:1601448.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Duan J et al. HACOR score (derivación y validaciones, 2017-2022). Intensive Care Med 2017;43:192-199; Ann Intensive Care 2019;9:108.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 S et al. Out-of-hospital NIPPV in severe respiratory distress: systematic review and meta-analysis. Ann Emerg Med 2014;63:600-607.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 TW et al. Comparison of the SpO2/FiO2 ratio and the PaO2/FiO2 ratio (ARDSNet). Chest 2007;132:410-417.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Kelly AM et al. Agreement between arterial and venous blood gases (pH/HCO3) en agudos; Razi E et al. (pCO2 venosa, 2007).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Masip J et al. Indications and practical approach to non-invasive ventilation in acute heart failure. Eur Heart J 2018;39:17-25.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Artacho R et al. Manual de Soporte Respiratorio (cap. VMNI en fallo respiratorio agudo) y material didáctico asociado (Inicio VMNI; VMNI en EPOC: corrección de problemas).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Carratalá JM (coord.). Foster: Manual de ventilación mecánica no invasiva y alto flujo. 2020.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de VMNI del HUGCR; Fundamentos de VMNI (grupo VNI de SEMES); Neumosur (caps. 13-14, 3ª ed.).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Thys F, Liistro G et al. FiO2 estimada en ventiladores sin mezclador (tabla reproducida en Rev Am Med Resp 2021).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GesEPOC 2021 — síndrome de agudización de la EPOC. Arch Bronconeumol 2022;58:159-170.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GINA. Global Strategy for Asthma Management and Prevention (edición vigente). ginasthma.org.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GEMA — Guía Española para el Manejo del Asma (edición vigente). gemasma.org.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 Ballesteros JC. VNI en la IRA en urgencias: aplicabilidad y pronóstico. Tesis doctoral UCM, 2019.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Carrera Cueva C et al. Cap. 1309 Ventilación Mecánica No Invasiva (manual de urgencias, "RespVMNI").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Berend K, de Vries APJ, Gans ROB. Physiological approach to assessment of acid-base disturbances. N Engl J Med 2014;371:1434-1445.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Knudson RJ et al. The maximal expiratory flow-volume curve: normal standards, variability, and effects of age. Am Rev Respir Dis 1976;113:587-600.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Quanjer PH et al. Lung volumes and forced ventilatory flows. Official Statement of the European Respiratory Society. Eur Respir J 1993;6(Supl 16):5-40.</w:t>
      </w:r>
    </w:p>
    <w:p>
      <w:pPr>
        <w:pStyle w:val="Heading2"/>
        <w:spacing w:after="140" w:before="280"/>
      </w:pPr>
      <w:bookmarkStart w:name="_Toc15" w:id="15"/>
      <w:r>
        <w:t xml:space="preserve">Anexo A. Glosario de siglas y acrónimos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9"/>
        <w:gridCol w:w="5029"/>
      </w:tblGrid>
      <w:tr>
        <w:trPr>
          <w:tblHeader/>
        </w:trP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Antecedentes personales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APACHE II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Acute Physiology and Chronic Health Evaluation II (score de gravedad)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American Thoracic Society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AVAPS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Average Volume-Assured Pressure Support (presión de soporte con volumen medio asegurado)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BiPAP / binivel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con doble nivel de presión (IPAP + EPAP)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British Thoracic Society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continua en la vía aérea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DM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Diferencia de medias (metaanálisis)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Edema agudo de pulmón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ECA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Ensayo clínico aleatorizado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ECCO2R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Eliminación extracorpórea de CO2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ENM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Enfermedad neuromuscular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espiratoria en la vía aérea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Enfermedad pulmonar obstructiva crónica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Enfermedad renal crónica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European Respiratory Society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European Society of Cardiology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Frecuencia cardiaca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Fracción inspirada de oxígeno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FMO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multiorgánico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FQ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Fibrosis quística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Frecuencia respiratoria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 / GV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Gasometría arterial / venosa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GCS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Escala de coma de Glasgow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GN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Gafas nasales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GOLD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Global Initiative for Chronic Obstructive Lung Disease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GRADE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Sistema de gradación de la certeza de la evidencia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HACOR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Heart rate, Acidosis, Consciousness, Oxygenation, Respiratory rate (score de fracaso de VNI)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Bicarbonato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HME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Intercambiador de calor y humedad (humidificación pasiva)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HTA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Hipertensión arterial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HUGCR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Hospital Universitario Gran Canaria Dr. Negrín (manual de VMNI)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IAM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Infarto agudo de miocardio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IC / ICC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Insuficiencia cardiaca (congestiva)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IC95%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Intervalo de confianza al 95%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IMC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Índice de masa corporal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IOT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Intubación orotraqueal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inspiratoria en la vía aérea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I:E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Relación inspiración:espiración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IRA / IRC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Insuficiencia respiratoria aguda / crónica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LET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Limitación del esfuerzo terapéutico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NNT / NNTB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Número necesario a tratar (para beneficiar)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Odds ratio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/ pCO2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parcial de CO2 (arterial)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PaFi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Cociente PaO2/FiO2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PaO2 / pO2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parcial de O2 (arterial)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asistida proporcional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PC / PCV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controlada por presión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PEEP / autoPEEP (PEEPi)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al final de la espiración / PEEP intrínseca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de soporte (IPAP − EPAP)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PtcCO2 / TcPCO2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CO2 transcutáneo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ROX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Índice (SpO2/FiO2)/FR para alto flujo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Riesgo relativo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 / S/T / 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Modos espontáneo / espontáneo-programado / programado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SaFi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Cociente SpO2/FiO2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SAHOS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de apnea-hipopnea obstructiva del sueño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SBT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Prueba de respiración espontánea (spontaneous breathing trial)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SCA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coronario agudo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SDRA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de distrés respiratorio agudo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SEDAR / SECIP / SEMES / SEMICYUC / SENeo / SENP / SEPAR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Sociedades científicas españolas firmantes del consenso 2021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SHO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de hipoventilación-obesidad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SNG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Sonda nasogástrica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SpO2 / SaO2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Saturación de O2 por pulsioximetría / arterial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 / TAS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Tensión arterial (sistólica)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Terapia de alto flujo con cánulas nasales (HFNC)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Tiempo inspiratorio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UCI / HDU / UCRI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Unidad de cuidados intensivos / intermedios / respiratorios intermedios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VC / Vt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Volumen corriente (tidal)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VK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Ventimask (mascarilla Venturi)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VMD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mecánica domiciliaria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VMI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mecánica invasiva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VMNI / VNI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mecánica no invasiva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A7F8E" w:sz="8"/>
      </w:pBdr>
      <w:spacing w:after="160" w:before="420"/>
    </w:pPr>
    <w:rPr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b/>
      <w:bCs/>
      <w:color w:val="166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2A7F8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b/>
      <w:bCs/>
      <w:i/>
      <w:iCs/>
      <w:color w:val="5A6B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6416a0094ab7c186c9d571573b5b1908771b9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VMNI EN URGENCIAS — Base Científica de la aplicación</dc:title>
  <dc:creator>Carlos J. Galán Doval</dc:creator>
  <cp:lastModifiedBy>Un-named</cp:lastModifiedBy>
  <cp:revision>1</cp:revision>
  <dcterms:created xsi:type="dcterms:W3CDTF">2026-10-27T16:32:09.904Z</dcterms:created>
  <dcterms:modified xsi:type="dcterms:W3CDTF">2026-10-27T16:32:09.904Z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