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Científica de la aplicación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Las guías, la evidencia y los umbrales que fundamentan cada recomendación de la app — edición de divulgación para sus usuarios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Edición pública — generada el 27 de octubre de 2026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App: cjgaland.github.io/vmni-urgencias · código y proceso de revisión: github.com/cjgaland/vmni-urgencias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divulgativo para transparencia del proyecto. La app es una utilidad de apoyo a la decisión y docencia: no sustituye el criterio del profesional ni los protocolos de cada centro. Los umbrales marcados como provisionales están en proceso de revisión científica externa; el proceso completo de revisión puede consultarse en el repositorio del proyecto.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Modos ventilatorios en VMNI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(pendiente de revisión))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Bibliografía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propuesto, pendiente de revisión):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(pendiente de revisión)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No existen fórmulas propias del Vivo</w:t>
            </w:r>
            <w:r>
              <w:rPr>
                <w:color w:val="222222"/>
                <w:sz w:val="18"/>
                <w:szCs w:val="18"/>
              </w:rPr>
              <w:t xml:space="preserve">: el fabricante no las publica (su manual solo limita el O2 a 15 L/min y recomienda monitorizar)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 → la estimación es orientativa; titular por SpO2 y, si el equipo monta célula de FiO2, usar el valor medido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2.6 Clasificación ácido-base automática (añadida 27-10-2026)</w:t>
      </w:r>
    </w:p>
    <w:p>
      <w:pPr>
        <w:spacing w:after="100"/>
      </w:pPr>
      <w:r>
        <w:t xml:space="preserve">La app aplica en vivo, sobre pH + pCO2 + HCO3, la lectura sistemática del enfoque fisiológico (Berend, NEJM 2014 [26]) usando las fórmulas de §2.5: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</w:t>
      </w:r>
      <w:r>
        <w:t xml:space="preserve">: &lt;7,35 acidemia · &gt;7,45 alcalemia · en rango ≠ gasometría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Componente</w:t>
      </w:r>
      <w:r>
        <w:t xml:space="preserve">: pCO2 &gt;45 respiratorio · HCO3 &lt;22 (o &gt;26) metabólico · ambos en la misma dirección → </w:t>
      </w:r>
      <w:r>
        <w:rPr>
          <w:b/>
          <w:bCs/>
        </w:rPr>
        <w:t xml:space="preserve">mixto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Compensación</w:t>
      </w:r>
      <w:r>
        <w:t xml:space="preserve">: acidosis respiratoria → pH esperado agudo/crónico (0,008/0,003 por mmHg; entre ambos = </w:t>
      </w:r>
      <w:r>
        <w:rPr>
          <w:i/>
          <w:iCs/>
        </w:rPr>
        <w:t xml:space="preserve">crónica agudizada</w:t>
      </w:r>
      <w:r>
        <w:t xml:space="preserve">); acidosis metabólica → Winter ±2 (pCO2 real mayor = compensación insuficiente; menor = alcalosis respiratoria añadida).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 normal con pCO2/HCO3 alterados</w:t>
      </w:r>
      <w:r>
        <w:t xml:space="preserve"> → trastorno compensado o mixto equilibrado (aviso explícito: el retenedor crónico compensado no es indicación urgente de VNI por sí solo).</w:t>
      </w:r>
    </w:p>
    <w:p>
      <w:pPr>
        <w:spacing w:after="100"/>
      </w:pPr>
      <w:r>
        <w:t xml:space="preserve">En gasometría venosa se clasifica con el pH corregido (+0,03, §2.3) y se indica. Tolerancia de ±0,02 sobre los pH esperados para el corte agudo/crónico.</w:t>
      </w:r>
    </w:p>
    <w:p>
      <w:pPr>
        <w:pStyle w:val="Heading3"/>
        <w:spacing w:after="140" w:before="280"/>
      </w:pPr>
      <w:r>
        <w:t xml:space="preserve">2.7 Volúmenes y capacidades teóricos del espirograma docente (añadido 27-10-2026)</w:t>
      </w:r>
    </w:p>
    <w:p>
      <w:pPr>
        <w:spacing w:after="100"/>
      </w:pPr>
      <w:r>
        <w:t xml:space="preserve">Solo para el módulo docente (no intervienen en el motor de recomendación):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5726"/>
        <w:gridCol w:w="2576"/>
      </w:tblGrid>
      <w:tr>
        <w:trPr>
          <w:tblHeader/>
        </w:trP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PBW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misma de §2.5 (ARDSNet)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VT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PBW × 7 ml/kg (punto medio del rango fisiológico 6–8)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CV teórica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0,052×talla −0,022×edad −3,60 · Mujer: 0,041×talla −0,018×edad −2,69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Knudson 1976 [27]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VR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1,31×talla(m) +0,022×edad −1,23 · Mujer: 1,81×talla(m) +0,016×edad −2,00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ECSC/ERS, Quanjer 1993 [28]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Reparto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VRE = 25% de la CV (proporción del adulto tipo); VRI = CV − VT − VRE; CRF = VR+VRE; CPT = CV+VR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Fisiología clásica (West)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Validez: edad 16–100 años, talla 130–220 cm; fuera de rango la app no muestra valores.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Modos ventilatorios en VMNI</w:t>
      </w:r>
      <w:bookmarkEnd w:id="5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Añadido el 27-10-2026. La recomendación de modo por escenario (§5.3) y las reglas de cambio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según evolución (§5.4) alimentan el motor de la app → decisiones abiertas </w:t>
      </w:r>
      <w:r>
        <w:rPr>
          <w:b/>
          <w:bCs/>
          <w:color w:val="333333"/>
          <w:sz w:val="19"/>
          <w:szCs w:val="19"/>
        </w:rPr>
        <w:t xml:space="preserve">pendiente de revisión, pendiente de revisión y pendiente de revisión</w:t>
      </w:r>
      <w:r>
        <w:rPr>
          <w:color w:val="333333"/>
          <w:sz w:val="19"/>
          <w:szCs w:val="19"/>
        </w:rPr>
        <w:t xml:space="preserve"> (§14).</w:t>
      </w:r>
    </w:p>
    <w:p>
      <w:pPr>
        <w:pStyle w:val="Heading3"/>
        <w:spacing w:after="140" w:before="280"/>
      </w:pPr>
      <w:r>
        <w:t xml:space="preserve">5.1 Los pilares (los modos del día a día)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728"/>
        <w:gridCol w:w="2728"/>
        <w:gridCol w:w="2727"/>
      </w:tblGrid>
      <w:tr>
        <w:trPr>
          <w:tblHeader/>
        </w:trP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Indicación típica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 el parque del área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Una sola presión continua. No ventila: recluta alveolos, oxigena y descarga el ventrículo izquierdo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(equivalente a binivel en mortalidad e intubación); hipoxemia con shunt reclutable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· Vivo 50/60 · VITAE 40 · Boussignac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 (espontáneo)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Binivel puro: el paciente dispara y cicla todos los ciclos (presión de soporte sobre EPAP)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Paciente con estímulo respiratorio fiable; en agudos casi siempre se prefiere S/T (respaldo)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(S) · Vivo 50/60 (PSV sin respaldo)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S/T (espontáneo-programado)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S, pero con FR de respaldo: si el paciente no dispara en el tiempo programado, la máquina entrega un ciclo controlado por tiempo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El caballo de batalla del fallo hipercápnico</w:t>
            </w:r>
            <w:r>
              <w:rPr>
                <w:color w:val="222222"/>
                <w:sz w:val="18"/>
                <w:szCs w:val="18"/>
              </w:rPr>
              <w:t xml:space="preserve"> (EPOC, SHO, restrictivo) — consenso 2021 p.81-82; BTS 2016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(S/T) · Vivo 50/60 (PSV con FR de respaldo) · VITAE 40 (binivel)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 (programado)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Todos los ciclos los inicia y cicla la máquina (FR y Ti fijos); ignora el esfuerzo del paciente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estímulo respiratorio (sedación, encefalopatía profunda) cuando se decide mantener VNI; puente mientras se prepara otra cosa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(PCV con FR fija) · Vivo 50/60 (PCV)</w:t>
            </w:r>
          </w:p>
        </w:tc>
      </w:tr>
      <w:tr>
        <w:tc>
          <w:tcPr>
            <w:tcW w:type="dxa" w:w="14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PCV (controlada por presión)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inspiratoria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Ti fijo</w:t>
            </w:r>
            <w:r>
              <w:rPr>
                <w:color w:val="222222"/>
                <w:sz w:val="18"/>
                <w:szCs w:val="18"/>
              </w:rPr>
              <w:t xml:space="preserve"> programado; asiste los esfuerzos y asegura ciclos si no los hay</w:t>
            </w:r>
          </w:p>
        </w:tc>
        <w:tc>
          <w:tcPr>
            <w:tcW w:type="dxa" w:w="27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 (BTS rec. 52); asincronía de ciclado refractaria (el Ti fijo elimina el ciclado por flujo, que la fuga pervierte); restrictivo que necesita Ti largo</w:t>
            </w:r>
          </w:p>
        </w:tc>
        <w:tc>
          <w:tcPr>
            <w:tcW w:type="dxa" w:w="272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V60 (PCV) · Vivo 50/60 (PCV)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5.2 Modos avanzados: qué aportan y qué 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AVAPS / iVAPS (presión de soporte con objetivo de volumen).</w:t>
      </w:r>
      <w:r>
        <w:t xml:space="preserve"> La IPAP «flota» automáticamente entre un mínimo y un máximo para alcanzar un </w:t>
      </w:r>
      <w:r>
        <w:rPr>
          <w:b/>
          <w:bCs/>
        </w:rPr>
        <w:t xml:space="preserve">Vt medio objetivo</w:t>
      </w:r>
      <w:r>
        <w:t xml:space="preserve"> (AVAPS, Philips) o una </w:t>
      </w:r>
      <w:r>
        <w:rPr>
          <w:b/>
          <w:bCs/>
        </w:rPr>
        <w:t xml:space="preserve">ventilación alveolar objetivo</w:t>
      </w:r>
      <w:r>
        <w:t xml:space="preserve"> con FR inteligente (iVAPS, ResMed). Matiz clave: el ajuste es </w:t>
      </w:r>
      <w:r>
        <w:rPr>
          <w:b/>
          <w:bCs/>
        </w:rPr>
        <w:t xml:space="preserve">GRADUAL (~1 cmH2O/min en AVAPS), no respiración a respiración</w:t>
      </w:r>
      <w:r>
        <w:t xml:space="preserve"> — por eso </w:t>
      </w:r>
      <w:r>
        <w:rPr>
          <w:b/>
          <w:bCs/>
        </w:rPr>
        <w:t xml:space="preserve">no es un modo de rescate agudo</w:t>
      </w:r>
      <w:r>
        <w:t xml:space="preserve">: ante un deterioro brusco responde tarde. Su sitio es la hipoventilación sostenida (SHO, restrictivo) y el soporte prolongado/nocturno. Evidencia: en superobesos con fallo hipercápnico, AVAPS </w:t>
      </w:r>
      <w:r>
        <w:rPr>
          <w:b/>
          <w:bCs/>
        </w:rPr>
        <w:t xml:space="preserve">no mostró ventaja sobre una PS bien titulada</w:t>
      </w:r>
      <w:r>
        <w:t xml:space="preserve"> (Murphy, Thorax 2012 [29]). Parque: AVAPS en el V60; «volumen asegurado» en Vivo 50/60; iVAPS no disponible (equipos ResMed).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PAV y NAVA (modos proporcionales al esfuerzo).</w:t>
      </w:r>
      <w:r>
        <w:t xml:space="preserve"> Asisten en proporción al esfuerzo instantáneo del paciente (PAV por mecánica estimada; NAVA por la actividad eléctrica diafragmática, catéter Edi). </w:t>
      </w:r>
      <w:r>
        <w:rPr>
          <w:b/>
          <w:bCs/>
        </w:rPr>
        <w:t xml:space="preserve">Mejoran la sincronía</w:t>
      </w:r>
      <w:r>
        <w:t xml:space="preserve"> — NAVA reduce el índice de asincronías frente a PS en estudios fisiológicos de VMNI (Piquilloud 2012 [31]) — pero </w:t>
      </w:r>
      <w:r>
        <w:rPr>
          <w:b/>
          <w:bCs/>
        </w:rPr>
        <w:t xml:space="preserve">sin beneficio demostrado en resultados duros</w:t>
      </w:r>
      <w:r>
        <w:t xml:space="preserve"> (mortalidad, intubación). PAV+ es hoy casi exclusivo de la ventilación invasiva (la PAV no invasiva se probó en agudos: Gay 2001 [32]); NAVA exige catéter Edi y ventilador Servo (Getinge): </w:t>
      </w:r>
      <w:r>
        <w:rPr>
          <w:b/>
          <w:bCs/>
        </w:rPr>
        <w:t xml:space="preserve">ninguno disponible en el área</w:t>
      </w:r>
      <w:r>
        <w:t xml:space="preserve">. Valor en la app: docente.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PRVC (presión regulada con volumen garantizado).</w:t>
      </w:r>
      <w:r>
        <w:t xml:space="preserve"> Controlada por presión que retitula la presión respiración a respiración para garantizar el Vt. Adaptación de la invasiva; </w:t>
      </w:r>
      <w:r>
        <w:rPr>
          <w:b/>
          <w:bCs/>
        </w:rPr>
        <w:t xml:space="preserve">uso residual en VMNI aguda</w:t>
      </w:r>
      <w:r>
        <w:t xml:space="preserve"> (la fuga hace poco fiable el Vt medido).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ASV (ventilación servoadaptativa).</w:t>
      </w:r>
      <w:r>
        <w:t xml:space="preserve"> Presión de soporte anticíclica (asiste más cuando el paciente ventila menos) diseñada para la respiración periódica / apnea central. ⚠️ </w:t>
      </w:r>
      <w:r>
        <w:rPr>
          <w:b/>
          <w:bCs/>
        </w:rPr>
        <w:t xml:space="preserve">Aviso de seguridad obligatorio en la app:</w:t>
      </w:r>
      <w:r>
        <w:t xml:space="preserve"> </w:t>
      </w:r>
      <w:r>
        <w:rPr>
          <w:b/>
          <w:bCs/>
        </w:rPr>
        <w:t xml:space="preserve">contraindicada en la insuficiencia cardiaca con FEVI ≤45% y apnea central predominante</w:t>
      </w:r>
      <w:r>
        <w:t xml:space="preserve"> — el ensayo SERVE-HF (Cowie, NEJM 2015 [30]) mostró </w:t>
      </w:r>
      <w:r>
        <w:rPr>
          <w:b/>
          <w:bCs/>
        </w:rPr>
        <w:t xml:space="preserve">exceso de mortalidad cardiovascular</w:t>
      </w:r>
      <w:r>
        <w:t xml:space="preserve"> (HR 1,34) en ese grupo. No disponible en Urgencias del área, pero algunos pacientes la llevan domiciliaria (unidades de sueño): ante un EAP/IC descompensada, comprobarlo.</w:t>
      </w:r>
    </w:p>
    <w:p>
      <w:pPr>
        <w:pStyle w:val="Heading3"/>
        <w:spacing w:after="140" w:before="280"/>
      </w:pPr>
      <w:r>
        <w:t xml:space="preserve">5.3 Modo recomendado por escenario clínico ( (pendiente de revisión))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2"/>
        <w:gridCol w:w="2207"/>
        <w:gridCol w:w="2702"/>
        <w:gridCol w:w="2387"/>
      </w:tblGrid>
      <w:tr>
        <w:trPr>
          <w:tblHeader/>
        </w:trP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recomendado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Alternativas / matices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Referencia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/ IC aguda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Binivel S/T equivalente (preferirlo si hipercapnia, acidosis o fatiga)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ESC 2021; Masip 2018; Cochrane 2019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(pH &lt;7,35)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si acidemia leve (pH &gt;7,25) con monitorización (ATS 2026); PCV con Ti fijo si asincronía refractaria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ERS/ATS 2017 Q1b; consenso 2021; GOLD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/ restrictivo toracógeno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 con Ti largo (1,2–1,5 s);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± volumen asegurado</w:t>
            </w:r>
            <w:r>
              <w:rPr>
                <w:color w:val="222222"/>
                <w:sz w:val="18"/>
                <w:szCs w:val="18"/>
              </w:rPr>
              <w:t xml:space="preserve"> si Vt insuficiente pese a IPAP alta o para soporte prolongado/nocturno (no como rescate: ajuste gradual)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 rec. 57; consenso 2021; Murphy 2012 [29]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S/T o PCV con Ti largo</w:t>
            </w:r>
            <w:r>
              <w:rPr>
                <w:color w:val="222222"/>
                <w:sz w:val="18"/>
                <w:szCs w:val="18"/>
              </w:rPr>
              <w:t xml:space="preserve"> (PCV si disparo débil)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asegurado para soporte prolongado; no retrasar IOT si falla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 rec. 50–53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estímulo respiratorio / sedación (VNI mantenida)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</w:t>
            </w:r>
            <w:r>
              <w:rPr>
                <w:color w:val="222222"/>
                <w:sz w:val="18"/>
                <w:szCs w:val="18"/>
              </w:rPr>
              <w:t xml:space="preserve"> (o PCV con FR fija)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Solo en entorno monitorizado con vía aérea vigilada; reevaluar indicación de IOT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 (criterio operativo)</w:t>
            </w:r>
          </w:p>
        </w:tc>
      </w:tr>
      <w:tr>
        <w:tc>
          <w:tcPr>
            <w:tcW w:type="dxa" w:w="234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 de novo</w:t>
            </w:r>
          </w:p>
        </w:tc>
        <w:tc>
          <w:tcPr>
            <w:tcW w:type="dxa" w:w="22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(1.ª línea)</w:t>
            </w:r>
          </w:p>
        </w:tc>
        <w:tc>
          <w:tcPr>
            <w:tcW w:type="dxa" w:w="270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(mascarilla o helmet) o binivel según antecedentes</w:t>
            </w:r>
          </w:p>
        </w:tc>
        <w:tc>
          <w:tcPr>
            <w:tcW w:type="dxa" w:w="238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5.4 Cambio de modo según evolución ( (pendiente de revisión))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Asincronía persistente</w:t>
      </w:r>
      <w:r>
        <w:t xml:space="preserve"> pese a optimizar fugas, trigger, rampa y % de ciclado (§10) → valorar </w:t>
      </w:r>
      <w:r>
        <w:rPr>
          <w:b/>
          <w:bCs/>
        </w:rPr>
        <w:t xml:space="preserve">PCV con Ti fijo</w:t>
      </w:r>
      <w:r>
        <w:t xml:space="preserve"> (el ciclado por tiempo es inmune a la fuga).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insuficiente / hipoventilación persistente</w:t>
      </w:r>
      <w:r>
        <w:t xml:space="preserve"> pese a IPAP alta, o </w:t>
      </w:r>
      <w:r>
        <w:rPr>
          <w:b/>
          <w:bCs/>
        </w:rPr>
        <w:t xml:space="preserve">hipoventilación nocturna</w:t>
      </w:r>
      <w:r>
        <w:t xml:space="preserve"> con necesidad de soporte prolongado (SHO, restrictivo, ENM) → valorar </w:t>
      </w:r>
      <w:r>
        <w:rPr>
          <w:b/>
          <w:bCs/>
        </w:rPr>
        <w:t xml:space="preserve">volumen asegurado</w:t>
      </w:r>
      <w:r>
        <w:t xml:space="preserve"> (AVAPS en V60; volumen asegurado en Vivo 50/60).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Pérdida del estímulo respiratorio</w:t>
      </w:r>
      <w:r>
        <w:t xml:space="preserve"> (sedación, encefalopatía) manteniendo la VNI → </w:t>
      </w:r>
      <w:r>
        <w:rPr>
          <w:b/>
          <w:bCs/>
        </w:rPr>
        <w:t xml:space="preserve">modo T</w:t>
      </w:r>
      <w:r>
        <w:t xml:space="preserve">, y reevaluar la indicación de IOT.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cambio de modo </w:t>
      </w:r>
      <w:r>
        <w:rPr>
          <w:b/>
          <w:bCs/>
        </w:rPr>
        <w:t xml:space="preserve">nunca sustituye a la escalada</w:t>
      </w:r>
      <w:r>
        <w:t xml:space="preserve">: si se cumplen criterios de fracaso (§8.3), la salida es IOT/UCI, no otro modo.</w:t>
      </w: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Donde las fuentes discrepan se indica el rango y la opción propuesta, pendiente de revisión.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"/>
        <w:gridCol w:w="2981"/>
        <w:gridCol w:w="2981"/>
        <w:gridCol w:w="2980"/>
      </w:tblGrid>
      <w:tr>
        <w:trPr>
          <w:tblHeader/>
        </w:trP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pendiente de revisión)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(pendiente de revisión))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(pendiente de revisión))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con la tabla de banco §2.4 (orientativa); O2 máx. 15 L/min según fabricante; si monta célula de FiO2, prevalece el valor medido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Bibliografía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Berend K, de Vries APJ, Gans ROB. Physiological approach to assessment of acid-base disturbances. N Engl J Med 2014;371:1434-1445.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Knudson RJ et al. The maximal expiratory flow-volume curve: normal standards, variability, and effects of age. Am Rev Respir Dis 1976;113:587-600.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Quanjer PH et al. Lung volumes and forced ventilatory flows. Official Statement of the European Respiratory Society. Eur Respir J 1993;6(Supl 16):5-40.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Murphy PB et al. Volume targeted versus pressure support non-invasive ventilation in patients with super obesity and chronic respiratory failure: a randomised controlled trial. Thorax 2012;67:727-734.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Cowie MR et al. Adaptive servo-ventilation for central sleep apnea in systolic heart failure (SERVE-HF). N Engl J Med 2015;373:1095-1105.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Piquilloud L et al. Neurally adjusted ventilatory assist improves patient–ventilator interaction during non-invasive ventilation delivered by face mask. Intensive Care Med 2012;38:1624-1631.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Gay PC, Hess DR, Hill NS. Noninvasive proportional assist ventilation for acute respiratory insufficiency: comparison with pressure support ventilation. Am J Respir Crit Care Med 2001;164:1606-1611.</w:t>
      </w:r>
    </w:p>
    <w:p>
      <w:pPr>
        <w:pStyle w:val="Heading2"/>
        <w:spacing w:after="140" w:before="280"/>
      </w:pPr>
      <w:bookmarkStart w:name="_Toc15" w:id="15"/>
      <w:r>
        <w:t xml:space="preserve">Anexo A. Glosario de siglas y acrónimos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servoadaptativa (adaptive servo-ventilation)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Intelligent Volume-Assured Pressure Support (ventilación alveolar objetivo, ResMed)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NAVA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Neurally Adjusted Ventilatory Assist (asistencia ajustada a la actividad eléctrica diafragmática, catéter Edi)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PRVC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regulada con volumen garantizado (pressure-regulated volume control)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Científica de la aplicación</dc:title>
  <dc:creator>Carlos J. Galán Doval</dc:creator>
  <cp:lastModifiedBy>Un-named</cp:lastModifiedBy>
  <cp:revision>1</cp:revision>
  <dcterms:created xsi:type="dcterms:W3CDTF">2026-10-27T16:51:21.919Z</dcterms:created>
  <dcterms:modified xsi:type="dcterms:W3CDTF">2026-10-27T16:51:21.920Z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