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00" w:themeColor="text1"/>
          <w:sz w:val="52"/>
          <w:szCs w:val="52"/>
          <w:lang w:val="en-US" w:eastAsia="zh-CN"/>
          <w14:textFill>
            <w14:solidFill>
              <w14:schemeClr w14:val="tx1"/>
            </w14:solidFill>
          </w14:textFill>
        </w:rPr>
      </w:pPr>
      <w:r>
        <w:rPr>
          <w:rFonts w:hint="eastAsia" w:ascii="黑体" w:hAnsi="黑体" w:eastAsia="黑体" w:cs="宋体"/>
          <w:b/>
          <w:color w:val="0000FF"/>
          <w:sz w:val="52"/>
          <w:szCs w:val="52"/>
          <w:lang w:val="en-US" w:eastAsia="zh-CN"/>
        </w:rPr>
        <w:t>产品名</w:t>
      </w:r>
      <w:r>
        <w:rPr>
          <w:rFonts w:hint="eastAsia" w:ascii="黑体" w:hAnsi="黑体" w:eastAsia="黑体" w:cs="宋体"/>
          <w:b/>
          <w:color w:val="000000" w:themeColor="text1"/>
          <w:sz w:val="52"/>
          <w:szCs w:val="52"/>
          <w:lang w:val="en-US" w:eastAsia="zh-CN"/>
          <w14:textFill>
            <w14:solidFill>
              <w14:schemeClr w14:val="tx1"/>
            </w14:solidFill>
          </w14:textFill>
        </w:rPr>
        <w:t>风险管理计划</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46BDC4CE">
      <w:pPr>
        <w:pStyle w:val="16"/>
        <w:tabs>
          <w:tab w:val="right" w:leader="dot" w:pos="9638"/>
        </w:tabs>
      </w:pPr>
      <w:bookmarkStart w:id="80" w:name="_GoBack"/>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_Toc32619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 xml:space="preserve">1 </w:t>
      </w:r>
      <w:r>
        <w:rPr>
          <w:rFonts w:hint="eastAsia" w:ascii="Times New Roman" w:hAnsi="Times New Roman" w:cs="Times New Roman"/>
        </w:rPr>
        <w:t>介绍</w:t>
      </w:r>
      <w:r>
        <w:tab/>
      </w:r>
      <w:r>
        <w:fldChar w:fldCharType="begin"/>
      </w:r>
      <w:r>
        <w:instrText xml:space="preserve"> PAGEREF _Toc32619 \h </w:instrText>
      </w:r>
      <w:r>
        <w:fldChar w:fldCharType="separate"/>
      </w:r>
      <w:r>
        <w:t>4</w:t>
      </w:r>
      <w:r>
        <w:fldChar w:fldCharType="end"/>
      </w:r>
      <w:r>
        <w:rPr>
          <w:rFonts w:hint="eastAsia" w:asciiTheme="minorEastAsia" w:hAnsiTheme="minorEastAsia" w:eastAsiaTheme="minorEastAsia"/>
        </w:rPr>
        <w:fldChar w:fldCharType="end"/>
      </w:r>
    </w:p>
    <w:p w14:paraId="30F6270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_Toc29314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1.1 目的</w:t>
      </w:r>
      <w:r>
        <w:tab/>
      </w:r>
      <w:r>
        <w:fldChar w:fldCharType="begin"/>
      </w:r>
      <w:r>
        <w:instrText xml:space="preserve"> PAGEREF _Toc29314 \h </w:instrText>
      </w:r>
      <w:r>
        <w:fldChar w:fldCharType="separate"/>
      </w:r>
      <w:r>
        <w:t>4</w:t>
      </w:r>
      <w:r>
        <w:fldChar w:fldCharType="end"/>
      </w:r>
      <w:r>
        <w:rPr>
          <w:rFonts w:hint="eastAsia" w:asciiTheme="minorEastAsia" w:hAnsiTheme="minorEastAsia" w:eastAsiaTheme="minorEastAsia"/>
        </w:rPr>
        <w:fldChar w:fldCharType="end"/>
      </w:r>
    </w:p>
    <w:p w14:paraId="7F90AC1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_Toc13928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1.2 范围</w:t>
      </w:r>
      <w:r>
        <w:tab/>
      </w:r>
      <w:r>
        <w:fldChar w:fldCharType="begin"/>
      </w:r>
      <w:r>
        <w:instrText xml:space="preserve"> PAGEREF _Toc13928 \h </w:instrText>
      </w:r>
      <w:r>
        <w:fldChar w:fldCharType="separate"/>
      </w:r>
      <w:r>
        <w:t>4</w:t>
      </w:r>
      <w:r>
        <w:fldChar w:fldCharType="end"/>
      </w:r>
      <w:r>
        <w:rPr>
          <w:rFonts w:hint="eastAsia" w:asciiTheme="minorEastAsia" w:hAnsiTheme="minorEastAsia" w:eastAsiaTheme="minorEastAsia"/>
        </w:rPr>
        <w:fldChar w:fldCharType="end"/>
      </w:r>
    </w:p>
    <w:p w14:paraId="689A674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_Toc14501 </w:instrText>
      </w:r>
      <w:r>
        <w:rPr>
          <w:rFonts w:hint="eastAsia" w:asciiTheme="minorEastAsia" w:hAnsiTheme="minorEastAsia" w:eastAsiaTheme="minorEastAsia"/>
        </w:rPr>
        <w:fldChar w:fldCharType="separate"/>
      </w:r>
      <w:r>
        <w:rPr>
          <w:rFonts w:ascii="Arial Regular" w:hAnsi="Arial Regular" w:cs="Arial Regular"/>
          <w:bCs/>
        </w:rPr>
        <w:t>1.2.1 定义</w:t>
      </w:r>
      <w:r>
        <w:tab/>
      </w:r>
      <w:r>
        <w:fldChar w:fldCharType="begin"/>
      </w:r>
      <w:r>
        <w:instrText xml:space="preserve"> PAGEREF _Toc14501 \h </w:instrText>
      </w:r>
      <w:r>
        <w:fldChar w:fldCharType="separate"/>
      </w:r>
      <w:r>
        <w:t>4</w:t>
      </w:r>
      <w:r>
        <w:fldChar w:fldCharType="end"/>
      </w:r>
      <w:r>
        <w:rPr>
          <w:rFonts w:hint="eastAsia" w:asciiTheme="minorEastAsia" w:hAnsiTheme="minorEastAsia" w:eastAsiaTheme="minorEastAsia"/>
        </w:rPr>
        <w:fldChar w:fldCharType="end"/>
      </w:r>
    </w:p>
    <w:p w14:paraId="063C1AF3">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_Toc6095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1.2.2 </w:t>
      </w:r>
      <w:r>
        <w:rPr>
          <w:rFonts w:hint="default" w:ascii="Arial Regular" w:hAnsi="Arial Regular" w:cs="Arial Regular"/>
          <w:bCs/>
          <w:lang w:eastAsia="zh-CN"/>
        </w:rPr>
        <w:t>缩略语</w:t>
      </w:r>
      <w:r>
        <w:tab/>
      </w:r>
      <w:r>
        <w:fldChar w:fldCharType="begin"/>
      </w:r>
      <w:r>
        <w:instrText xml:space="preserve"> PAGEREF _Toc6095 \h </w:instrText>
      </w:r>
      <w:r>
        <w:fldChar w:fldCharType="separate"/>
      </w:r>
      <w:r>
        <w:t>4</w:t>
      </w:r>
      <w:r>
        <w:fldChar w:fldCharType="end"/>
      </w:r>
      <w:r>
        <w:rPr>
          <w:rFonts w:hint="eastAsia" w:asciiTheme="minorEastAsia" w:hAnsiTheme="minorEastAsia" w:eastAsiaTheme="minorEastAsia"/>
        </w:rPr>
        <w:fldChar w:fldCharType="end"/>
      </w:r>
    </w:p>
    <w:p w14:paraId="2C63C02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_Toc6563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1.3 参考文件</w:t>
      </w:r>
      <w:r>
        <w:tab/>
      </w:r>
      <w:r>
        <w:fldChar w:fldCharType="begin"/>
      </w:r>
      <w:r>
        <w:instrText xml:space="preserve"> PAGEREF _Toc6563 \h </w:instrText>
      </w:r>
      <w:r>
        <w:fldChar w:fldCharType="separate"/>
      </w:r>
      <w:r>
        <w:t>4</w:t>
      </w:r>
      <w:r>
        <w:fldChar w:fldCharType="end"/>
      </w:r>
      <w:r>
        <w:rPr>
          <w:rFonts w:hint="eastAsia" w:asciiTheme="minorEastAsia" w:hAnsiTheme="minorEastAsia" w:eastAsiaTheme="minorEastAsia"/>
        </w:rPr>
        <w:fldChar w:fldCharType="end"/>
      </w:r>
    </w:p>
    <w:p w14:paraId="77AED52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_Toc865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2 职责和权限的分配</w:t>
      </w:r>
      <w:r>
        <w:tab/>
      </w:r>
      <w:r>
        <w:fldChar w:fldCharType="begin"/>
      </w:r>
      <w:r>
        <w:instrText xml:space="preserve"> PAGEREF _Toc865 \h </w:instrText>
      </w:r>
      <w:r>
        <w:fldChar w:fldCharType="separate"/>
      </w:r>
      <w:r>
        <w:t>5</w:t>
      </w:r>
      <w:r>
        <w:fldChar w:fldCharType="end"/>
      </w:r>
      <w:r>
        <w:rPr>
          <w:rFonts w:hint="eastAsia" w:asciiTheme="minorEastAsia" w:hAnsiTheme="minorEastAsia" w:eastAsiaTheme="minorEastAsia"/>
        </w:rPr>
        <w:fldChar w:fldCharType="end"/>
      </w:r>
    </w:p>
    <w:p w14:paraId="28758188">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_Toc20709 </w:instrText>
      </w:r>
      <w:r>
        <w:rPr>
          <w:rFonts w:hint="eastAsia" w:asciiTheme="minorEastAsia" w:hAnsiTheme="minorEastAsia" w:eastAsiaTheme="minorEastAsia"/>
        </w:rPr>
        <w:fldChar w:fldCharType="separate"/>
      </w:r>
      <w:r>
        <w:rPr>
          <w:rFonts w:ascii="宋体" w:hAnsi="宋体"/>
          <w:szCs w:val="24"/>
          <w:lang w:eastAsia="zh-CN"/>
        </w:rPr>
        <w:t xml:space="preserve">2.1 </w:t>
      </w:r>
      <w:r>
        <w:rPr>
          <w:rFonts w:hint="eastAsia" w:ascii="宋体" w:hAnsi="宋体"/>
          <w:szCs w:val="24"/>
          <w:lang w:eastAsia="zh-CN"/>
        </w:rPr>
        <w:t>风险负责人</w:t>
      </w:r>
      <w:r>
        <w:tab/>
      </w:r>
      <w:r>
        <w:fldChar w:fldCharType="begin"/>
      </w:r>
      <w:r>
        <w:instrText xml:space="preserve"> PAGEREF _Toc20709 \h </w:instrText>
      </w:r>
      <w:r>
        <w:fldChar w:fldCharType="separate"/>
      </w:r>
      <w:r>
        <w:t>5</w:t>
      </w:r>
      <w:r>
        <w:fldChar w:fldCharType="end"/>
      </w:r>
      <w:r>
        <w:rPr>
          <w:rFonts w:hint="eastAsia" w:asciiTheme="minorEastAsia" w:hAnsiTheme="minorEastAsia" w:eastAsiaTheme="minorEastAsia"/>
        </w:rPr>
        <w:fldChar w:fldCharType="end"/>
      </w:r>
    </w:p>
    <w:p w14:paraId="51DA81B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_Toc32463 </w:instrText>
      </w:r>
      <w:r>
        <w:rPr>
          <w:rFonts w:hint="eastAsia" w:asciiTheme="minorEastAsia" w:hAnsiTheme="minorEastAsia" w:eastAsiaTheme="minorEastAsia"/>
        </w:rPr>
        <w:fldChar w:fldCharType="separate"/>
      </w:r>
      <w:r>
        <w:rPr>
          <w:rFonts w:ascii="宋体" w:hAnsi="宋体"/>
          <w:szCs w:val="24"/>
        </w:rPr>
        <w:t xml:space="preserve">2.2 </w:t>
      </w:r>
      <w:r>
        <w:rPr>
          <w:rFonts w:hint="eastAsia" w:ascii="宋体" w:hAnsi="宋体"/>
          <w:szCs w:val="24"/>
          <w:lang w:eastAsia="zh-CN"/>
        </w:rPr>
        <w:t>风险管理小组</w:t>
      </w:r>
      <w:r>
        <w:tab/>
      </w:r>
      <w:r>
        <w:fldChar w:fldCharType="begin"/>
      </w:r>
      <w:r>
        <w:instrText xml:space="preserve"> PAGEREF _Toc32463 \h </w:instrText>
      </w:r>
      <w:r>
        <w:fldChar w:fldCharType="separate"/>
      </w:r>
      <w:r>
        <w:t>5</w:t>
      </w:r>
      <w:r>
        <w:fldChar w:fldCharType="end"/>
      </w:r>
      <w:r>
        <w:rPr>
          <w:rFonts w:hint="eastAsia" w:asciiTheme="minorEastAsia" w:hAnsiTheme="minorEastAsia" w:eastAsiaTheme="minorEastAsia"/>
        </w:rPr>
        <w:fldChar w:fldCharType="end"/>
      </w:r>
    </w:p>
    <w:p w14:paraId="2F4F43CF">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_Toc19872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3 风险管理</w:t>
      </w:r>
      <w:r>
        <w:rPr>
          <w:rFonts w:hint="default" w:ascii="Times New Roman" w:hAnsi="Times New Roman" w:cs="Times New Roman"/>
          <w:lang w:eastAsia="zh-CN"/>
        </w:rPr>
        <w:t>过程</w:t>
      </w:r>
      <w:r>
        <w:tab/>
      </w:r>
      <w:r>
        <w:fldChar w:fldCharType="begin"/>
      </w:r>
      <w:r>
        <w:instrText xml:space="preserve"> PAGEREF _Toc19872 \h </w:instrText>
      </w:r>
      <w:r>
        <w:fldChar w:fldCharType="separate"/>
      </w:r>
      <w:r>
        <w:t>5</w:t>
      </w:r>
      <w:r>
        <w:fldChar w:fldCharType="end"/>
      </w:r>
      <w:r>
        <w:rPr>
          <w:rFonts w:hint="eastAsia" w:asciiTheme="minorEastAsia" w:hAnsiTheme="minorEastAsia" w:eastAsiaTheme="minorEastAsia"/>
        </w:rPr>
        <w:fldChar w:fldCharType="end"/>
      </w:r>
    </w:p>
    <w:p w14:paraId="6AC90F79">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_Toc17332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4 风险管理活动的评审要求</w:t>
      </w:r>
      <w:r>
        <w:tab/>
      </w:r>
      <w:r>
        <w:fldChar w:fldCharType="begin"/>
      </w:r>
      <w:r>
        <w:instrText xml:space="preserve"> PAGEREF _Toc17332 \h </w:instrText>
      </w:r>
      <w:r>
        <w:fldChar w:fldCharType="separate"/>
      </w:r>
      <w:r>
        <w:t>6</w:t>
      </w:r>
      <w:r>
        <w:fldChar w:fldCharType="end"/>
      </w:r>
      <w:r>
        <w:rPr>
          <w:rFonts w:hint="eastAsia" w:asciiTheme="minorEastAsia" w:hAnsiTheme="minorEastAsia" w:eastAsiaTheme="minorEastAsia"/>
        </w:rPr>
        <w:fldChar w:fldCharType="end"/>
      </w:r>
    </w:p>
    <w:p w14:paraId="4037256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_Toc13648 </w:instrText>
      </w:r>
      <w:r>
        <w:rPr>
          <w:rFonts w:hint="eastAsia" w:asciiTheme="minorEastAsia" w:hAnsiTheme="minorEastAsia" w:eastAsiaTheme="minorEastAsia"/>
        </w:rPr>
        <w:fldChar w:fldCharType="separate"/>
      </w:r>
      <w:r>
        <w:rPr>
          <w:rFonts w:hint="eastAsia" w:ascii="Times New Roman" w:hAnsi="Times New Roman" w:cs="Times New Roman"/>
        </w:rPr>
        <w:t>5 概述</w:t>
      </w:r>
      <w:r>
        <w:tab/>
      </w:r>
      <w:r>
        <w:fldChar w:fldCharType="begin"/>
      </w:r>
      <w:r>
        <w:instrText xml:space="preserve"> PAGEREF _Toc13648 \h </w:instrText>
      </w:r>
      <w:r>
        <w:fldChar w:fldCharType="separate"/>
      </w:r>
      <w:r>
        <w:t>7</w:t>
      </w:r>
      <w:r>
        <w:fldChar w:fldCharType="end"/>
      </w:r>
      <w:r>
        <w:rPr>
          <w:rFonts w:hint="eastAsia" w:asciiTheme="minorEastAsia" w:hAnsiTheme="minorEastAsia" w:eastAsiaTheme="minorEastAsia"/>
        </w:rPr>
        <w:fldChar w:fldCharType="end"/>
      </w:r>
    </w:p>
    <w:p w14:paraId="71EBDCB3">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_Toc12965 </w:instrText>
      </w:r>
      <w:r>
        <w:rPr>
          <w:rFonts w:hint="eastAsia" w:asciiTheme="minorEastAsia" w:hAnsiTheme="minorEastAsia" w:eastAsiaTheme="minorEastAsia"/>
        </w:rPr>
        <w:fldChar w:fldCharType="separate"/>
      </w:r>
      <w:r>
        <w:t xml:space="preserve">5.1 </w:t>
      </w:r>
      <w:r>
        <w:rPr>
          <w:rFonts w:hint="eastAsia"/>
        </w:rPr>
        <w:t>产品概述</w:t>
      </w:r>
      <w:r>
        <w:tab/>
      </w:r>
      <w:r>
        <w:fldChar w:fldCharType="begin"/>
      </w:r>
      <w:r>
        <w:instrText xml:space="preserve"> PAGEREF _Toc12965 \h </w:instrText>
      </w:r>
      <w:r>
        <w:fldChar w:fldCharType="separate"/>
      </w:r>
      <w:r>
        <w:t>7</w:t>
      </w:r>
      <w:r>
        <w:fldChar w:fldCharType="end"/>
      </w:r>
      <w:r>
        <w:rPr>
          <w:rFonts w:hint="eastAsia" w:asciiTheme="minorEastAsia" w:hAnsiTheme="minorEastAsia" w:eastAsiaTheme="minorEastAsia"/>
        </w:rPr>
        <w:fldChar w:fldCharType="end"/>
      </w:r>
    </w:p>
    <w:p w14:paraId="127E5EF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_Toc6940 </w:instrText>
      </w:r>
      <w:r>
        <w:rPr>
          <w:rFonts w:hint="eastAsia" w:asciiTheme="minorEastAsia" w:hAnsiTheme="minorEastAsia" w:eastAsiaTheme="minorEastAsia"/>
        </w:rPr>
        <w:fldChar w:fldCharType="separate"/>
      </w:r>
      <w:r>
        <w:t xml:space="preserve">5.2 </w:t>
      </w:r>
      <w:r>
        <w:rPr>
          <w:rFonts w:hint="eastAsia"/>
        </w:rPr>
        <w:t>适用范围</w:t>
      </w:r>
      <w:r>
        <w:tab/>
      </w:r>
      <w:r>
        <w:fldChar w:fldCharType="begin"/>
      </w:r>
      <w:r>
        <w:instrText xml:space="preserve"> PAGEREF _Toc6940 \h </w:instrText>
      </w:r>
      <w:r>
        <w:fldChar w:fldCharType="separate"/>
      </w:r>
      <w:r>
        <w:t>7</w:t>
      </w:r>
      <w:r>
        <w:fldChar w:fldCharType="end"/>
      </w:r>
      <w:r>
        <w:rPr>
          <w:rFonts w:hint="eastAsia" w:asciiTheme="minorEastAsia" w:hAnsiTheme="minorEastAsia" w:eastAsiaTheme="minorEastAsia"/>
        </w:rPr>
        <w:fldChar w:fldCharType="end"/>
      </w:r>
    </w:p>
    <w:p w14:paraId="5A4983A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_Toc31623 </w:instrText>
      </w:r>
      <w:r>
        <w:rPr>
          <w:rFonts w:hint="eastAsia" w:asciiTheme="minorEastAsia" w:hAnsiTheme="minorEastAsia" w:eastAsiaTheme="minorEastAsia"/>
        </w:rPr>
        <w:fldChar w:fldCharType="separate"/>
      </w:r>
      <w:r>
        <w:t xml:space="preserve">5.3 </w:t>
      </w:r>
      <w:r>
        <w:rPr>
          <w:rFonts w:hint="eastAsia"/>
          <w:woUserID w:val="1"/>
        </w:rPr>
        <w:t>适应症</w:t>
      </w:r>
      <w:r>
        <w:tab/>
      </w:r>
      <w:r>
        <w:fldChar w:fldCharType="begin"/>
      </w:r>
      <w:r>
        <w:instrText xml:space="preserve"> PAGEREF _Toc31623 \h </w:instrText>
      </w:r>
      <w:r>
        <w:fldChar w:fldCharType="separate"/>
      </w:r>
      <w:r>
        <w:t>7</w:t>
      </w:r>
      <w:r>
        <w:fldChar w:fldCharType="end"/>
      </w:r>
      <w:r>
        <w:rPr>
          <w:rFonts w:hint="eastAsia" w:asciiTheme="minorEastAsia" w:hAnsiTheme="minorEastAsia" w:eastAsiaTheme="minorEastAsia"/>
        </w:rPr>
        <w:fldChar w:fldCharType="end"/>
      </w:r>
    </w:p>
    <w:p w14:paraId="42DD3BE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_Toc6978 </w:instrText>
      </w:r>
      <w:r>
        <w:rPr>
          <w:rFonts w:hint="eastAsia" w:asciiTheme="minorEastAsia" w:hAnsiTheme="minorEastAsia" w:eastAsiaTheme="minorEastAsia"/>
        </w:rPr>
        <w:fldChar w:fldCharType="separate"/>
      </w:r>
      <w:r>
        <w:t xml:space="preserve">5.4 </w:t>
      </w:r>
      <w:r>
        <w:rPr>
          <w:rFonts w:hint="eastAsia"/>
        </w:rPr>
        <w:t>禁忌症</w:t>
      </w:r>
      <w:r>
        <w:tab/>
      </w:r>
      <w:r>
        <w:fldChar w:fldCharType="begin"/>
      </w:r>
      <w:r>
        <w:instrText xml:space="preserve"> PAGEREF _Toc6978 \h </w:instrText>
      </w:r>
      <w:r>
        <w:fldChar w:fldCharType="separate"/>
      </w:r>
      <w:r>
        <w:t>7</w:t>
      </w:r>
      <w:r>
        <w:fldChar w:fldCharType="end"/>
      </w:r>
      <w:r>
        <w:rPr>
          <w:rFonts w:hint="eastAsia" w:asciiTheme="minorEastAsia" w:hAnsiTheme="minorEastAsia" w:eastAsiaTheme="minorEastAsia"/>
        </w:rPr>
        <w:fldChar w:fldCharType="end"/>
      </w:r>
    </w:p>
    <w:p w14:paraId="349B6BF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_Toc3529 </w:instrText>
      </w:r>
      <w:r>
        <w:rPr>
          <w:rFonts w:hint="eastAsia" w:asciiTheme="minorEastAsia" w:hAnsiTheme="minorEastAsia" w:eastAsiaTheme="minorEastAsia"/>
        </w:rPr>
        <w:fldChar w:fldCharType="separate"/>
      </w:r>
      <w:r>
        <w:rPr>
          <w:rFonts w:hint="eastAsia"/>
        </w:rPr>
        <w:t>5.5 产品示意图</w:t>
      </w:r>
      <w:r>
        <w:tab/>
      </w:r>
      <w:r>
        <w:fldChar w:fldCharType="begin"/>
      </w:r>
      <w:r>
        <w:instrText xml:space="preserve"> PAGEREF _Toc3529 \h </w:instrText>
      </w:r>
      <w:r>
        <w:fldChar w:fldCharType="separate"/>
      </w:r>
      <w:r>
        <w:t>8</w:t>
      </w:r>
      <w:r>
        <w:fldChar w:fldCharType="end"/>
      </w:r>
      <w:r>
        <w:rPr>
          <w:rFonts w:hint="eastAsia" w:asciiTheme="minorEastAsia" w:hAnsiTheme="minorEastAsia" w:eastAsiaTheme="minorEastAsia"/>
        </w:rPr>
        <w:fldChar w:fldCharType="end"/>
      </w:r>
    </w:p>
    <w:p w14:paraId="67A8BC42">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_Toc17151 </w:instrText>
      </w:r>
      <w:r>
        <w:rPr>
          <w:rFonts w:hint="eastAsia" w:asciiTheme="minorEastAsia" w:hAnsiTheme="minorEastAsia" w:eastAsiaTheme="minorEastAsia"/>
        </w:rPr>
        <w:fldChar w:fldCharType="separate"/>
      </w:r>
      <w:r>
        <w:rPr>
          <w:rFonts w:hint="eastAsia" w:ascii="Times New Roman" w:hAnsi="Times New Roman" w:cs="Times New Roman"/>
        </w:rPr>
        <w:t>6 风险可接受准则</w:t>
      </w:r>
      <w:r>
        <w:tab/>
      </w:r>
      <w:r>
        <w:fldChar w:fldCharType="begin"/>
      </w:r>
      <w:r>
        <w:instrText xml:space="preserve"> PAGEREF _Toc17151 \h </w:instrText>
      </w:r>
      <w:r>
        <w:fldChar w:fldCharType="separate"/>
      </w:r>
      <w:r>
        <w:t>8</w:t>
      </w:r>
      <w:r>
        <w:fldChar w:fldCharType="end"/>
      </w:r>
      <w:r>
        <w:rPr>
          <w:rFonts w:hint="eastAsia" w:asciiTheme="minorEastAsia" w:hAnsiTheme="minorEastAsia" w:eastAsiaTheme="minorEastAsia"/>
        </w:rPr>
        <w:fldChar w:fldCharType="end"/>
      </w:r>
    </w:p>
    <w:p w14:paraId="6493F02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_Toc14129 </w:instrText>
      </w:r>
      <w:r>
        <w:rPr>
          <w:rFonts w:hint="eastAsia" w:asciiTheme="minorEastAsia" w:hAnsiTheme="minorEastAsia" w:eastAsiaTheme="minorEastAsia"/>
        </w:rPr>
        <w:fldChar w:fldCharType="separate"/>
      </w:r>
      <w:r>
        <w:t xml:space="preserve">6.1.1 </w:t>
      </w:r>
      <w:r>
        <w:rPr>
          <w:rFonts w:hint="eastAsia"/>
          <w:woUserID w:val="1"/>
        </w:rPr>
        <w:t>发生概率（O）等级的评定准则</w:t>
      </w:r>
      <w:r>
        <w:tab/>
      </w:r>
      <w:r>
        <w:fldChar w:fldCharType="begin"/>
      </w:r>
      <w:r>
        <w:instrText xml:space="preserve"> PAGEREF _Toc14129 \h </w:instrText>
      </w:r>
      <w:r>
        <w:fldChar w:fldCharType="separate"/>
      </w:r>
      <w:r>
        <w:t>8</w:t>
      </w:r>
      <w:r>
        <w:fldChar w:fldCharType="end"/>
      </w:r>
      <w:r>
        <w:rPr>
          <w:rFonts w:hint="eastAsia" w:asciiTheme="minorEastAsia" w:hAnsiTheme="minorEastAsia" w:eastAsiaTheme="minorEastAsia"/>
        </w:rPr>
        <w:fldChar w:fldCharType="end"/>
      </w:r>
    </w:p>
    <w:p w14:paraId="4FA6900C">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_Toc12425 </w:instrText>
      </w:r>
      <w:r>
        <w:rPr>
          <w:rFonts w:hint="eastAsia" w:asciiTheme="minorEastAsia" w:hAnsiTheme="minorEastAsia" w:eastAsiaTheme="minorEastAsia"/>
        </w:rPr>
        <w:fldChar w:fldCharType="separate"/>
      </w:r>
      <w:r>
        <w:t xml:space="preserve">6.1.2 </w:t>
      </w:r>
      <w:r>
        <w:rPr>
          <w:rFonts w:hint="eastAsia"/>
          <w:woUserID w:val="1"/>
        </w:rPr>
        <w:t>严重度（S）等级的评定准则</w:t>
      </w:r>
      <w:r>
        <w:tab/>
      </w:r>
      <w:r>
        <w:fldChar w:fldCharType="begin"/>
      </w:r>
      <w:r>
        <w:instrText xml:space="preserve"> PAGEREF _Toc12425 \h </w:instrText>
      </w:r>
      <w:r>
        <w:fldChar w:fldCharType="separate"/>
      </w:r>
      <w:r>
        <w:t>8</w:t>
      </w:r>
      <w:r>
        <w:fldChar w:fldCharType="end"/>
      </w:r>
      <w:r>
        <w:rPr>
          <w:rFonts w:hint="eastAsia" w:asciiTheme="minorEastAsia" w:hAnsiTheme="minorEastAsia" w:eastAsiaTheme="minorEastAsia"/>
        </w:rPr>
        <w:fldChar w:fldCharType="end"/>
      </w:r>
    </w:p>
    <w:p w14:paraId="4FEBEEAE">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_Toc20068 </w:instrText>
      </w:r>
      <w:r>
        <w:rPr>
          <w:rFonts w:hint="eastAsia" w:asciiTheme="minorEastAsia" w:hAnsiTheme="minorEastAsia" w:eastAsiaTheme="minorEastAsia"/>
        </w:rPr>
        <w:fldChar w:fldCharType="separate"/>
      </w:r>
      <w:r>
        <w:t xml:space="preserve">6.1.3 </w:t>
      </w:r>
      <w:r>
        <w:rPr>
          <w:rFonts w:hint="eastAsia"/>
        </w:rPr>
        <w:t>风险</w:t>
      </w:r>
      <w:r>
        <w:rPr>
          <w:rFonts w:hint="default"/>
          <w:woUserID w:val="1"/>
        </w:rPr>
        <w:t>可接受的评定</w:t>
      </w:r>
      <w:r>
        <w:rPr>
          <w:rFonts w:hint="eastAsia"/>
        </w:rPr>
        <w:t>准则</w:t>
      </w:r>
      <w:r>
        <w:tab/>
      </w:r>
      <w:r>
        <w:fldChar w:fldCharType="begin"/>
      </w:r>
      <w:r>
        <w:instrText xml:space="preserve"> PAGEREF _Toc20068 \h </w:instrText>
      </w:r>
      <w:r>
        <w:fldChar w:fldCharType="separate"/>
      </w:r>
      <w:r>
        <w:t>9</w:t>
      </w:r>
      <w:r>
        <w:fldChar w:fldCharType="end"/>
      </w:r>
      <w:r>
        <w:rPr>
          <w:rFonts w:hint="eastAsia" w:asciiTheme="minorEastAsia" w:hAnsiTheme="minorEastAsia" w:eastAsiaTheme="minorEastAsia"/>
        </w:rPr>
        <w:fldChar w:fldCharType="end"/>
      </w:r>
    </w:p>
    <w:p w14:paraId="7F5C6DC1">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_Toc29723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7 上市前产品风险管理活动、风险管理评审和验证活动计划</w:t>
      </w:r>
      <w:r>
        <w:tab/>
      </w:r>
      <w:r>
        <w:fldChar w:fldCharType="begin"/>
      </w:r>
      <w:r>
        <w:instrText xml:space="preserve"> PAGEREF _Toc29723 \h </w:instrText>
      </w:r>
      <w:r>
        <w:fldChar w:fldCharType="separate"/>
      </w:r>
      <w:r>
        <w:t>9</w:t>
      </w:r>
      <w:r>
        <w:fldChar w:fldCharType="end"/>
      </w:r>
      <w:r>
        <w:rPr>
          <w:rFonts w:hint="eastAsia" w:asciiTheme="minorEastAsia" w:hAnsiTheme="minorEastAsia" w:eastAsiaTheme="minorEastAsia"/>
        </w:rPr>
        <w:fldChar w:fldCharType="end"/>
      </w:r>
    </w:p>
    <w:p w14:paraId="1179F96F">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_Toc28237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8 风险管理的可追溯性</w:t>
      </w:r>
      <w:r>
        <w:tab/>
      </w:r>
      <w:r>
        <w:fldChar w:fldCharType="begin"/>
      </w:r>
      <w:r>
        <w:instrText xml:space="preserve"> PAGEREF _Toc28237 \h </w:instrText>
      </w:r>
      <w:r>
        <w:fldChar w:fldCharType="separate"/>
      </w:r>
      <w:r>
        <w:t>14</w:t>
      </w:r>
      <w:r>
        <w:fldChar w:fldCharType="end"/>
      </w:r>
      <w:r>
        <w:rPr>
          <w:rFonts w:hint="eastAsia" w:asciiTheme="minorEastAsia" w:hAnsiTheme="minorEastAsia" w:eastAsiaTheme="minorEastAsia"/>
        </w:rPr>
        <w:fldChar w:fldCharType="end"/>
      </w:r>
    </w:p>
    <w:p w14:paraId="63ACF566">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_Toc16932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9 风险控制措施实施和有效性的确认</w:t>
      </w:r>
      <w:r>
        <w:tab/>
      </w:r>
      <w:r>
        <w:fldChar w:fldCharType="begin"/>
      </w:r>
      <w:r>
        <w:instrText xml:space="preserve"> PAGEREF _Toc16932 \h </w:instrText>
      </w:r>
      <w:r>
        <w:fldChar w:fldCharType="separate"/>
      </w:r>
      <w:r>
        <w:t>14</w:t>
      </w:r>
      <w:r>
        <w:fldChar w:fldCharType="end"/>
      </w:r>
      <w:r>
        <w:rPr>
          <w:rFonts w:hint="eastAsia" w:asciiTheme="minorEastAsia" w:hAnsiTheme="minorEastAsia" w:eastAsiaTheme="minorEastAsia"/>
        </w:rPr>
        <w:fldChar w:fldCharType="end"/>
      </w:r>
    </w:p>
    <w:p w14:paraId="1DE7070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_Toc12808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10 生产和生产后持续进行风险管理的方法</w:t>
      </w:r>
      <w:r>
        <w:tab/>
      </w:r>
      <w:r>
        <w:fldChar w:fldCharType="begin"/>
      </w:r>
      <w:r>
        <w:instrText xml:space="preserve"> PAGEREF _Toc12808 \h </w:instrText>
      </w:r>
      <w:r>
        <w:fldChar w:fldCharType="separate"/>
      </w:r>
      <w:r>
        <w:t>14</w:t>
      </w:r>
      <w:r>
        <w:fldChar w:fldCharType="end"/>
      </w:r>
      <w:r>
        <w:rPr>
          <w:rFonts w:hint="eastAsia" w:asciiTheme="minorEastAsia" w:hAnsiTheme="minorEastAsia" w:eastAsiaTheme="minorEastAsia"/>
        </w:rPr>
        <w:fldChar w:fldCharType="end"/>
      </w:r>
    </w:p>
    <w:p w14:paraId="32EFCF4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_Toc18448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11 风险管理报告</w:t>
      </w:r>
      <w:r>
        <w:tab/>
      </w:r>
      <w:r>
        <w:fldChar w:fldCharType="begin"/>
      </w:r>
      <w:r>
        <w:instrText xml:space="preserve"> PAGEREF _Toc18448 \h </w:instrText>
      </w:r>
      <w:r>
        <w:fldChar w:fldCharType="separate"/>
      </w:r>
      <w:r>
        <w:t>15</w:t>
      </w:r>
      <w:r>
        <w:fldChar w:fldCharType="end"/>
      </w:r>
      <w:r>
        <w:rPr>
          <w:rFonts w:hint="eastAsia" w:asciiTheme="minorEastAsia" w:hAnsiTheme="minorEastAsia" w:eastAsiaTheme="minorEastAsia"/>
        </w:rPr>
        <w:fldChar w:fldCharType="end"/>
      </w:r>
    </w:p>
    <w:p w14:paraId="1D81E49C">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_Toc7437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12 未决事项</w:t>
      </w:r>
      <w:r>
        <w:tab/>
      </w:r>
      <w:r>
        <w:fldChar w:fldCharType="begin"/>
      </w:r>
      <w:r>
        <w:instrText xml:space="preserve"> PAGEREF _Toc7437 \h </w:instrText>
      </w:r>
      <w:r>
        <w:fldChar w:fldCharType="separate"/>
      </w:r>
      <w:r>
        <w:t>15</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bookmarkEnd w:id="80"/>
    </w:p>
    <w:bookmarkEnd w:id="0"/>
    <w:p w14:paraId="4C7ACC1C">
      <w:pPr>
        <w:pStyle w:val="2"/>
        <w:rPr>
          <w:rFonts w:hint="eastAsia" w:ascii="Times New Roman" w:hAnsi="Times New Roman" w:cs="Times New Roman"/>
          <w:lang w:eastAsia="zh-CN"/>
        </w:rPr>
      </w:pPr>
      <w:bookmarkStart w:id="1" w:name="_Toc32619"/>
      <w:bookmarkStart w:id="2" w:name="_Toc6327"/>
      <w:bookmarkStart w:id="3" w:name="_Toc14865"/>
      <w:r>
        <w:rPr>
          <w:rFonts w:hint="eastAsia" w:ascii="Times New Roman" w:hAnsi="Times New Roman" w:cs="Times New Roman"/>
        </w:rPr>
        <w:t>介绍</w:t>
      </w:r>
      <w:bookmarkEnd w:id="1"/>
    </w:p>
    <w:p w14:paraId="46CD090B">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4" w:name="_Toc364164437"/>
      <w:bookmarkStart w:id="5" w:name="_Toc1827"/>
      <w:bookmarkStart w:id="6" w:name="_Toc365030973"/>
      <w:bookmarkStart w:id="7" w:name="_Toc29314"/>
      <w:r>
        <w:rPr>
          <w:rFonts w:hint="eastAsia" w:ascii="Arial Regular" w:hAnsi="Arial Regular" w:cs="Arial Regular"/>
          <w:bCs/>
          <w:lang w:eastAsia="zh-CN"/>
        </w:rPr>
        <w:t>目的</w:t>
      </w:r>
      <w:bookmarkEnd w:id="4"/>
      <w:bookmarkEnd w:id="5"/>
      <w:bookmarkEnd w:id="6"/>
      <w:bookmarkEnd w:id="7"/>
    </w:p>
    <w:p w14:paraId="320071CD">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本文档主要描述了</w:t>
      </w:r>
      <w:r>
        <w:rPr>
          <w:rFonts w:hint="eastAsia" w:ascii="宋体" w:hAnsi="宋体"/>
          <w:color w:val="0070C0"/>
          <w:sz w:val="24"/>
          <w:szCs w:val="24"/>
          <w:lang w:val="en-GB" w:eastAsia="zh-CN"/>
        </w:rPr>
        <w:t>植入式脑机接口上肢运动功能代偿系统</w:t>
      </w:r>
      <w:r>
        <w:rPr>
          <w:rFonts w:hint="eastAsia" w:ascii="宋体" w:hAnsi="宋体" w:eastAsia="宋体"/>
          <w:color w:val="0070C0"/>
          <w:sz w:val="24"/>
          <w:szCs w:val="24"/>
          <w:lang w:val="en-GB"/>
        </w:rPr>
        <w:t>产品全生命周期的风险管理活动策划。</w:t>
      </w:r>
    </w:p>
    <w:p w14:paraId="64D09BE8">
      <w:pPr>
        <w:spacing w:line="440" w:lineRule="exact"/>
      </w:pPr>
    </w:p>
    <w:p w14:paraId="4F9D5075">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8" w:name="_Toc7202"/>
      <w:bookmarkStart w:id="9" w:name="_Toc13928"/>
      <w:r>
        <w:rPr>
          <w:rFonts w:hint="eastAsia" w:ascii="Arial Regular" w:hAnsi="Arial Regular" w:cs="Arial Regular"/>
          <w:bCs/>
          <w:lang w:eastAsia="zh-CN"/>
        </w:rPr>
        <w:t>范围</w:t>
      </w:r>
      <w:bookmarkEnd w:id="8"/>
      <w:bookmarkEnd w:id="9"/>
    </w:p>
    <w:p w14:paraId="59105384">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适用于</w:t>
      </w:r>
      <w:r>
        <w:rPr>
          <w:rFonts w:hint="eastAsia" w:ascii="宋体" w:hAnsi="宋体"/>
          <w:color w:val="0070C0"/>
          <w:sz w:val="24"/>
          <w:szCs w:val="24"/>
          <w:lang w:val="en-GB" w:eastAsia="zh-CN"/>
        </w:rPr>
        <w:t>植入式脑机接口上肢运动功能代偿系统</w:t>
      </w:r>
      <w:r>
        <w:rPr>
          <w:rFonts w:hint="eastAsia" w:ascii="宋体" w:hAnsi="宋体" w:eastAsia="宋体"/>
          <w:color w:val="0070C0"/>
          <w:sz w:val="24"/>
          <w:szCs w:val="24"/>
          <w:lang w:val="en-GB"/>
        </w:rPr>
        <w:t>产品风险管理。</w:t>
      </w:r>
    </w:p>
    <w:p w14:paraId="744D5688">
      <w:pPr>
        <w:spacing w:line="440" w:lineRule="exact"/>
      </w:pPr>
    </w:p>
    <w:p w14:paraId="11763DE0">
      <w:pPr>
        <w:pStyle w:val="4"/>
        <w:tabs>
          <w:tab w:val="left" w:pos="680"/>
          <w:tab w:val="left" w:pos="1134"/>
          <w:tab w:val="left" w:pos="1701"/>
          <w:tab w:val="left" w:pos="2268"/>
          <w:tab w:val="left" w:pos="2835"/>
          <w:tab w:val="left" w:pos="3402"/>
        </w:tabs>
        <w:rPr>
          <w:rFonts w:ascii="Arial Regular" w:hAnsi="Arial Regular" w:cs="Arial Regular"/>
          <w:bCs/>
        </w:rPr>
      </w:pPr>
      <w:bookmarkStart w:id="10" w:name="_Toc14501"/>
      <w:r>
        <w:rPr>
          <w:rFonts w:ascii="Arial Regular" w:hAnsi="Arial Regular" w:cs="Arial Regular"/>
          <w:bCs/>
        </w:rPr>
        <w:t>定义</w:t>
      </w:r>
      <w:bookmarkEnd w:id="10"/>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6002"/>
      </w:tblGrid>
      <w:tr w14:paraId="5E7B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tcPr>
          <w:p w14:paraId="30E3204C">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p>
        </w:tc>
        <w:tc>
          <w:tcPr>
            <w:tcW w:w="6002" w:type="dxa"/>
          </w:tcPr>
          <w:p w14:paraId="5129A4A6">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p>
        </w:tc>
      </w:tr>
      <w:tr w14:paraId="4997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vAlign w:val="top"/>
          </w:tcPr>
          <w:p w14:paraId="3FD37E3A">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6002" w:type="dxa"/>
            <w:vAlign w:val="top"/>
          </w:tcPr>
          <w:p w14:paraId="78DE8385">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r w14:paraId="60F7D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vAlign w:val="top"/>
          </w:tcPr>
          <w:p w14:paraId="691EBFFD">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6002" w:type="dxa"/>
            <w:vAlign w:val="top"/>
          </w:tcPr>
          <w:p w14:paraId="43A65B0C">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bl>
    <w:p w14:paraId="0DAFF1A9">
      <w:pPr>
        <w:spacing w:line="360" w:lineRule="auto"/>
        <w:rPr>
          <w:rFonts w:ascii="Arial Regular" w:hAnsi="Arial Regular" w:cs="Arial Regular"/>
          <w:bCs/>
          <w:lang w:eastAsia="zh-CN"/>
        </w:rPr>
      </w:pPr>
    </w:p>
    <w:p w14:paraId="0D6F7B25">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11" w:name="_Toc6095"/>
      <w:r>
        <w:rPr>
          <w:rFonts w:hint="default" w:ascii="Arial Regular" w:hAnsi="Arial Regular" w:cs="Arial Regular"/>
          <w:bCs/>
          <w:lang w:eastAsia="zh-CN"/>
        </w:rPr>
        <w:t>缩略语</w:t>
      </w:r>
      <w:bookmarkEnd w:id="11"/>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6626"/>
      </w:tblGrid>
      <w:tr w14:paraId="7155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750" w:type="dxa"/>
            <w:vAlign w:val="center"/>
          </w:tcPr>
          <w:p w14:paraId="3989F682">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名词或缩略语</w:t>
            </w:r>
          </w:p>
        </w:tc>
        <w:tc>
          <w:tcPr>
            <w:tcW w:w="6626" w:type="dxa"/>
            <w:vAlign w:val="center"/>
          </w:tcPr>
          <w:p w14:paraId="1814D6D1">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含义</w:t>
            </w:r>
          </w:p>
        </w:tc>
      </w:tr>
      <w:tr w14:paraId="26E3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4C296BD6">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DHF</w:t>
            </w:r>
          </w:p>
        </w:tc>
        <w:tc>
          <w:tcPr>
            <w:tcW w:w="6626" w:type="dxa"/>
            <w:vAlign w:val="top"/>
          </w:tcPr>
          <w:p w14:paraId="6AAEC1E0">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设计历史文档</w:t>
            </w:r>
          </w:p>
        </w:tc>
      </w:tr>
      <w:tr w14:paraId="3E8E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7C5629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R&amp;D</w:t>
            </w:r>
          </w:p>
        </w:tc>
        <w:tc>
          <w:tcPr>
            <w:tcW w:w="6626" w:type="dxa"/>
            <w:vAlign w:val="top"/>
          </w:tcPr>
          <w:p w14:paraId="35C7D38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产品研发</w:t>
            </w:r>
          </w:p>
        </w:tc>
      </w:tr>
      <w:tr w14:paraId="0AC1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6646A09">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QMS</w:t>
            </w:r>
          </w:p>
        </w:tc>
        <w:tc>
          <w:tcPr>
            <w:tcW w:w="6626" w:type="dxa"/>
            <w:vAlign w:val="top"/>
          </w:tcPr>
          <w:p w14:paraId="6444C6E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质量管理体系</w:t>
            </w:r>
          </w:p>
        </w:tc>
      </w:tr>
      <w:tr w14:paraId="3A81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1E997DAE">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lang w:val="en-US" w:eastAsia="zh-CN"/>
              </w:rPr>
              <w:t>CCB</w:t>
            </w:r>
          </w:p>
        </w:tc>
        <w:tc>
          <w:tcPr>
            <w:tcW w:w="6626" w:type="dxa"/>
            <w:vAlign w:val="top"/>
          </w:tcPr>
          <w:p w14:paraId="36A327A9">
            <w:pPr>
              <w:keepNext w:val="0"/>
              <w:keepLines w:val="0"/>
              <w:widowControl w:val="0"/>
              <w:suppressLineNumbers w:val="0"/>
              <w:spacing w:before="0" w:beforeAutospacing="0" w:after="0" w:afterAutospacing="0"/>
              <w:ind w:left="0" w:leftChars="0" w:right="0" w:rightChars="0"/>
              <w:jc w:val="both"/>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kern w:val="0"/>
                <w:sz w:val="21"/>
                <w:szCs w:val="21"/>
                <w:lang w:val="en-US" w:eastAsia="zh-CN" w:bidi="ar"/>
              </w:rPr>
              <w:t>变更控制委员会</w:t>
            </w:r>
          </w:p>
        </w:tc>
      </w:tr>
    </w:tbl>
    <w:p w14:paraId="237EB595">
      <w:pPr>
        <w:spacing w:line="440" w:lineRule="exact"/>
        <w:ind w:firstLine="420" w:firstLineChars="200"/>
        <w:rPr>
          <w:rFonts w:hint="eastAsia" w:ascii="Arial Regular" w:hAnsi="Arial Regular" w:cs="Arial Regular"/>
          <w:bCs/>
          <w:lang w:eastAsia="zh-CN"/>
        </w:rPr>
      </w:pPr>
      <w:bookmarkStart w:id="12" w:name="_Toc364164355"/>
      <w:bookmarkEnd w:id="12"/>
      <w:bookmarkStart w:id="13" w:name="_Toc364164354"/>
      <w:bookmarkEnd w:id="13"/>
      <w:bookmarkStart w:id="14" w:name="_Toc364164444"/>
      <w:bookmarkEnd w:id="14"/>
      <w:bookmarkStart w:id="15" w:name="_Toc364164443"/>
      <w:bookmarkEnd w:id="15"/>
      <w:bookmarkStart w:id="16" w:name="_Toc364164445"/>
      <w:bookmarkStart w:id="17" w:name="_Toc365030979"/>
      <w:bookmarkStart w:id="18" w:name="_Toc32392"/>
    </w:p>
    <w:p w14:paraId="6FA79DD9">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19" w:name="_Toc6563"/>
      <w:r>
        <w:rPr>
          <w:rFonts w:hint="eastAsia" w:ascii="Arial Regular" w:hAnsi="Arial Regular" w:cs="Arial Regular"/>
          <w:bCs/>
          <w:lang w:eastAsia="zh-CN"/>
        </w:rPr>
        <w:t>参考文件</w:t>
      </w:r>
      <w:bookmarkEnd w:id="16"/>
      <w:bookmarkEnd w:id="17"/>
      <w:bookmarkEnd w:id="18"/>
      <w:bookmarkEnd w:id="19"/>
    </w:p>
    <w:p w14:paraId="7964B9C3">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color w:val="0070C0"/>
          <w:sz w:val="24"/>
          <w:szCs w:val="32"/>
          <w:lang w:val="en-GB"/>
        </w:rPr>
      </w:pPr>
      <w:r>
        <w:rPr>
          <w:rFonts w:hint="eastAsia"/>
          <w:color w:val="0070C0"/>
          <w:sz w:val="24"/>
          <w:szCs w:val="32"/>
          <w:lang w:val="en-GB"/>
        </w:rPr>
        <w:t>YY/T 0316-2016 医疗器械-风险管理对医疗器械的应用</w:t>
      </w:r>
    </w:p>
    <w:p w14:paraId="26819A61">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color w:val="0070C0"/>
          <w:sz w:val="24"/>
          <w:szCs w:val="32"/>
          <w:lang w:val="en-GB"/>
        </w:rPr>
      </w:pPr>
      <w:r>
        <w:rPr>
          <w:rFonts w:hint="eastAsia"/>
          <w:color w:val="0070C0"/>
          <w:sz w:val="24"/>
          <w:szCs w:val="32"/>
          <w:lang w:val="en-GB"/>
        </w:rPr>
        <w:t>YY/T0664-20</w:t>
      </w:r>
      <w:r>
        <w:rPr>
          <w:rFonts w:hint="eastAsia"/>
          <w:color w:val="0070C0"/>
          <w:sz w:val="24"/>
          <w:szCs w:val="32"/>
          <w:lang w:val="en-US" w:eastAsia="zh-CN"/>
        </w:rPr>
        <w:t>20</w:t>
      </w:r>
      <w:r>
        <w:rPr>
          <w:rFonts w:hint="eastAsia"/>
          <w:color w:val="0070C0"/>
          <w:sz w:val="24"/>
          <w:szCs w:val="32"/>
          <w:lang w:val="en-GB"/>
        </w:rPr>
        <w:t xml:space="preserve"> 医疗器械软件 软件生存周期过程</w:t>
      </w:r>
    </w:p>
    <w:p w14:paraId="6AAAC012">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color w:val="0070C0"/>
          <w:sz w:val="24"/>
          <w:szCs w:val="32"/>
          <w:lang w:val="en-GB"/>
        </w:rPr>
      </w:pPr>
      <w:r>
        <w:rPr>
          <w:rFonts w:hint="eastAsia"/>
          <w:color w:val="0070C0"/>
          <w:sz w:val="24"/>
          <w:szCs w:val="32"/>
          <w:lang w:val="en-GB"/>
        </w:rPr>
        <w:t>《XXXX 风险管理控制程序》</w:t>
      </w:r>
    </w:p>
    <w:p w14:paraId="4616132D">
      <w:pPr>
        <w:spacing w:line="440" w:lineRule="exact"/>
        <w:jc w:val="left"/>
        <w:rPr>
          <w:rFonts w:ascii="宋体" w:hAnsi="宋体" w:eastAsia="宋体"/>
          <w:sz w:val="28"/>
          <w:szCs w:val="28"/>
        </w:rPr>
      </w:pPr>
      <w:r>
        <w:rPr>
          <w:rFonts w:ascii="宋体" w:hAnsi="宋体" w:eastAsia="宋体"/>
          <w:sz w:val="28"/>
          <w:szCs w:val="28"/>
        </w:rPr>
        <w:br w:type="page"/>
      </w:r>
    </w:p>
    <w:p w14:paraId="6C4467E0">
      <w:pPr>
        <w:pStyle w:val="2"/>
        <w:rPr>
          <w:rFonts w:hint="eastAsia" w:ascii="Times New Roman" w:hAnsi="Times New Roman" w:cs="Times New Roman"/>
          <w:lang w:eastAsia="zh-CN"/>
        </w:rPr>
      </w:pPr>
      <w:bookmarkStart w:id="20" w:name="_Toc11619"/>
      <w:bookmarkStart w:id="21" w:name="_Toc865"/>
      <w:r>
        <w:rPr>
          <w:rFonts w:hint="eastAsia" w:ascii="Times New Roman" w:hAnsi="Times New Roman" w:cs="Times New Roman"/>
          <w:lang w:eastAsia="zh-CN"/>
        </w:rPr>
        <w:t>职责和权限的分配</w:t>
      </w:r>
      <w:bookmarkEnd w:id="20"/>
      <w:bookmarkEnd w:id="21"/>
    </w:p>
    <w:p w14:paraId="1D50A688">
      <w:pPr>
        <w:pStyle w:val="3"/>
        <w:tabs>
          <w:tab w:val="left" w:pos="680"/>
          <w:tab w:val="left" w:pos="1134"/>
          <w:tab w:val="left" w:pos="1701"/>
          <w:tab w:val="left" w:pos="2268"/>
          <w:tab w:val="left" w:pos="2835"/>
          <w:tab w:val="left" w:pos="3402"/>
        </w:tabs>
        <w:spacing w:line="440" w:lineRule="exact"/>
        <w:rPr>
          <w:rFonts w:ascii="宋体" w:hAnsi="宋体"/>
          <w:sz w:val="24"/>
          <w:szCs w:val="24"/>
          <w:lang w:eastAsia="zh-CN"/>
        </w:rPr>
      </w:pPr>
      <w:bookmarkStart w:id="22" w:name="_Toc26350"/>
      <w:bookmarkStart w:id="23" w:name="_Toc20709"/>
      <w:r>
        <w:rPr>
          <w:rFonts w:hint="eastAsia" w:ascii="宋体" w:hAnsi="宋体"/>
          <w:sz w:val="24"/>
          <w:szCs w:val="24"/>
          <w:lang w:eastAsia="zh-CN"/>
        </w:rPr>
        <w:t>风险负责人</w:t>
      </w:r>
      <w:bookmarkEnd w:id="22"/>
      <w:bookmarkEnd w:id="23"/>
    </w:p>
    <w:tbl>
      <w:tblPr>
        <w:tblStyle w:val="21"/>
        <w:tblW w:w="8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78"/>
        <w:gridCol w:w="5103"/>
      </w:tblGrid>
      <w:tr w14:paraId="0DF1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8" w:type="dxa"/>
            <w:shd w:val="clear" w:color="auto" w:fill="A8A8A8"/>
            <w:vAlign w:val="center"/>
          </w:tcPr>
          <w:p w14:paraId="6648B15C">
            <w:pPr>
              <w:keepNext w:val="0"/>
              <w:keepLines w:val="0"/>
              <w:suppressLineNumbers w:val="0"/>
              <w:spacing w:before="0" w:beforeAutospacing="0" w:after="0" w:afterAutospacing="0"/>
              <w:ind w:left="0" w:right="0"/>
              <w:jc w:val="center"/>
              <w:rPr>
                <w:rFonts w:hint="default" w:ascii="宋体" w:hAnsi="宋体" w:eastAsia="宋体"/>
                <w:b/>
                <w:bCs/>
                <w:szCs w:val="21"/>
              </w:rPr>
            </w:pPr>
            <w:r>
              <w:rPr>
                <w:rFonts w:hint="eastAsia" w:ascii="宋体" w:hAnsi="宋体" w:eastAsia="宋体"/>
                <w:b/>
                <w:bCs/>
                <w:szCs w:val="21"/>
              </w:rPr>
              <w:t>部门</w:t>
            </w:r>
          </w:p>
        </w:tc>
        <w:tc>
          <w:tcPr>
            <w:tcW w:w="1678" w:type="dxa"/>
            <w:shd w:val="clear" w:color="auto" w:fill="A8A8A8"/>
            <w:vAlign w:val="center"/>
          </w:tcPr>
          <w:p w14:paraId="7F8AD089">
            <w:pPr>
              <w:keepNext w:val="0"/>
              <w:keepLines w:val="0"/>
              <w:suppressLineNumbers w:val="0"/>
              <w:spacing w:before="0" w:beforeAutospacing="0" w:after="0" w:afterAutospacing="0"/>
              <w:ind w:left="0" w:right="0"/>
              <w:jc w:val="center"/>
              <w:rPr>
                <w:rFonts w:hint="default" w:ascii="宋体" w:hAnsi="宋体" w:eastAsia="宋体"/>
                <w:b/>
                <w:bCs/>
                <w:szCs w:val="21"/>
              </w:rPr>
            </w:pPr>
            <w:r>
              <w:rPr>
                <w:rFonts w:hint="eastAsia" w:ascii="宋体" w:hAnsi="宋体" w:eastAsia="宋体"/>
                <w:b/>
                <w:bCs/>
                <w:szCs w:val="21"/>
              </w:rPr>
              <w:t>代表人</w:t>
            </w:r>
          </w:p>
        </w:tc>
        <w:tc>
          <w:tcPr>
            <w:tcW w:w="5103" w:type="dxa"/>
            <w:shd w:val="clear" w:color="auto" w:fill="A8A8A8"/>
            <w:vAlign w:val="center"/>
          </w:tcPr>
          <w:p w14:paraId="7414536B">
            <w:pPr>
              <w:keepNext w:val="0"/>
              <w:keepLines w:val="0"/>
              <w:suppressLineNumbers w:val="0"/>
              <w:spacing w:before="0" w:beforeAutospacing="0" w:after="0" w:afterAutospacing="0"/>
              <w:ind w:left="0" w:right="0"/>
              <w:jc w:val="center"/>
              <w:rPr>
                <w:rFonts w:hint="default" w:ascii="宋体" w:hAnsi="宋体" w:eastAsia="宋体"/>
                <w:b/>
                <w:bCs/>
                <w:szCs w:val="21"/>
              </w:rPr>
            </w:pPr>
            <w:r>
              <w:rPr>
                <w:rFonts w:hint="eastAsia" w:ascii="宋体" w:hAnsi="宋体" w:eastAsia="宋体"/>
                <w:b/>
                <w:bCs/>
                <w:szCs w:val="21"/>
              </w:rPr>
              <w:t>职责</w:t>
            </w:r>
          </w:p>
        </w:tc>
      </w:tr>
      <w:tr w14:paraId="4D77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78" w:type="dxa"/>
            <w:vAlign w:val="center"/>
          </w:tcPr>
          <w:p w14:paraId="74F1C3C7">
            <w:pPr>
              <w:keepNext w:val="0"/>
              <w:keepLines w:val="0"/>
              <w:suppressLineNumbers w:val="0"/>
              <w:spacing w:before="0" w:beforeAutospacing="0" w:after="0" w:afterAutospacing="0"/>
              <w:ind w:left="0" w:right="0"/>
              <w:jc w:val="center"/>
              <w:rPr>
                <w:rFonts w:hint="default" w:ascii="宋体" w:hAnsi="宋体" w:eastAsia="宋体"/>
                <w:color w:val="000000" w:themeColor="text1"/>
                <w:szCs w:val="21"/>
                <w14:textFill>
                  <w14:solidFill>
                    <w14:schemeClr w14:val="tx1"/>
                  </w14:solidFill>
                </w14:textFill>
              </w:rPr>
            </w:pPr>
          </w:p>
        </w:tc>
        <w:tc>
          <w:tcPr>
            <w:tcW w:w="1678" w:type="dxa"/>
            <w:vAlign w:val="center"/>
          </w:tcPr>
          <w:p w14:paraId="429E8F08">
            <w:pPr>
              <w:keepNext w:val="0"/>
              <w:keepLines w:val="0"/>
              <w:suppressLineNumbers w:val="0"/>
              <w:spacing w:before="0" w:beforeAutospacing="0" w:after="0" w:afterAutospacing="0"/>
              <w:ind w:left="0" w:right="0"/>
              <w:jc w:val="center"/>
              <w:rPr>
                <w:rFonts w:hint="default" w:ascii="宋体" w:hAnsi="宋体" w:eastAsia="宋体"/>
                <w:color w:val="000000" w:themeColor="text1"/>
                <w:szCs w:val="21"/>
                <w14:textFill>
                  <w14:solidFill>
                    <w14:schemeClr w14:val="tx1"/>
                  </w14:solidFill>
                </w14:textFill>
              </w:rPr>
            </w:pPr>
          </w:p>
        </w:tc>
        <w:tc>
          <w:tcPr>
            <w:tcW w:w="5103" w:type="dxa"/>
            <w:vAlign w:val="center"/>
          </w:tcPr>
          <w:p w14:paraId="0CD5A986">
            <w:pPr>
              <w:keepNext w:val="0"/>
              <w:keepLines w:val="0"/>
              <w:suppressLineNumbers w:val="0"/>
              <w:spacing w:before="0" w:beforeAutospacing="0" w:after="0" w:afterAutospacing="0"/>
              <w:ind w:left="0" w:right="0"/>
              <w:jc w:val="left"/>
              <w:rPr>
                <w:rFonts w:hint="default" w:ascii="宋体" w:hAnsi="宋体" w:eastAsia="宋体"/>
                <w:color w:val="0070C0"/>
                <w:szCs w:val="21"/>
              </w:rPr>
            </w:pPr>
            <w:r>
              <w:rPr>
                <w:rFonts w:hint="eastAsia" w:ascii="宋体" w:hAnsi="宋体" w:eastAsia="宋体"/>
                <w:color w:val="0070C0"/>
                <w:szCs w:val="21"/>
              </w:rPr>
              <w:t>风险经理，负责组织风险管理活动，识别风险，制定控制措施，实施和验证控制措施。</w:t>
            </w:r>
          </w:p>
        </w:tc>
      </w:tr>
    </w:tbl>
    <w:p w14:paraId="18989EC0">
      <w:pPr>
        <w:spacing w:line="440" w:lineRule="exact"/>
        <w:ind w:firstLine="480" w:firstLineChars="200"/>
        <w:rPr>
          <w:rFonts w:ascii="宋体" w:hAnsi="宋体"/>
          <w:sz w:val="24"/>
          <w:szCs w:val="24"/>
        </w:rPr>
      </w:pPr>
      <w:bookmarkStart w:id="24" w:name="_Toc9775"/>
    </w:p>
    <w:p w14:paraId="0FA3151B">
      <w:pPr>
        <w:pStyle w:val="3"/>
        <w:tabs>
          <w:tab w:val="left" w:pos="680"/>
          <w:tab w:val="left" w:pos="1134"/>
          <w:tab w:val="left" w:pos="1701"/>
          <w:tab w:val="left" w:pos="2268"/>
          <w:tab w:val="left" w:pos="2835"/>
          <w:tab w:val="left" w:pos="3402"/>
        </w:tabs>
        <w:spacing w:line="440" w:lineRule="exact"/>
        <w:rPr>
          <w:rFonts w:ascii="宋体" w:hAnsi="宋体"/>
          <w:sz w:val="24"/>
          <w:szCs w:val="24"/>
        </w:rPr>
      </w:pPr>
      <w:bookmarkStart w:id="25" w:name="_Toc32463"/>
      <w:r>
        <w:rPr>
          <w:rFonts w:hint="eastAsia" w:ascii="宋体" w:hAnsi="宋体"/>
          <w:sz w:val="24"/>
          <w:szCs w:val="24"/>
          <w:lang w:eastAsia="zh-CN"/>
        </w:rPr>
        <w:t>风险管理小组</w:t>
      </w:r>
      <w:bookmarkEnd w:id="24"/>
      <w:bookmarkEnd w:id="25"/>
    </w:p>
    <w:tbl>
      <w:tblPr>
        <w:tblStyle w:val="21"/>
        <w:tblW w:w="8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1528"/>
        <w:gridCol w:w="5103"/>
      </w:tblGrid>
      <w:tr w14:paraId="0E41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828" w:type="dxa"/>
            <w:vAlign w:val="center"/>
          </w:tcPr>
          <w:p w14:paraId="557D7946">
            <w:pPr>
              <w:keepNext w:val="0"/>
              <w:keepLines w:val="0"/>
              <w:suppressLineNumbers w:val="0"/>
              <w:spacing w:before="0" w:beforeAutospacing="0" w:after="0" w:afterAutospacing="0"/>
              <w:ind w:left="0" w:right="0"/>
              <w:jc w:val="center"/>
              <w:rPr>
                <w:rFonts w:hint="default" w:ascii="宋体" w:hAnsi="宋体" w:eastAsia="宋体"/>
                <w:b/>
                <w:bCs/>
                <w:sz w:val="21"/>
                <w:szCs w:val="21"/>
              </w:rPr>
            </w:pPr>
            <w:r>
              <w:rPr>
                <w:rFonts w:hint="eastAsia" w:ascii="宋体" w:hAnsi="宋体" w:eastAsia="宋体"/>
                <w:b/>
                <w:bCs/>
                <w:sz w:val="21"/>
                <w:szCs w:val="21"/>
              </w:rPr>
              <w:t>部门</w:t>
            </w:r>
          </w:p>
        </w:tc>
        <w:tc>
          <w:tcPr>
            <w:tcW w:w="1528" w:type="dxa"/>
            <w:vAlign w:val="center"/>
          </w:tcPr>
          <w:p w14:paraId="26CB2C33">
            <w:pPr>
              <w:keepNext w:val="0"/>
              <w:keepLines w:val="0"/>
              <w:suppressLineNumbers w:val="0"/>
              <w:spacing w:before="0" w:beforeAutospacing="0" w:after="0" w:afterAutospacing="0"/>
              <w:ind w:left="0" w:right="0"/>
              <w:jc w:val="center"/>
              <w:rPr>
                <w:rFonts w:hint="default" w:ascii="宋体" w:hAnsi="宋体" w:eastAsia="宋体"/>
                <w:b/>
                <w:bCs/>
                <w:sz w:val="21"/>
                <w:szCs w:val="21"/>
              </w:rPr>
            </w:pPr>
            <w:r>
              <w:rPr>
                <w:rFonts w:hint="eastAsia" w:ascii="宋体" w:hAnsi="宋体" w:eastAsia="宋体"/>
                <w:b/>
                <w:bCs/>
                <w:sz w:val="21"/>
                <w:szCs w:val="21"/>
              </w:rPr>
              <w:t>代表人</w:t>
            </w:r>
          </w:p>
        </w:tc>
        <w:tc>
          <w:tcPr>
            <w:tcW w:w="5103" w:type="dxa"/>
            <w:vAlign w:val="center"/>
          </w:tcPr>
          <w:p w14:paraId="5013A028">
            <w:pPr>
              <w:keepNext w:val="0"/>
              <w:keepLines w:val="0"/>
              <w:suppressLineNumbers w:val="0"/>
              <w:spacing w:before="0" w:beforeAutospacing="0" w:after="0" w:afterAutospacing="0"/>
              <w:ind w:left="0" w:right="0"/>
              <w:jc w:val="center"/>
              <w:rPr>
                <w:rFonts w:hint="default" w:ascii="宋体" w:hAnsi="宋体" w:eastAsia="宋体"/>
                <w:b/>
                <w:bCs/>
                <w:sz w:val="21"/>
                <w:szCs w:val="21"/>
              </w:rPr>
            </w:pPr>
            <w:r>
              <w:rPr>
                <w:rFonts w:hint="eastAsia" w:ascii="宋体" w:hAnsi="宋体" w:eastAsia="宋体"/>
                <w:b/>
                <w:bCs/>
                <w:sz w:val="21"/>
                <w:szCs w:val="21"/>
              </w:rPr>
              <w:t>职责</w:t>
            </w:r>
          </w:p>
        </w:tc>
      </w:tr>
      <w:tr w14:paraId="1C6A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28" w:type="dxa"/>
            <w:vAlign w:val="center"/>
          </w:tcPr>
          <w:p w14:paraId="48556E3B">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风险经理</w:t>
            </w:r>
          </w:p>
        </w:tc>
        <w:tc>
          <w:tcPr>
            <w:tcW w:w="1528" w:type="dxa"/>
            <w:vAlign w:val="center"/>
          </w:tcPr>
          <w:p w14:paraId="4F727C8F">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11F5EE38">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建立风险管理小组，编制建立风险管理文档；指导和协调风险管理活动，参与风险分析、风险评价、风险控制、综合剩余风险评价等活动。</w:t>
            </w:r>
          </w:p>
        </w:tc>
      </w:tr>
      <w:tr w14:paraId="65A4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4B71F925">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研发工程师</w:t>
            </w:r>
          </w:p>
        </w:tc>
        <w:tc>
          <w:tcPr>
            <w:tcW w:w="1528" w:type="dxa"/>
            <w:vAlign w:val="center"/>
          </w:tcPr>
          <w:p w14:paraId="5C41F994">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147DB33A">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识别产品设计风险，研发风险管理的主导者，协助建立风险管理小组，参与风险分析、风险评价、风险控制、综合剩余风险评价等活动，评审风险管理文档。负责风险管理文档的批准。</w:t>
            </w:r>
          </w:p>
        </w:tc>
      </w:tr>
      <w:tr w14:paraId="5F48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4259E5E9">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生产部</w:t>
            </w:r>
          </w:p>
        </w:tc>
        <w:tc>
          <w:tcPr>
            <w:tcW w:w="1528" w:type="dxa"/>
            <w:vAlign w:val="center"/>
          </w:tcPr>
          <w:p w14:paraId="1C68833E">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618E9169">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识别产品工艺风险，工艺风险管理的主导者，参与风险分析、风险评价、风险控制、综合剩余风险评价等活动，评审风险管理文档。</w:t>
            </w:r>
          </w:p>
        </w:tc>
      </w:tr>
      <w:tr w14:paraId="47FC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1010A8C2">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质量部</w:t>
            </w:r>
          </w:p>
        </w:tc>
        <w:tc>
          <w:tcPr>
            <w:tcW w:w="1528" w:type="dxa"/>
            <w:vAlign w:val="center"/>
          </w:tcPr>
          <w:p w14:paraId="2A13B483">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1DF62E1F">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监视风险管理活动的合规性；参与风险分析、风险评价、风险控制、综合剩余风险评价等活动，评审风险管理文档。</w:t>
            </w:r>
          </w:p>
        </w:tc>
      </w:tr>
      <w:tr w14:paraId="32EA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45DC557B">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产品经理</w:t>
            </w:r>
          </w:p>
        </w:tc>
        <w:tc>
          <w:tcPr>
            <w:tcW w:w="1528" w:type="dxa"/>
            <w:vAlign w:val="center"/>
          </w:tcPr>
          <w:p w14:paraId="1108E995">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1A2FA276">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参与风险分析、风险评价、风险控制、综合剩余风险评价等活动，评审风险管理文档。</w:t>
            </w:r>
          </w:p>
        </w:tc>
      </w:tr>
      <w:tr w14:paraId="53C6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71BA1DF3">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测试</w:t>
            </w:r>
          </w:p>
        </w:tc>
        <w:tc>
          <w:tcPr>
            <w:tcW w:w="1528" w:type="dxa"/>
            <w:vAlign w:val="center"/>
          </w:tcPr>
          <w:p w14:paraId="225FBBBA">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0ABDB1AE">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参与风险分析、风险评价、风险控制、综合剩余风险评价等活动，评审风险管理文档。</w:t>
            </w:r>
          </w:p>
        </w:tc>
      </w:tr>
      <w:tr w14:paraId="7B8B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0E5B22A9">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采购部</w:t>
            </w:r>
          </w:p>
        </w:tc>
        <w:tc>
          <w:tcPr>
            <w:tcW w:w="1528" w:type="dxa"/>
            <w:vAlign w:val="center"/>
          </w:tcPr>
          <w:p w14:paraId="1E11ABC1">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51839720">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识别产品采购物料和供应商管理的风险，参与风险分析、风险评价、风险控制、综合剩余风险评价等活动，评审风险管理文档。</w:t>
            </w:r>
          </w:p>
        </w:tc>
      </w:tr>
      <w:tr w14:paraId="784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8" w:type="dxa"/>
            <w:vAlign w:val="center"/>
          </w:tcPr>
          <w:p w14:paraId="32CE9498">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r>
              <w:rPr>
                <w:rFonts w:hint="eastAsia" w:ascii="宋体" w:hAnsi="宋体" w:eastAsia="宋体"/>
                <w:color w:val="0070C0"/>
                <w:sz w:val="21"/>
                <w:szCs w:val="21"/>
              </w:rPr>
              <w:t>销售部</w:t>
            </w:r>
          </w:p>
        </w:tc>
        <w:tc>
          <w:tcPr>
            <w:tcW w:w="1528" w:type="dxa"/>
            <w:vAlign w:val="center"/>
          </w:tcPr>
          <w:p w14:paraId="1C2F768D">
            <w:pPr>
              <w:keepNext w:val="0"/>
              <w:keepLines w:val="0"/>
              <w:suppressLineNumbers w:val="0"/>
              <w:spacing w:before="0" w:beforeAutospacing="0" w:after="0" w:afterAutospacing="0"/>
              <w:ind w:left="0" w:right="0"/>
              <w:jc w:val="center"/>
              <w:rPr>
                <w:rFonts w:hint="default" w:ascii="宋体" w:hAnsi="宋体" w:eastAsia="宋体"/>
                <w:color w:val="0070C0"/>
                <w:sz w:val="21"/>
                <w:szCs w:val="21"/>
              </w:rPr>
            </w:pPr>
          </w:p>
        </w:tc>
        <w:tc>
          <w:tcPr>
            <w:tcW w:w="5103" w:type="dxa"/>
            <w:vAlign w:val="center"/>
          </w:tcPr>
          <w:p w14:paraId="1F8CBE9C">
            <w:pPr>
              <w:keepNext w:val="0"/>
              <w:keepLines w:val="0"/>
              <w:suppressLineNumbers w:val="0"/>
              <w:spacing w:before="0" w:beforeAutospacing="0" w:after="0" w:afterAutospacing="0"/>
              <w:ind w:left="0" w:right="0"/>
              <w:jc w:val="left"/>
              <w:rPr>
                <w:rFonts w:hint="default" w:ascii="宋体" w:hAnsi="宋体" w:eastAsia="宋体"/>
                <w:color w:val="0070C0"/>
                <w:sz w:val="21"/>
                <w:szCs w:val="21"/>
              </w:rPr>
            </w:pPr>
            <w:r>
              <w:rPr>
                <w:rFonts w:hint="eastAsia" w:ascii="宋体" w:hAnsi="宋体" w:eastAsia="宋体"/>
                <w:color w:val="0070C0"/>
                <w:sz w:val="21"/>
                <w:szCs w:val="21"/>
              </w:rPr>
              <w:t>识别产品销售和安装过程的风险，参与风险分析、风险评价、风险控制、综合剩余风险评价等活动，评审风险管理文档。</w:t>
            </w:r>
          </w:p>
        </w:tc>
      </w:tr>
      <w:bookmarkEnd w:id="2"/>
      <w:bookmarkEnd w:id="3"/>
    </w:tbl>
    <w:p w14:paraId="066B429B">
      <w:pPr>
        <w:keepNext w:val="0"/>
        <w:keepLines w:val="0"/>
        <w:widowControl w:val="0"/>
        <w:suppressLineNumbers w:val="0"/>
        <w:wordWrap w:val="0"/>
        <w:spacing w:before="0" w:beforeAutospacing="0" w:after="0" w:afterAutospacing="0" w:line="360" w:lineRule="auto"/>
        <w:ind w:left="0" w:right="0" w:firstLine="420" w:firstLineChars="200"/>
        <w:jc w:val="both"/>
        <w:rPr>
          <w:rFonts w:hint="eastAsia" w:ascii="Times New Roman" w:hAnsi="Times New Roman" w:cs="Times New Roman"/>
          <w:lang w:eastAsia="zh-CN"/>
        </w:rPr>
      </w:pPr>
      <w:bookmarkStart w:id="26" w:name="_Toc1394938450"/>
      <w:bookmarkStart w:id="27" w:name="_Toc10802"/>
      <w:bookmarkStart w:id="28" w:name="_Toc1304171679"/>
    </w:p>
    <w:p w14:paraId="5CDFF99C">
      <w:pPr>
        <w:pStyle w:val="2"/>
        <w:rPr>
          <w:rFonts w:hint="eastAsia" w:ascii="Times New Roman" w:hAnsi="Times New Roman" w:cs="Times New Roman"/>
          <w:lang w:eastAsia="zh-CN"/>
        </w:rPr>
      </w:pPr>
      <w:bookmarkStart w:id="29" w:name="_Toc19872"/>
      <w:r>
        <w:rPr>
          <w:rFonts w:hint="eastAsia" w:ascii="Times New Roman" w:hAnsi="Times New Roman" w:cs="Times New Roman"/>
          <w:lang w:eastAsia="zh-CN"/>
        </w:rPr>
        <w:t>风险管理</w:t>
      </w:r>
      <w:r>
        <w:rPr>
          <w:rFonts w:hint="default" w:ascii="Times New Roman" w:hAnsi="Times New Roman" w:cs="Times New Roman"/>
          <w:lang w:eastAsia="zh-CN"/>
        </w:rPr>
        <w:t>过程</w:t>
      </w:r>
      <w:bookmarkEnd w:id="26"/>
      <w:bookmarkEnd w:id="29"/>
    </w:p>
    <w:p w14:paraId="154429CD">
      <w:pPr>
        <w:keepNext w:val="0"/>
        <w:keepLines w:val="0"/>
        <w:widowControl w:val="0"/>
        <w:suppressLineNumbers w:val="0"/>
        <w:wordWrap w:val="0"/>
        <w:spacing w:before="0" w:beforeAutospacing="0" w:after="0" w:afterAutospacing="0" w:line="360" w:lineRule="auto"/>
        <w:ind w:left="0" w:right="0" w:firstLine="480" w:firstLineChars="200"/>
        <w:jc w:val="both"/>
        <w:rPr>
          <w:rFonts w:cs="宋体"/>
          <w:color w:val="0070C0"/>
          <w:sz w:val="24"/>
          <w:szCs w:val="24"/>
          <w:lang w:val="en-US"/>
          <w:woUserID w:val="1"/>
        </w:rPr>
      </w:pPr>
      <w:r>
        <w:rPr>
          <w:rFonts w:hint="eastAsia" w:ascii="Times New Roman" w:hAnsi="Times New Roman" w:eastAsia="宋体" w:cs="宋体"/>
          <w:color w:val="0070C0"/>
          <w:kern w:val="2"/>
          <w:sz w:val="24"/>
          <w:szCs w:val="24"/>
          <w:lang w:val="en-US" w:eastAsia="zh-CN" w:bidi="ar"/>
          <w:woUserID w:val="1"/>
        </w:rPr>
        <w:t>风险管理过程遵照下图所示执行。</w:t>
      </w:r>
    </w:p>
    <w:p w14:paraId="45649A86">
      <w:pPr>
        <w:keepNext w:val="0"/>
        <w:keepLines w:val="0"/>
        <w:widowControl w:val="0"/>
        <w:suppressLineNumbers w:val="0"/>
        <w:spacing w:before="0" w:beforeAutospacing="0" w:after="0" w:afterAutospacing="0" w:line="360" w:lineRule="auto"/>
        <w:ind w:left="0" w:right="0"/>
        <w:jc w:val="center"/>
        <w:rPr>
          <w:rFonts w:hint="default" w:cs="宋体"/>
          <w:color w:val="000000"/>
          <w:sz w:val="24"/>
          <w:szCs w:val="24"/>
          <w:woUserID w:val="1"/>
        </w:rPr>
      </w:pPr>
      <w:r>
        <w:rPr>
          <w:rFonts w:hint="default" w:cs="宋体"/>
          <w:color w:val="000000"/>
          <w:sz w:val="24"/>
          <w:szCs w:val="24"/>
          <w:woUserID w:val="1"/>
        </w:rPr>
        <w:drawing>
          <wp:inline distT="0" distB="0" distL="114300" distR="114300">
            <wp:extent cx="4011295" cy="4236720"/>
            <wp:effectExtent l="0" t="0" r="825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4011295" cy="4236720"/>
                    </a:xfrm>
                    <a:prstGeom prst="rect">
                      <a:avLst/>
                    </a:prstGeom>
                  </pic:spPr>
                </pic:pic>
              </a:graphicData>
            </a:graphic>
          </wp:inline>
        </w:drawing>
      </w:r>
    </w:p>
    <w:p w14:paraId="6430E624">
      <w:pPr>
        <w:pStyle w:val="18"/>
        <w:keepNext w:val="0"/>
        <w:keepLines w:val="0"/>
        <w:widowControl w:val="0"/>
        <w:numPr>
          <w:ilvl w:val="0"/>
          <w:numId w:val="3"/>
        </w:numPr>
        <w:suppressLineNumbers w:val="0"/>
        <w:spacing w:before="0" w:beforeAutospacing="0" w:after="0" w:afterAutospacing="0" w:line="360" w:lineRule="auto"/>
        <w:ind w:left="440" w:right="0" w:hanging="440" w:firstLineChars="0"/>
        <w:jc w:val="center"/>
        <w:rPr>
          <w:rFonts w:hint="eastAsia"/>
          <w:sz w:val="24"/>
          <w:lang w:val="en-GB"/>
        </w:rPr>
      </w:pPr>
      <w:r>
        <w:rPr>
          <w:rFonts w:hint="eastAsia" w:ascii="Times New Roman" w:hAnsi="Times New Roman" w:eastAsia="宋体" w:cs="宋体"/>
          <w:kern w:val="2"/>
          <w:sz w:val="21"/>
          <w:szCs w:val="21"/>
          <w:lang w:val="en-US" w:eastAsia="zh-CN" w:bidi="ar"/>
          <w:woUserID w:val="1"/>
        </w:rPr>
        <w:t>风险管理过程图</w:t>
      </w:r>
    </w:p>
    <w:p w14:paraId="52C3971B">
      <w:pPr>
        <w:spacing w:line="440" w:lineRule="exact"/>
        <w:rPr>
          <w:rFonts w:hint="eastAsia" w:ascii="Times New Roman" w:hAnsi="Times New Roman" w:cs="Times New Roman"/>
          <w:lang w:eastAsia="zh-CN"/>
        </w:rPr>
      </w:pPr>
    </w:p>
    <w:p w14:paraId="246109DD">
      <w:pPr>
        <w:pStyle w:val="2"/>
        <w:rPr>
          <w:rFonts w:hint="eastAsia" w:ascii="Times New Roman" w:hAnsi="Times New Roman" w:cs="Times New Roman"/>
          <w:lang w:eastAsia="zh-CN"/>
        </w:rPr>
      </w:pPr>
      <w:bookmarkStart w:id="30" w:name="_Toc17332"/>
      <w:r>
        <w:rPr>
          <w:rFonts w:hint="eastAsia" w:ascii="Times New Roman" w:hAnsi="Times New Roman" w:cs="Times New Roman"/>
          <w:lang w:eastAsia="zh-CN"/>
        </w:rPr>
        <w:t>风险管理活动的评审要求</w:t>
      </w:r>
      <w:bookmarkEnd w:id="27"/>
      <w:bookmarkEnd w:id="30"/>
    </w:p>
    <w:p w14:paraId="21395853">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根据项目开发计划，此阶段针对产品进行风险分析活动并输出相关的文档。待产品定义和策划完成后，再进行风险分析相关活动。</w:t>
      </w:r>
    </w:p>
    <w:p w14:paraId="13C006DA">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风险分析活动相关文档需要进行评审，并由质量部负责存档。</w:t>
      </w:r>
    </w:p>
    <w:p w14:paraId="3A589C45">
      <w:pPr>
        <w:pStyle w:val="29"/>
        <w:numPr>
          <w:ilvl w:val="0"/>
          <w:numId w:val="4"/>
        </w:numPr>
        <w:spacing w:line="440" w:lineRule="exact"/>
        <w:ind w:firstLineChars="0"/>
        <w:rPr>
          <w:rFonts w:ascii="宋体" w:hAnsi="宋体" w:eastAsia="宋体"/>
          <w:color w:val="0070C0"/>
          <w:sz w:val="24"/>
          <w:szCs w:val="24"/>
        </w:rPr>
      </w:pPr>
      <w:r>
        <w:rPr>
          <w:rFonts w:hint="eastAsia" w:ascii="宋体" w:hAnsi="宋体" w:eastAsia="宋体"/>
          <w:color w:val="0070C0"/>
          <w:sz w:val="24"/>
          <w:szCs w:val="24"/>
        </w:rPr>
        <w:t>风险管理计划：风险经理编写，并由全体项目组成员评审。</w:t>
      </w:r>
    </w:p>
    <w:p w14:paraId="09D9F3C9">
      <w:pPr>
        <w:pStyle w:val="29"/>
        <w:numPr>
          <w:ilvl w:val="0"/>
          <w:numId w:val="4"/>
        </w:numPr>
        <w:spacing w:line="440" w:lineRule="exact"/>
        <w:ind w:firstLineChars="0"/>
        <w:rPr>
          <w:rFonts w:ascii="宋体" w:hAnsi="宋体" w:eastAsia="宋体"/>
          <w:color w:val="0070C0"/>
          <w:sz w:val="24"/>
          <w:szCs w:val="24"/>
        </w:rPr>
      </w:pPr>
      <w:r>
        <w:rPr>
          <w:rFonts w:hint="eastAsia" w:ascii="宋体" w:hAnsi="宋体" w:eastAsia="宋体"/>
          <w:color w:val="0070C0"/>
          <w:sz w:val="24"/>
          <w:szCs w:val="24"/>
        </w:rPr>
        <w:t>风险分析：风险经理编写，并由风险管理小组评审。</w:t>
      </w:r>
    </w:p>
    <w:p w14:paraId="0776F2F9">
      <w:pPr>
        <w:pStyle w:val="29"/>
        <w:numPr>
          <w:ilvl w:val="0"/>
          <w:numId w:val="4"/>
        </w:numPr>
        <w:spacing w:line="440" w:lineRule="exact"/>
        <w:ind w:firstLineChars="0"/>
        <w:rPr>
          <w:rFonts w:ascii="宋体" w:hAnsi="宋体" w:eastAsia="宋体"/>
          <w:color w:val="0070C0"/>
          <w:sz w:val="24"/>
          <w:szCs w:val="24"/>
        </w:rPr>
      </w:pPr>
      <w:r>
        <w:rPr>
          <w:rFonts w:hint="eastAsia" w:ascii="宋体" w:hAnsi="宋体" w:eastAsia="宋体"/>
          <w:color w:val="0070C0"/>
          <w:sz w:val="24"/>
          <w:szCs w:val="24"/>
        </w:rPr>
        <w:t>风险管理报告：风险经理编写，质量部、项目经理和最高管理者评审。</w:t>
      </w:r>
    </w:p>
    <w:p w14:paraId="42923962">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如果需要，项目管理计划、输出、报告在整个产品周期都可以进行更新。如果发生重大变化，必须强制产生新的版本。</w:t>
      </w:r>
    </w:p>
    <w:p w14:paraId="17D0BE13">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为了确保风险管理的有效性和充分性，本公司高层管理者应在年度管理评审中对本产品的风险管理状态进行评估。</w:t>
      </w:r>
    </w:p>
    <w:p w14:paraId="0FEC71AB">
      <w:pPr>
        <w:spacing w:line="440" w:lineRule="exact"/>
      </w:pPr>
    </w:p>
    <w:p w14:paraId="6848E64F">
      <w:pPr>
        <w:pStyle w:val="2"/>
        <w:rPr>
          <w:rFonts w:hint="eastAsia" w:ascii="Times New Roman" w:hAnsi="Times New Roman" w:cs="Times New Roman"/>
        </w:rPr>
      </w:pPr>
      <w:bookmarkStart w:id="31" w:name="_Toc13648"/>
      <w:r>
        <w:rPr>
          <w:rFonts w:hint="eastAsia" w:ascii="Times New Roman" w:hAnsi="Times New Roman" w:cs="Times New Roman"/>
        </w:rPr>
        <w:t>概述</w:t>
      </w:r>
      <w:bookmarkEnd w:id="28"/>
      <w:bookmarkEnd w:id="31"/>
    </w:p>
    <w:p w14:paraId="4042BF14">
      <w:pPr>
        <w:pStyle w:val="3"/>
      </w:pPr>
      <w:bookmarkStart w:id="32" w:name="_Toc113434790"/>
      <w:bookmarkStart w:id="33" w:name="_Toc12965"/>
      <w:r>
        <w:rPr>
          <w:rFonts w:hint="eastAsia"/>
        </w:rPr>
        <w:t>产品概述</w:t>
      </w:r>
      <w:bookmarkEnd w:id="32"/>
      <w:bookmarkEnd w:id="33"/>
    </w:p>
    <w:p w14:paraId="617F1BD7">
      <w:pPr>
        <w:spacing w:line="440" w:lineRule="exact"/>
        <w:ind w:firstLine="480" w:firstLineChars="200"/>
        <w:rPr>
          <w:rFonts w:hint="eastAsia" w:ascii="宋体" w:hAnsi="宋体" w:eastAsia="宋体"/>
          <w:color w:val="0070C0"/>
          <w:sz w:val="24"/>
          <w:szCs w:val="24"/>
          <w:lang w:val="en-GB"/>
        </w:rPr>
      </w:pPr>
      <w:bookmarkStart w:id="34" w:name="_Hlk197590718"/>
      <w:r>
        <w:rPr>
          <w:rFonts w:hint="eastAsia" w:ascii="宋体" w:hAnsi="宋体"/>
          <w:color w:val="0070C0"/>
          <w:sz w:val="24"/>
          <w:szCs w:val="24"/>
          <w:lang w:eastAsia="zh-CN"/>
        </w:rPr>
        <w:t>植入式脑机接口上肢运动功能代偿系统</w:t>
      </w:r>
      <w:r>
        <w:rPr>
          <w:rFonts w:hint="eastAsia" w:ascii="宋体" w:hAnsi="宋体" w:eastAsia="宋体"/>
          <w:color w:val="0070C0"/>
          <w:sz w:val="24"/>
          <w:szCs w:val="24"/>
          <w:lang w:val="en-GB"/>
        </w:rPr>
        <w:t>是针对</w:t>
      </w:r>
      <w:r>
        <w:rPr>
          <w:rFonts w:hint="eastAsia" w:ascii="宋体" w:hAnsi="宋体"/>
          <w:color w:val="0070C0"/>
          <w:sz w:val="24"/>
          <w:szCs w:val="24"/>
          <w:lang w:val="en-GB" w:eastAsia="zh-CN"/>
        </w:rPr>
        <w:t>XXX症患者</w:t>
      </w:r>
      <w:r>
        <w:rPr>
          <w:rFonts w:hint="eastAsia" w:ascii="宋体" w:hAnsi="宋体" w:eastAsia="宋体"/>
          <w:color w:val="0070C0"/>
          <w:sz w:val="24"/>
          <w:szCs w:val="24"/>
          <w:lang w:val="en-GB"/>
        </w:rPr>
        <w:t>研发设计的一款全植入脑电采集与处理系统，可以帮助</w:t>
      </w:r>
      <w:r>
        <w:rPr>
          <w:rFonts w:hint="eastAsia" w:ascii="宋体" w:hAnsi="宋体"/>
          <w:color w:val="0070C0"/>
          <w:sz w:val="24"/>
          <w:szCs w:val="24"/>
          <w:lang w:val="en-GB" w:eastAsia="zh-CN"/>
        </w:rPr>
        <w:t>XXX症患者</w:t>
      </w:r>
      <w:r>
        <w:rPr>
          <w:rFonts w:hint="eastAsia" w:ascii="宋体" w:hAnsi="宋体" w:eastAsia="宋体"/>
          <w:color w:val="0070C0"/>
          <w:sz w:val="24"/>
          <w:szCs w:val="24"/>
          <w:lang w:val="en-GB"/>
        </w:rPr>
        <w:t>通过思维控制脑电操作系统，进行运动解码，从而改善他们的生活质量。</w:t>
      </w:r>
    </w:p>
    <w:p w14:paraId="0E37FE4B">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lang w:val="en-GB"/>
        </w:rPr>
        <w:t>该系统</w:t>
      </w:r>
      <w:r>
        <w:rPr>
          <w:rFonts w:hint="eastAsia" w:ascii="宋体" w:hAnsi="宋体" w:eastAsia="宋体"/>
          <w:color w:val="0070C0"/>
          <w:sz w:val="24"/>
          <w:szCs w:val="24"/>
        </w:rPr>
        <w:t>包含植入式脑电处理器套件、植入式脑电</w:t>
      </w:r>
      <w:r>
        <w:rPr>
          <w:rFonts w:hint="eastAsia" w:ascii="宋体" w:hAnsi="宋体"/>
          <w:color w:val="0070C0"/>
          <w:sz w:val="24"/>
          <w:szCs w:val="24"/>
          <w:lang w:val="en-US" w:eastAsia="zh-CN"/>
        </w:rPr>
        <w:t>采</w:t>
      </w:r>
      <w:r>
        <w:rPr>
          <w:rFonts w:hint="eastAsia" w:ascii="宋体" w:hAnsi="宋体" w:eastAsia="宋体"/>
          <w:color w:val="0070C0"/>
          <w:sz w:val="24"/>
          <w:szCs w:val="24"/>
        </w:rPr>
        <w:t>集器、无线充电套件</w:t>
      </w:r>
      <w:r>
        <w:rPr>
          <w:rFonts w:hint="eastAsia" w:ascii="宋体" w:hAnsi="宋体"/>
          <w:color w:val="0070C0"/>
          <w:sz w:val="24"/>
          <w:szCs w:val="24"/>
          <w:lang w:eastAsia="zh-CN"/>
        </w:rPr>
        <w:t>、延伸导线套件</w:t>
      </w:r>
      <w:r>
        <w:rPr>
          <w:rFonts w:hint="eastAsia" w:ascii="宋体" w:hAnsi="宋体"/>
          <w:color w:val="0070C0"/>
          <w:sz w:val="24"/>
          <w:szCs w:val="24"/>
          <w:lang w:val="en-US" w:eastAsia="zh-CN"/>
        </w:rPr>
        <w:t>和机械臂</w:t>
      </w:r>
      <w:r>
        <w:rPr>
          <w:rFonts w:hint="eastAsia" w:ascii="宋体" w:hAnsi="宋体" w:eastAsia="宋体"/>
          <w:color w:val="0070C0"/>
          <w:sz w:val="24"/>
          <w:szCs w:val="24"/>
        </w:rPr>
        <w:t>。其中植入式脑电采集器、植入式脑电处理器为植入部分，无线充电器及</w:t>
      </w:r>
      <w:r>
        <w:rPr>
          <w:rFonts w:hint="eastAsia" w:ascii="宋体" w:hAnsi="宋体"/>
          <w:color w:val="0070C0"/>
          <w:sz w:val="24"/>
          <w:szCs w:val="24"/>
          <w:lang w:val="en-US" w:eastAsia="zh-CN"/>
        </w:rPr>
        <w:t>机械臂</w:t>
      </w:r>
      <w:r>
        <w:rPr>
          <w:rFonts w:hint="eastAsia" w:ascii="宋体" w:hAnsi="宋体" w:eastAsia="宋体"/>
          <w:color w:val="0070C0"/>
          <w:sz w:val="24"/>
          <w:szCs w:val="24"/>
        </w:rPr>
        <w:t>为体外设备部分，具体功能介绍如下：</w:t>
      </w:r>
    </w:p>
    <w:p w14:paraId="39DDC773">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植入式脑电采集器植入在患者头部，其中电极</w:t>
      </w:r>
      <w:r>
        <w:rPr>
          <w:rFonts w:hint="eastAsia" w:ascii="宋体" w:hAnsi="宋体"/>
          <w:color w:val="0070C0"/>
          <w:sz w:val="24"/>
          <w:szCs w:val="24"/>
          <w:lang w:val="en-US" w:eastAsia="zh-CN"/>
        </w:rPr>
        <w:t>片</w:t>
      </w:r>
      <w:r>
        <w:rPr>
          <w:rFonts w:hint="eastAsia" w:ascii="宋体" w:hAnsi="宋体" w:eastAsia="宋体"/>
          <w:color w:val="0070C0"/>
          <w:sz w:val="24"/>
          <w:szCs w:val="24"/>
        </w:rPr>
        <w:t>部分植入患者颅内皮层，用于采集颅内皮层脑电信号，采集器主体固定在颅骨上，用于将模拟信号转化为数字信号，并通过皮下导线传输至植入式脑电处理器。</w:t>
      </w:r>
    </w:p>
    <w:p w14:paraId="39FC474B">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植入式脑电处理器植入在患者胸部，对脑电数字信号处理后通过蓝牙无线信道传输至电脑端，实现</w:t>
      </w:r>
      <w:r>
        <w:rPr>
          <w:rFonts w:hint="eastAsia" w:ascii="宋体" w:hAnsi="宋体"/>
          <w:color w:val="0070C0"/>
          <w:sz w:val="24"/>
          <w:szCs w:val="24"/>
          <w:lang w:val="en-US" w:eastAsia="zh-CN"/>
        </w:rPr>
        <w:t>上肢</w:t>
      </w:r>
      <w:r>
        <w:rPr>
          <w:rFonts w:hint="eastAsia" w:ascii="宋体" w:hAnsi="宋体" w:eastAsia="宋体"/>
          <w:color w:val="0070C0"/>
          <w:sz w:val="24"/>
          <w:szCs w:val="24"/>
        </w:rPr>
        <w:t>运动功能解码功能；其内含可充电电池，用于</w:t>
      </w:r>
      <w:r>
        <w:rPr>
          <w:rFonts w:hint="eastAsia" w:ascii="宋体" w:hAnsi="宋体"/>
          <w:color w:val="0070C0"/>
          <w:sz w:val="24"/>
          <w:szCs w:val="24"/>
          <w:lang w:val="en-US" w:eastAsia="zh-CN"/>
        </w:rPr>
        <w:t>支撑</w:t>
      </w:r>
      <w:r>
        <w:rPr>
          <w:rFonts w:hint="eastAsia" w:ascii="宋体" w:hAnsi="宋体" w:eastAsia="宋体"/>
          <w:color w:val="0070C0"/>
          <w:sz w:val="24"/>
          <w:szCs w:val="24"/>
        </w:rPr>
        <w:t>系统的运行。</w:t>
      </w:r>
    </w:p>
    <w:p w14:paraId="42C7603B">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无线充电器套件为患者提供植入设备无线充电功能，维持植入设备的正常运行；同时无线充电器作为配套外设，具备开机唤醒植入式脑电处理器功能。</w:t>
      </w:r>
    </w:p>
    <w:p w14:paraId="17533A78">
      <w:pPr>
        <w:spacing w:line="440" w:lineRule="exact"/>
        <w:rPr>
          <w:rFonts w:hint="eastAsia" w:ascii="宋体" w:hAnsi="宋体" w:eastAsia="宋体"/>
          <w:color w:val="0070C0"/>
          <w:sz w:val="24"/>
          <w:szCs w:val="24"/>
        </w:rPr>
      </w:pPr>
    </w:p>
    <w:bookmarkEnd w:id="34"/>
    <w:p w14:paraId="402DE6B6">
      <w:pPr>
        <w:rPr>
          <w:lang w:val="en-GB"/>
        </w:rPr>
      </w:pPr>
    </w:p>
    <w:p w14:paraId="7EAF249A">
      <w:pPr>
        <w:pStyle w:val="3"/>
      </w:pPr>
      <w:bookmarkStart w:id="35" w:name="_Toc1938172572"/>
      <w:bookmarkStart w:id="36" w:name="_Toc6940"/>
      <w:r>
        <w:rPr>
          <w:rFonts w:hint="eastAsia"/>
        </w:rPr>
        <w:t>适用范围</w:t>
      </w:r>
      <w:bookmarkEnd w:id="35"/>
      <w:bookmarkEnd w:id="36"/>
    </w:p>
    <w:p w14:paraId="2ADF9876">
      <w:pPr>
        <w:spacing w:line="440" w:lineRule="exact"/>
        <w:ind w:firstLine="480" w:firstLineChars="200"/>
        <w:rPr>
          <w:rFonts w:hint="eastAsia" w:ascii="宋体" w:hAnsi="宋体" w:eastAsia="宋体"/>
          <w:color w:val="0070C0"/>
          <w:sz w:val="24"/>
          <w:szCs w:val="24"/>
        </w:rPr>
      </w:pPr>
      <w:bookmarkStart w:id="37" w:name="_Hlk197590730"/>
      <w:r>
        <w:rPr>
          <w:rFonts w:hint="eastAsia" w:ascii="宋体" w:hAnsi="宋体"/>
          <w:color w:val="0070C0"/>
          <w:sz w:val="24"/>
          <w:szCs w:val="24"/>
          <w:lang w:eastAsia="zh-CN"/>
        </w:rPr>
        <w:t>植入式脑机接口上肢运动功能代偿系统</w:t>
      </w:r>
      <w:r>
        <w:rPr>
          <w:rFonts w:hint="eastAsia" w:ascii="宋体" w:hAnsi="宋体" w:eastAsia="宋体"/>
          <w:color w:val="0070C0"/>
          <w:sz w:val="24"/>
          <w:szCs w:val="24"/>
        </w:rPr>
        <w:t>将满足</w:t>
      </w:r>
      <w:r>
        <w:rPr>
          <w:rFonts w:hint="eastAsia" w:ascii="宋体" w:hAnsi="宋体"/>
          <w:color w:val="0070C0"/>
          <w:sz w:val="24"/>
          <w:szCs w:val="24"/>
          <w:lang w:eastAsia="zh-CN"/>
        </w:rPr>
        <w:t>XXX症患者</w:t>
      </w:r>
      <w:r>
        <w:rPr>
          <w:rFonts w:hint="eastAsia" w:ascii="宋体" w:hAnsi="宋体" w:eastAsia="宋体"/>
          <w:color w:val="0070C0"/>
          <w:sz w:val="24"/>
          <w:szCs w:val="24"/>
        </w:rPr>
        <w:t>的需求，通过脑电信号采集，进行脑电信号运动解码，以帮助</w:t>
      </w:r>
      <w:r>
        <w:rPr>
          <w:rFonts w:hint="eastAsia" w:ascii="宋体" w:hAnsi="宋体"/>
          <w:color w:val="0070C0"/>
          <w:sz w:val="24"/>
          <w:szCs w:val="24"/>
          <w:lang w:eastAsia="zh-CN"/>
        </w:rPr>
        <w:t>XXX症患者</w:t>
      </w:r>
      <w:r>
        <w:rPr>
          <w:rFonts w:hint="eastAsia" w:ascii="宋体" w:hAnsi="宋体" w:eastAsia="宋体"/>
          <w:color w:val="0070C0"/>
          <w:sz w:val="24"/>
          <w:szCs w:val="24"/>
        </w:rPr>
        <w:t>完成日常生活辅助。</w:t>
      </w:r>
    </w:p>
    <w:p w14:paraId="0C580BD3">
      <w:pPr>
        <w:spacing w:line="440" w:lineRule="exact"/>
        <w:ind w:firstLine="420" w:firstLineChars="200"/>
        <w:rPr>
          <w:rFonts w:hint="eastAsia"/>
        </w:rPr>
      </w:pPr>
    </w:p>
    <w:bookmarkEnd w:id="37"/>
    <w:p w14:paraId="7717024C">
      <w:pPr>
        <w:pStyle w:val="3"/>
      </w:pPr>
      <w:bookmarkStart w:id="38" w:name="_Toc370397432"/>
      <w:bookmarkStart w:id="39" w:name="_Toc31623"/>
      <w:r>
        <w:rPr>
          <w:rFonts w:hint="eastAsia"/>
          <w:woUserID w:val="1"/>
        </w:rPr>
        <w:t>适应症</w:t>
      </w:r>
      <w:bookmarkEnd w:id="38"/>
      <w:bookmarkEnd w:id="39"/>
    </w:p>
    <w:p w14:paraId="27C9A777">
      <w:pPr>
        <w:spacing w:line="440" w:lineRule="exact"/>
        <w:ind w:firstLine="480" w:firstLineChars="200"/>
        <w:rPr>
          <w:rFonts w:hint="eastAsia" w:ascii="宋体" w:hAnsi="宋体" w:eastAsia="宋体"/>
          <w:color w:val="0070C0"/>
          <w:sz w:val="24"/>
          <w:szCs w:val="24"/>
        </w:rPr>
      </w:pPr>
      <w:r>
        <w:rPr>
          <w:rFonts w:hint="eastAsia" w:ascii="宋体" w:hAnsi="宋体"/>
          <w:color w:val="0070C0"/>
          <w:sz w:val="24"/>
          <w:szCs w:val="24"/>
          <w:lang w:eastAsia="zh-CN"/>
        </w:rPr>
        <w:t>XXX症患者</w:t>
      </w:r>
      <w:r>
        <w:rPr>
          <w:rFonts w:hint="eastAsia" w:ascii="宋体" w:hAnsi="宋体" w:eastAsia="宋体"/>
          <w:color w:val="0070C0"/>
          <w:sz w:val="24"/>
          <w:szCs w:val="24"/>
        </w:rPr>
        <w:t>。</w:t>
      </w:r>
    </w:p>
    <w:p w14:paraId="0A885D64">
      <w:pPr>
        <w:spacing w:line="440" w:lineRule="exact"/>
        <w:rPr>
          <w:rFonts w:hint="eastAsia"/>
        </w:rPr>
      </w:pPr>
    </w:p>
    <w:p w14:paraId="06FE46B2">
      <w:pPr>
        <w:pStyle w:val="3"/>
      </w:pPr>
      <w:bookmarkStart w:id="40" w:name="_Toc1519382610"/>
      <w:bookmarkStart w:id="41" w:name="_Toc6978"/>
      <w:r>
        <w:rPr>
          <w:rFonts w:hint="eastAsia"/>
        </w:rPr>
        <w:t>禁忌症</w:t>
      </w:r>
      <w:bookmarkEnd w:id="40"/>
      <w:bookmarkEnd w:id="41"/>
    </w:p>
    <w:p w14:paraId="77F5ED14">
      <w:pPr>
        <w:pStyle w:val="29"/>
        <w:numPr>
          <w:ilvl w:val="0"/>
          <w:numId w:val="5"/>
        </w:numPr>
        <w:spacing w:line="360" w:lineRule="auto"/>
        <w:ind w:left="860" w:leftChars="0" w:firstLineChars="0"/>
        <w:rPr>
          <w:rFonts w:hint="eastAsia"/>
          <w:color w:val="0070C0"/>
          <w:szCs w:val="21"/>
          <w:woUserID w:val="1"/>
        </w:rPr>
      </w:pPr>
      <w:bookmarkStart w:id="42" w:name="_Toc69907826"/>
      <w:bookmarkStart w:id="43" w:name="_Toc69907341"/>
      <w:bookmarkStart w:id="44" w:name="_Toc493233871"/>
      <w:bookmarkStart w:id="45" w:name="_Toc69907787"/>
      <w:bookmarkStart w:id="46" w:name="_Toc8726474"/>
      <w:bookmarkStart w:id="47" w:name="_Hlk197590812"/>
      <w:r>
        <w:rPr>
          <w:rFonts w:hint="eastAsia"/>
          <w:color w:val="0070C0"/>
          <w:szCs w:val="21"/>
          <w:woUserID w:val="1"/>
        </w:rPr>
        <w:t>不适用于感染风险较高的患者;</w:t>
      </w:r>
    </w:p>
    <w:p w14:paraId="3B352D4A">
      <w:pPr>
        <w:pStyle w:val="29"/>
        <w:numPr>
          <w:ilvl w:val="0"/>
          <w:numId w:val="5"/>
        </w:numPr>
        <w:spacing w:line="360" w:lineRule="auto"/>
        <w:ind w:left="860" w:leftChars="0" w:firstLineChars="0"/>
        <w:rPr>
          <w:rFonts w:hint="eastAsia"/>
          <w:color w:val="0070C0"/>
          <w:szCs w:val="21"/>
          <w:woUserID w:val="1"/>
        </w:rPr>
      </w:pPr>
      <w:r>
        <w:rPr>
          <w:rFonts w:hint="eastAsia"/>
          <w:color w:val="0070C0"/>
          <w:szCs w:val="21"/>
          <w:woUserID w:val="1"/>
        </w:rPr>
        <w:t>不适用于合并出血性疾病或存在凝血功能障碍的患者;</w:t>
      </w:r>
    </w:p>
    <w:p w14:paraId="0B70CC79">
      <w:pPr>
        <w:pStyle w:val="29"/>
        <w:numPr>
          <w:ilvl w:val="0"/>
          <w:numId w:val="5"/>
        </w:numPr>
        <w:spacing w:line="360" w:lineRule="auto"/>
        <w:ind w:left="860" w:leftChars="0" w:firstLineChars="0"/>
        <w:rPr>
          <w:rFonts w:hint="eastAsia"/>
          <w:color w:val="0070C0"/>
          <w:szCs w:val="21"/>
          <w:woUserID w:val="1"/>
        </w:rPr>
      </w:pPr>
      <w:r>
        <w:rPr>
          <w:rFonts w:hint="eastAsia"/>
          <w:color w:val="0070C0"/>
          <w:szCs w:val="21"/>
          <w:woUserID w:val="1"/>
        </w:rPr>
        <w:t>不适于基础身体条件较差，无法耐受植入手术的患者;</w:t>
      </w:r>
    </w:p>
    <w:p w14:paraId="2195A874">
      <w:pPr>
        <w:pStyle w:val="29"/>
        <w:numPr>
          <w:ilvl w:val="0"/>
          <w:numId w:val="5"/>
        </w:numPr>
        <w:spacing w:line="360" w:lineRule="auto"/>
        <w:ind w:left="860" w:leftChars="0" w:firstLineChars="0"/>
        <w:rPr>
          <w:color w:val="0070C0"/>
          <w:szCs w:val="21"/>
        </w:rPr>
      </w:pPr>
      <w:r>
        <w:rPr>
          <w:rFonts w:hint="eastAsia"/>
          <w:color w:val="0070C0"/>
          <w:szCs w:val="21"/>
          <w:woUserID w:val="1"/>
        </w:rPr>
        <w:t>不适于伴有认知功能障碍，无法配合训练的患者</w:t>
      </w:r>
      <w:r>
        <w:rPr>
          <w:rFonts w:hint="eastAsia"/>
          <w:color w:val="0070C0"/>
          <w:szCs w:val="21"/>
        </w:rPr>
        <w:t>。</w:t>
      </w:r>
      <w:bookmarkEnd w:id="42"/>
      <w:bookmarkEnd w:id="43"/>
      <w:bookmarkEnd w:id="44"/>
      <w:bookmarkEnd w:id="45"/>
      <w:bookmarkEnd w:id="46"/>
    </w:p>
    <w:p w14:paraId="6391C531">
      <w:pPr>
        <w:pStyle w:val="29"/>
        <w:numPr>
          <w:ilvl w:val="0"/>
          <w:numId w:val="0"/>
        </w:numPr>
        <w:spacing w:line="360" w:lineRule="auto"/>
        <w:rPr>
          <w:color w:val="0070C0"/>
          <w:szCs w:val="21"/>
        </w:rPr>
      </w:pPr>
    </w:p>
    <w:p w14:paraId="5B5AF9DE">
      <w:pPr>
        <w:pStyle w:val="3"/>
        <w:rPr>
          <w:rFonts w:hint="eastAsia"/>
        </w:rPr>
      </w:pPr>
      <w:bookmarkStart w:id="48" w:name="_Toc29828826"/>
      <w:bookmarkStart w:id="49" w:name="_Toc3529"/>
      <w:r>
        <w:rPr>
          <w:rFonts w:hint="eastAsia"/>
        </w:rPr>
        <w:t>产品示意图</w:t>
      </w:r>
      <w:bookmarkEnd w:id="48"/>
      <w:bookmarkEnd w:id="49"/>
    </w:p>
    <w:p w14:paraId="7AD04C17">
      <w:pPr>
        <w:spacing w:line="440" w:lineRule="exact"/>
        <w:ind w:firstLine="480" w:firstLineChars="200"/>
        <w:rPr>
          <w:rFonts w:hint="eastAsia" w:ascii="宋体" w:hAnsi="宋体" w:eastAsia="宋体"/>
          <w:color w:val="0070C0"/>
          <w:sz w:val="24"/>
          <w:szCs w:val="24"/>
        </w:rPr>
      </w:pPr>
      <w:bookmarkStart w:id="50" w:name="_Toc357201531"/>
      <w:bookmarkStart w:id="51" w:name="_Toc357172768"/>
      <w:bookmarkStart w:id="52" w:name="_Toc295404037"/>
      <w:r>
        <w:rPr>
          <w:rFonts w:hint="eastAsia" w:ascii="宋体" w:hAnsi="宋体" w:eastAsia="宋体"/>
          <w:color w:val="0070C0"/>
          <w:sz w:val="24"/>
          <w:szCs w:val="24"/>
        </w:rPr>
        <w:t>正文。</w:t>
      </w:r>
    </w:p>
    <w:bookmarkEnd w:id="50"/>
    <w:bookmarkEnd w:id="51"/>
    <w:bookmarkEnd w:id="52"/>
    <w:p w14:paraId="4EC37588">
      <w:pPr>
        <w:pStyle w:val="29"/>
        <w:numPr>
          <w:ilvl w:val="0"/>
          <w:numId w:val="0"/>
        </w:numPr>
        <w:spacing w:line="360" w:lineRule="auto"/>
        <w:rPr>
          <w:color w:val="0070C0"/>
          <w:szCs w:val="21"/>
        </w:rPr>
      </w:pPr>
    </w:p>
    <w:bookmarkEnd w:id="47"/>
    <w:p w14:paraId="7DC49009">
      <w:pPr>
        <w:pStyle w:val="2"/>
        <w:rPr>
          <w:rFonts w:hint="eastAsia" w:ascii="Times New Roman" w:hAnsi="Times New Roman" w:cs="Times New Roman"/>
        </w:rPr>
      </w:pPr>
      <w:bookmarkStart w:id="53" w:name="_Toc1776046472"/>
      <w:bookmarkStart w:id="54" w:name="_Toc17151"/>
      <w:r>
        <w:rPr>
          <w:rFonts w:hint="eastAsia" w:ascii="Times New Roman" w:hAnsi="Times New Roman" w:cs="Times New Roman"/>
        </w:rPr>
        <w:t>风险可接受准则</w:t>
      </w:r>
      <w:bookmarkEnd w:id="53"/>
      <w:bookmarkEnd w:id="54"/>
    </w:p>
    <w:p w14:paraId="3E9704CB">
      <w:pPr>
        <w:pStyle w:val="4"/>
      </w:pPr>
      <w:bookmarkStart w:id="55" w:name="_Toc444991267"/>
      <w:bookmarkStart w:id="56" w:name="_Toc14129"/>
      <w:r>
        <w:rPr>
          <w:rFonts w:hint="eastAsia"/>
          <w:woUserID w:val="1"/>
        </w:rPr>
        <w:t>发生概率（O）等级的评定准则</w:t>
      </w:r>
      <w:bookmarkEnd w:id="55"/>
      <w:bookmarkEnd w:id="56"/>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2"/>
        <w:gridCol w:w="2797"/>
        <w:gridCol w:w="6235"/>
      </w:tblGrid>
      <w:tr w14:paraId="77FA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17" w:type="pct"/>
            <w:tcBorders>
              <w:top w:val="single" w:color="auto" w:sz="4" w:space="0"/>
              <w:left w:val="single" w:color="auto" w:sz="4" w:space="0"/>
              <w:bottom w:val="single" w:color="auto" w:sz="4" w:space="0"/>
              <w:right w:val="single" w:color="auto" w:sz="4" w:space="0"/>
            </w:tcBorders>
            <w:shd w:val="clear" w:color="auto" w:fill="D9D9D9"/>
            <w:vAlign w:val="center"/>
          </w:tcPr>
          <w:p w14:paraId="792758B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等级</w:t>
            </w:r>
          </w:p>
        </w:tc>
        <w:tc>
          <w:tcPr>
            <w:tcW w:w="1419" w:type="pct"/>
            <w:tcBorders>
              <w:top w:val="single" w:color="auto" w:sz="4" w:space="0"/>
              <w:left w:val="single" w:color="auto" w:sz="4" w:space="0"/>
              <w:bottom w:val="single" w:color="auto" w:sz="4" w:space="0"/>
              <w:right w:val="single" w:color="auto" w:sz="4" w:space="0"/>
            </w:tcBorders>
            <w:shd w:val="clear" w:color="auto" w:fill="D9D9D9"/>
            <w:vAlign w:val="center"/>
          </w:tcPr>
          <w:p w14:paraId="615CE8C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定性描述</w:t>
            </w:r>
          </w:p>
        </w:tc>
        <w:tc>
          <w:tcPr>
            <w:tcW w:w="3163" w:type="pct"/>
            <w:tcBorders>
              <w:top w:val="single" w:color="auto" w:sz="4" w:space="0"/>
              <w:left w:val="single" w:color="auto" w:sz="4" w:space="0"/>
              <w:bottom w:val="single" w:color="auto" w:sz="4" w:space="0"/>
              <w:right w:val="single" w:color="auto" w:sz="4" w:space="0"/>
            </w:tcBorders>
            <w:shd w:val="clear" w:color="auto" w:fill="D9D9D9"/>
            <w:vAlign w:val="center"/>
          </w:tcPr>
          <w:p w14:paraId="0D32640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概率</w:t>
            </w:r>
          </w:p>
          <w:p w14:paraId="3A5806E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（10年使用寿命共使用10000次）</w:t>
            </w:r>
          </w:p>
        </w:tc>
      </w:tr>
      <w:tr w14:paraId="3FB4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7D63B013">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D01BF6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几乎不可能</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72D1526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≤0.001%</w:t>
            </w:r>
          </w:p>
        </w:tc>
      </w:tr>
      <w:tr w14:paraId="4BFB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352010A1">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5948B6C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极少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4380B84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＞0.001%和≤0.005%</w:t>
            </w:r>
          </w:p>
        </w:tc>
      </w:tr>
      <w:tr w14:paraId="513C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5455DF8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74A40A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CD9258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＞0.005%和≤0.01%</w:t>
            </w:r>
          </w:p>
        </w:tc>
      </w:tr>
      <w:tr w14:paraId="1357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5BAE132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12F28B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较少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6CA343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＞0.01%和≤0.05%</w:t>
            </w:r>
          </w:p>
        </w:tc>
      </w:tr>
      <w:tr w14:paraId="73FC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6E32D25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70510BC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一般</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78E2B02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＞0.05%和≤0.1%</w:t>
            </w:r>
          </w:p>
        </w:tc>
      </w:tr>
      <w:tr w14:paraId="53FF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1C834FB">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00D9ED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中高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6B29978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＞0.1%和≤0.5%</w:t>
            </w:r>
          </w:p>
        </w:tc>
      </w:tr>
      <w:tr w14:paraId="35CD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1BB69A5C">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7</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2642E1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较高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5B287A9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＞0.5%和≤1%</w:t>
            </w:r>
          </w:p>
        </w:tc>
      </w:tr>
      <w:tr w14:paraId="5D0E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2150F67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8</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5DFC0BA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777AF6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＞1%和≤5%</w:t>
            </w:r>
          </w:p>
        </w:tc>
      </w:tr>
      <w:tr w14:paraId="0DD3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78ED20D0">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9</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3A4B52B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极高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CA0CFD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＞5%和≤10%</w:t>
            </w:r>
          </w:p>
        </w:tc>
      </w:tr>
      <w:tr w14:paraId="098E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0303914E">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10</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2C8CFC6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几乎一定</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5FB0B35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＞10%</w:t>
            </w:r>
          </w:p>
        </w:tc>
      </w:tr>
    </w:tbl>
    <w:p w14:paraId="69CFF820"/>
    <w:p w14:paraId="35BD97C7">
      <w:pPr>
        <w:pStyle w:val="4"/>
      </w:pPr>
      <w:bookmarkStart w:id="57" w:name="_Toc1860546960"/>
      <w:bookmarkStart w:id="58" w:name="_Toc12425"/>
      <w:r>
        <w:rPr>
          <w:rFonts w:hint="eastAsia"/>
          <w:woUserID w:val="1"/>
        </w:rPr>
        <w:t>严重度（S）等级的评定准则</w:t>
      </w:r>
      <w:bookmarkEnd w:id="57"/>
      <w:bookmarkEnd w:id="58"/>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20"/>
        <w:gridCol w:w="1709"/>
        <w:gridCol w:w="3507"/>
        <w:gridCol w:w="3918"/>
      </w:tblGrid>
      <w:tr w14:paraId="53E0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365" w:type="pct"/>
            <w:tcBorders>
              <w:top w:val="single" w:color="auto" w:sz="4" w:space="0"/>
              <w:left w:val="single" w:color="auto" w:sz="4" w:space="0"/>
              <w:bottom w:val="single" w:color="auto" w:sz="4" w:space="0"/>
              <w:right w:val="single" w:color="auto" w:sz="4" w:space="0"/>
            </w:tcBorders>
            <w:shd w:val="clear" w:color="auto" w:fill="D9D9D9"/>
            <w:vAlign w:val="center"/>
          </w:tcPr>
          <w:p w14:paraId="1FD66FD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等级</w:t>
            </w:r>
          </w:p>
        </w:tc>
        <w:tc>
          <w:tcPr>
            <w:tcW w:w="867" w:type="pct"/>
            <w:tcBorders>
              <w:top w:val="single" w:color="auto" w:sz="4" w:space="0"/>
              <w:left w:val="single" w:color="auto" w:sz="4" w:space="0"/>
              <w:bottom w:val="single" w:color="auto" w:sz="4" w:space="0"/>
              <w:right w:val="single" w:color="auto" w:sz="4" w:space="0"/>
            </w:tcBorders>
            <w:shd w:val="clear" w:color="auto" w:fill="D9D9D9"/>
            <w:vAlign w:val="center"/>
          </w:tcPr>
          <w:p w14:paraId="64644A2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定性描述</w:t>
            </w:r>
          </w:p>
        </w:tc>
        <w:tc>
          <w:tcPr>
            <w:tcW w:w="1779" w:type="pct"/>
            <w:tcBorders>
              <w:top w:val="single" w:color="auto" w:sz="4" w:space="0"/>
              <w:left w:val="single" w:color="auto" w:sz="4" w:space="0"/>
              <w:bottom w:val="single" w:color="auto" w:sz="4" w:space="0"/>
              <w:right w:val="single" w:color="auto" w:sz="4" w:space="0"/>
            </w:tcBorders>
            <w:shd w:val="clear" w:color="auto" w:fill="D9D9D9"/>
            <w:vAlign w:val="center"/>
          </w:tcPr>
          <w:p w14:paraId="7F4C8E57">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对制造/组装过程的影响</w:t>
            </w:r>
          </w:p>
        </w:tc>
        <w:tc>
          <w:tcPr>
            <w:tcW w:w="1987" w:type="pct"/>
            <w:tcBorders>
              <w:top w:val="single" w:color="auto" w:sz="4" w:space="0"/>
              <w:left w:val="single" w:color="auto" w:sz="4" w:space="0"/>
              <w:bottom w:val="single" w:color="auto" w:sz="4" w:space="0"/>
              <w:right w:val="single" w:color="auto" w:sz="4" w:space="0"/>
            </w:tcBorders>
            <w:shd w:val="clear" w:color="auto" w:fill="D9D9D9"/>
            <w:vAlign w:val="center"/>
          </w:tcPr>
          <w:p w14:paraId="0CE9E38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对用户的影响</w:t>
            </w:r>
          </w:p>
        </w:tc>
      </w:tr>
      <w:tr w14:paraId="3FA2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03990781">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05F64D8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39DC1ED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无影响或对操作员造成轻微不便利。</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753AC4B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使用前器械损坏，不使用已损坏的器械。</w:t>
            </w:r>
          </w:p>
          <w:p w14:paraId="02522F2F">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不影响器械使用的损坏或功能异常。</w:t>
            </w:r>
          </w:p>
          <w:p w14:paraId="1D781F30">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对患者无影响。</w:t>
            </w:r>
          </w:p>
        </w:tc>
      </w:tr>
      <w:tr w14:paraId="7326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7736099F">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7FF0870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很低</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5864E805">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无需返工，轻微延长工时，不影响下游过程；</w:t>
            </w:r>
          </w:p>
          <w:p w14:paraId="6CB84B11">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无零部件损坏或报废。</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6B71CFC5">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设备功能异常轻微影响手术时间。</w:t>
            </w:r>
          </w:p>
          <w:p w14:paraId="337E9BD3">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操作舒适度降低轻微影响手术时间。</w:t>
            </w:r>
          </w:p>
          <w:p w14:paraId="605CCAF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患者暂时轻微不适。</w:t>
            </w:r>
          </w:p>
        </w:tc>
      </w:tr>
      <w:tr w14:paraId="20BE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3C30E06F">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41FCDC1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低</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388EB95E">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当前工序内返工，显著延长工时。</w:t>
            </w:r>
          </w:p>
          <w:p w14:paraId="00C7EBF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轻微影响下游过程。</w:t>
            </w:r>
          </w:p>
          <w:p w14:paraId="36B8A97F">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次要零部件损坏或报废。</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547639F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不要求专业医疗介入的暂时伤害或损伤，如：</w:t>
            </w:r>
          </w:p>
          <w:p w14:paraId="7101733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显著延长手术时间。</w:t>
            </w:r>
          </w:p>
          <w:p w14:paraId="2E88C79E">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组织轻微损伤。</w:t>
            </w:r>
          </w:p>
          <w:p w14:paraId="7CF84FE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血管轻微出血。</w:t>
            </w:r>
          </w:p>
        </w:tc>
      </w:tr>
      <w:tr w14:paraId="00FA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036093DD">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5E62CED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中等</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77D375DF">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脱线返工，严重影响下游过程。</w:t>
            </w:r>
          </w:p>
          <w:p w14:paraId="053758F0">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重要零部件、产品损坏或报废。</w:t>
            </w:r>
          </w:p>
          <w:p w14:paraId="43E3A4ED">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设备、工装或夹具的轻微损伤。</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1FF29F7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要求专业医疗介入的暂时伤害或损伤，如：</w:t>
            </w:r>
          </w:p>
          <w:p w14:paraId="29DBB0A4">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全身感染、炎症。</w:t>
            </w:r>
          </w:p>
          <w:p w14:paraId="72287A95">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使用时器械损坏,从微创伤手术改为传统开腔手术。</w:t>
            </w:r>
          </w:p>
        </w:tc>
      </w:tr>
      <w:tr w14:paraId="51AA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1EC448FC">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18B0BA5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高</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2926B146">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大量返工或流水线停止。</w:t>
            </w:r>
          </w:p>
          <w:p w14:paraId="0E28555D">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设备、机器、工装或夹具损坏。</w:t>
            </w:r>
          </w:p>
          <w:p w14:paraId="711C29E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对操作者有危害。</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2A8AF00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永久性损伤或危机生命的伤害。</w:t>
            </w:r>
          </w:p>
          <w:p w14:paraId="43C3E12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不可恢复的伤害。</w:t>
            </w:r>
          </w:p>
        </w:tc>
      </w:tr>
      <w:tr w14:paraId="41CB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20050F3D">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10E4372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很高</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1BF18B85">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对操作者产生严重或致命的危害。</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1B654C7E">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由于医疗器械的失效导致的死亡</w:t>
            </w:r>
          </w:p>
        </w:tc>
      </w:tr>
    </w:tbl>
    <w:p w14:paraId="0A31D22B">
      <w:pPr>
        <w:spacing w:line="360" w:lineRule="auto"/>
        <w:ind w:left="0" w:leftChars="0" w:firstLine="0" w:firstLineChars="0"/>
        <w:rPr>
          <w:rFonts w:hint="eastAsia" w:ascii="宋体" w:hAnsi="宋体"/>
          <w:color w:val="000000"/>
          <w:szCs w:val="21"/>
        </w:rPr>
      </w:pPr>
    </w:p>
    <w:p w14:paraId="6FD6742B">
      <w:pPr>
        <w:pStyle w:val="4"/>
      </w:pPr>
      <w:bookmarkStart w:id="59" w:name="_Toc1112186511"/>
      <w:bookmarkStart w:id="60" w:name="_Toc20068"/>
      <w:r>
        <w:rPr>
          <w:rFonts w:hint="eastAsia"/>
        </w:rPr>
        <w:t>风险</w:t>
      </w:r>
      <w:r>
        <w:rPr>
          <w:rFonts w:hint="default"/>
          <w:woUserID w:val="1"/>
        </w:rPr>
        <w:t>可接受的评定</w:t>
      </w:r>
      <w:r>
        <w:rPr>
          <w:rFonts w:hint="eastAsia"/>
        </w:rPr>
        <w:t>准则</w:t>
      </w:r>
      <w:bookmarkEnd w:id="59"/>
      <w:bookmarkEnd w:id="60"/>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82"/>
        <w:gridCol w:w="911"/>
        <w:gridCol w:w="911"/>
        <w:gridCol w:w="857"/>
        <w:gridCol w:w="881"/>
        <w:gridCol w:w="911"/>
        <w:gridCol w:w="842"/>
        <w:gridCol w:w="911"/>
        <w:gridCol w:w="911"/>
        <w:gridCol w:w="932"/>
        <w:gridCol w:w="905"/>
      </w:tblGrid>
      <w:tr w14:paraId="7C19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5000" w:type="pct"/>
            <w:gridSpan w:val="11"/>
            <w:tcBorders>
              <w:top w:val="single" w:color="auto" w:sz="4" w:space="0"/>
              <w:left w:val="single" w:color="auto" w:sz="4" w:space="0"/>
              <w:bottom w:val="single" w:color="auto" w:sz="4" w:space="0"/>
              <w:right w:val="single" w:color="auto" w:sz="4" w:space="0"/>
            </w:tcBorders>
            <w:shd w:val="clear" w:color="auto" w:fill="D9D9D9"/>
            <w:vAlign w:val="center"/>
          </w:tcPr>
          <w:p w14:paraId="0F4C11E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发生概率（O）</w:t>
            </w:r>
          </w:p>
        </w:tc>
      </w:tr>
      <w:tr w14:paraId="1AF2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448" w:type="pct"/>
            <w:tcBorders>
              <w:top w:val="single" w:color="auto" w:sz="4" w:space="0"/>
              <w:left w:val="single" w:color="auto" w:sz="4" w:space="0"/>
              <w:bottom w:val="single" w:color="auto" w:sz="4" w:space="0"/>
              <w:right w:val="single" w:color="auto" w:sz="4" w:space="0"/>
            </w:tcBorders>
            <w:shd w:val="clear" w:color="auto" w:fill="D9D9D9"/>
            <w:vAlign w:val="center"/>
          </w:tcPr>
          <w:p w14:paraId="7D96438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严重度（S）</w:t>
            </w:r>
          </w:p>
        </w:tc>
        <w:tc>
          <w:tcPr>
            <w:tcW w:w="463" w:type="pct"/>
            <w:tcBorders>
              <w:top w:val="single" w:color="auto" w:sz="4" w:space="0"/>
              <w:left w:val="single" w:color="auto" w:sz="4" w:space="0"/>
              <w:bottom w:val="single" w:color="auto" w:sz="4" w:space="0"/>
              <w:right w:val="single" w:color="auto" w:sz="4" w:space="0"/>
            </w:tcBorders>
            <w:shd w:val="clear" w:color="auto" w:fill="D9D9D9"/>
            <w:vAlign w:val="center"/>
          </w:tcPr>
          <w:p w14:paraId="64DC8FE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0D795F8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2</w:t>
            </w:r>
          </w:p>
        </w:tc>
        <w:tc>
          <w:tcPr>
            <w:tcW w:w="435" w:type="pct"/>
            <w:tcBorders>
              <w:top w:val="single" w:color="auto" w:sz="4" w:space="0"/>
              <w:left w:val="single" w:color="auto" w:sz="4" w:space="0"/>
              <w:bottom w:val="single" w:color="auto" w:sz="4" w:space="0"/>
              <w:right w:val="single" w:color="auto" w:sz="4" w:space="0"/>
            </w:tcBorders>
            <w:shd w:val="clear" w:color="auto" w:fill="D9D9D9"/>
            <w:vAlign w:val="center"/>
          </w:tcPr>
          <w:p w14:paraId="1D81862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3</w:t>
            </w:r>
          </w:p>
        </w:tc>
        <w:tc>
          <w:tcPr>
            <w:tcW w:w="447" w:type="pct"/>
            <w:tcBorders>
              <w:top w:val="single" w:color="auto" w:sz="4" w:space="0"/>
              <w:left w:val="single" w:color="auto" w:sz="4" w:space="0"/>
              <w:bottom w:val="single" w:color="auto" w:sz="4" w:space="0"/>
              <w:right w:val="single" w:color="auto" w:sz="4" w:space="0"/>
            </w:tcBorders>
            <w:shd w:val="clear" w:color="auto" w:fill="D9D9D9"/>
            <w:vAlign w:val="center"/>
          </w:tcPr>
          <w:p w14:paraId="48DF23A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4</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0D76F642">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5</w:t>
            </w:r>
          </w:p>
        </w:tc>
        <w:tc>
          <w:tcPr>
            <w:tcW w:w="427" w:type="pct"/>
            <w:tcBorders>
              <w:top w:val="single" w:color="auto" w:sz="4" w:space="0"/>
              <w:left w:val="single" w:color="auto" w:sz="4" w:space="0"/>
              <w:bottom w:val="single" w:color="auto" w:sz="4" w:space="0"/>
              <w:right w:val="single" w:color="auto" w:sz="4" w:space="0"/>
            </w:tcBorders>
            <w:shd w:val="clear" w:color="auto" w:fill="D9D9D9"/>
            <w:vAlign w:val="center"/>
          </w:tcPr>
          <w:p w14:paraId="7173E9D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6</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534588B4">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7</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2AA97E27">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8</w:t>
            </w:r>
          </w:p>
        </w:tc>
        <w:tc>
          <w:tcPr>
            <w:tcW w:w="473" w:type="pct"/>
            <w:tcBorders>
              <w:top w:val="single" w:color="auto" w:sz="4" w:space="0"/>
              <w:left w:val="single" w:color="auto" w:sz="4" w:space="0"/>
              <w:bottom w:val="single" w:color="auto" w:sz="4" w:space="0"/>
              <w:right w:val="single" w:color="auto" w:sz="4" w:space="0"/>
            </w:tcBorders>
            <w:shd w:val="clear" w:color="auto" w:fill="D9D9D9"/>
            <w:vAlign w:val="center"/>
          </w:tcPr>
          <w:p w14:paraId="6FFCD40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9</w:t>
            </w:r>
          </w:p>
        </w:tc>
        <w:tc>
          <w:tcPr>
            <w:tcW w:w="455" w:type="pct"/>
            <w:tcBorders>
              <w:top w:val="single" w:color="auto" w:sz="4" w:space="0"/>
              <w:left w:val="single" w:color="auto" w:sz="4" w:space="0"/>
              <w:bottom w:val="single" w:color="auto" w:sz="4" w:space="0"/>
              <w:right w:val="single" w:color="auto" w:sz="4" w:space="0"/>
            </w:tcBorders>
            <w:shd w:val="clear" w:color="auto" w:fill="D9D9D9"/>
            <w:vAlign w:val="center"/>
          </w:tcPr>
          <w:p w14:paraId="1669D6B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10</w:t>
            </w:r>
          </w:p>
        </w:tc>
      </w:tr>
      <w:tr w14:paraId="1537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2A71CA7D">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463" w:type="pct"/>
            <w:tcBorders>
              <w:top w:val="single" w:color="auto" w:sz="4" w:space="0"/>
              <w:left w:val="single" w:color="auto" w:sz="4" w:space="0"/>
              <w:bottom w:val="single" w:color="auto" w:sz="4" w:space="0"/>
              <w:right w:val="single" w:color="auto" w:sz="4" w:space="0"/>
            </w:tcBorders>
            <w:shd w:val="clear" w:color="auto" w:fill="00B050"/>
            <w:vAlign w:val="center"/>
          </w:tcPr>
          <w:p w14:paraId="09F6428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5B9C23D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35" w:type="pct"/>
            <w:tcBorders>
              <w:top w:val="single" w:color="auto" w:sz="4" w:space="0"/>
              <w:left w:val="single" w:color="auto" w:sz="4" w:space="0"/>
              <w:bottom w:val="single" w:color="auto" w:sz="4" w:space="0"/>
              <w:right w:val="single" w:color="auto" w:sz="4" w:space="0"/>
            </w:tcBorders>
            <w:shd w:val="clear" w:color="auto" w:fill="00B050"/>
            <w:vAlign w:val="center"/>
          </w:tcPr>
          <w:p w14:paraId="65854B6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47" w:type="pct"/>
            <w:tcBorders>
              <w:top w:val="single" w:color="auto" w:sz="4" w:space="0"/>
              <w:left w:val="single" w:color="auto" w:sz="4" w:space="0"/>
              <w:bottom w:val="single" w:color="auto" w:sz="4" w:space="0"/>
              <w:right w:val="single" w:color="auto" w:sz="4" w:space="0"/>
            </w:tcBorders>
            <w:shd w:val="clear" w:color="auto" w:fill="00B050"/>
            <w:vAlign w:val="center"/>
          </w:tcPr>
          <w:p w14:paraId="6058EA7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7C56369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27" w:type="pct"/>
            <w:tcBorders>
              <w:top w:val="single" w:color="auto" w:sz="4" w:space="0"/>
              <w:left w:val="single" w:color="auto" w:sz="4" w:space="0"/>
              <w:bottom w:val="single" w:color="auto" w:sz="4" w:space="0"/>
              <w:right w:val="single" w:color="auto" w:sz="4" w:space="0"/>
            </w:tcBorders>
            <w:shd w:val="clear" w:color="auto" w:fill="0070C0"/>
            <w:vAlign w:val="center"/>
          </w:tcPr>
          <w:p w14:paraId="6DA97ED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3F6A2D2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068A495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73" w:type="pct"/>
            <w:tcBorders>
              <w:top w:val="single" w:color="auto" w:sz="4" w:space="0"/>
              <w:left w:val="single" w:color="auto" w:sz="4" w:space="0"/>
              <w:bottom w:val="single" w:color="auto" w:sz="4" w:space="0"/>
              <w:right w:val="single" w:color="auto" w:sz="4" w:space="0"/>
            </w:tcBorders>
            <w:shd w:val="clear" w:color="auto" w:fill="0070C0"/>
            <w:vAlign w:val="center"/>
          </w:tcPr>
          <w:p w14:paraId="25FF1FD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55" w:type="pct"/>
            <w:tcBorders>
              <w:top w:val="single" w:color="auto" w:sz="4" w:space="0"/>
              <w:left w:val="single" w:color="auto" w:sz="4" w:space="0"/>
              <w:bottom w:val="single" w:color="auto" w:sz="4" w:space="0"/>
              <w:right w:val="single" w:color="auto" w:sz="4" w:space="0"/>
            </w:tcBorders>
            <w:shd w:val="clear" w:color="auto" w:fill="0070C0"/>
            <w:vAlign w:val="center"/>
          </w:tcPr>
          <w:p w14:paraId="5D9ACF1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r>
      <w:tr w14:paraId="66CA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323652FD">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463" w:type="pct"/>
            <w:tcBorders>
              <w:top w:val="single" w:color="auto" w:sz="4" w:space="0"/>
              <w:left w:val="single" w:color="auto" w:sz="4" w:space="0"/>
              <w:bottom w:val="single" w:color="auto" w:sz="4" w:space="0"/>
              <w:right w:val="single" w:color="auto" w:sz="4" w:space="0"/>
            </w:tcBorders>
            <w:shd w:val="clear" w:color="auto" w:fill="00B050"/>
            <w:vAlign w:val="center"/>
          </w:tcPr>
          <w:p w14:paraId="73DF87A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25252D1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43C5AA7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38074A9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6304915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27" w:type="pct"/>
            <w:tcBorders>
              <w:top w:val="single" w:color="auto" w:sz="4" w:space="0"/>
              <w:left w:val="single" w:color="auto" w:sz="4" w:space="0"/>
              <w:bottom w:val="single" w:color="auto" w:sz="4" w:space="0"/>
              <w:right w:val="single" w:color="auto" w:sz="4" w:space="0"/>
            </w:tcBorders>
            <w:shd w:val="clear" w:color="auto" w:fill="0070C0"/>
            <w:vAlign w:val="center"/>
          </w:tcPr>
          <w:p w14:paraId="2D9AA43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5472B43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01CBD41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73" w:type="pct"/>
            <w:tcBorders>
              <w:top w:val="single" w:color="auto" w:sz="4" w:space="0"/>
              <w:left w:val="single" w:color="auto" w:sz="4" w:space="0"/>
              <w:bottom w:val="single" w:color="auto" w:sz="4" w:space="0"/>
              <w:right w:val="single" w:color="auto" w:sz="4" w:space="0"/>
            </w:tcBorders>
            <w:shd w:val="clear" w:color="auto" w:fill="0070C0"/>
            <w:vAlign w:val="center"/>
          </w:tcPr>
          <w:p w14:paraId="6C1E5FA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55" w:type="pct"/>
            <w:tcBorders>
              <w:top w:val="single" w:color="auto" w:sz="4" w:space="0"/>
              <w:left w:val="single" w:color="auto" w:sz="4" w:space="0"/>
              <w:bottom w:val="single" w:color="auto" w:sz="4" w:space="0"/>
              <w:right w:val="single" w:color="auto" w:sz="4" w:space="0"/>
            </w:tcBorders>
            <w:shd w:val="clear" w:color="auto" w:fill="0070C0"/>
            <w:vAlign w:val="center"/>
          </w:tcPr>
          <w:p w14:paraId="1625935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r>
      <w:tr w14:paraId="1B2E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3B67EF41">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20B9A58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6801EDC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0C4BDB0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51DF30D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3BCB200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140221C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48D5688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97FCE7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3E7B7E5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21F7C1F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30C7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22263AAB">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39147EF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0B2616C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5C515F1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56861D7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5404CF3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75FDC44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469C5C5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AE4D72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7E05C05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0D0D54F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539F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2514700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48A68B5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031F230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FF0000"/>
            <w:vAlign w:val="center"/>
          </w:tcPr>
          <w:p w14:paraId="6B396EC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47" w:type="pct"/>
            <w:tcBorders>
              <w:top w:val="single" w:color="auto" w:sz="4" w:space="0"/>
              <w:left w:val="single" w:color="auto" w:sz="4" w:space="0"/>
              <w:bottom w:val="single" w:color="auto" w:sz="4" w:space="0"/>
              <w:right w:val="single" w:color="auto" w:sz="4" w:space="0"/>
            </w:tcBorders>
            <w:shd w:val="clear" w:color="auto" w:fill="FF0000"/>
            <w:vAlign w:val="center"/>
          </w:tcPr>
          <w:p w14:paraId="08E0042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D31193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67CEA16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B611AE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696D848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392CF87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709E5C9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6DAF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5C6E2F5A">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463" w:type="pct"/>
            <w:tcBorders>
              <w:top w:val="single" w:color="auto" w:sz="4" w:space="0"/>
              <w:left w:val="single" w:color="auto" w:sz="4" w:space="0"/>
              <w:bottom w:val="single" w:color="auto" w:sz="4" w:space="0"/>
              <w:right w:val="single" w:color="auto" w:sz="4" w:space="0"/>
            </w:tcBorders>
            <w:shd w:val="clear" w:color="auto" w:fill="FF0000"/>
            <w:vAlign w:val="center"/>
          </w:tcPr>
          <w:p w14:paraId="3706339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730CA3C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35" w:type="pct"/>
            <w:tcBorders>
              <w:top w:val="single" w:color="auto" w:sz="4" w:space="0"/>
              <w:left w:val="single" w:color="auto" w:sz="4" w:space="0"/>
              <w:bottom w:val="single" w:color="auto" w:sz="4" w:space="0"/>
              <w:right w:val="single" w:color="auto" w:sz="4" w:space="0"/>
            </w:tcBorders>
            <w:shd w:val="clear" w:color="auto" w:fill="FF0000"/>
            <w:vAlign w:val="center"/>
          </w:tcPr>
          <w:p w14:paraId="0682A47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47" w:type="pct"/>
            <w:tcBorders>
              <w:top w:val="single" w:color="auto" w:sz="4" w:space="0"/>
              <w:left w:val="single" w:color="auto" w:sz="4" w:space="0"/>
              <w:bottom w:val="single" w:color="auto" w:sz="4" w:space="0"/>
              <w:right w:val="single" w:color="auto" w:sz="4" w:space="0"/>
            </w:tcBorders>
            <w:shd w:val="clear" w:color="auto" w:fill="FF0000"/>
            <w:vAlign w:val="center"/>
          </w:tcPr>
          <w:p w14:paraId="0249DE3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586CBA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0460BB2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05490DD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0A093AC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52E3098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76CCC16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6137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11"/>
            <w:tcBorders>
              <w:top w:val="single" w:color="auto" w:sz="4" w:space="0"/>
              <w:left w:val="single" w:color="auto" w:sz="4" w:space="0"/>
              <w:bottom w:val="single" w:color="auto" w:sz="4" w:space="0"/>
              <w:right w:val="single" w:color="auto" w:sz="4" w:space="0"/>
            </w:tcBorders>
            <w:shd w:val="clear" w:color="auto" w:fill="auto"/>
            <w:vAlign w:val="center"/>
          </w:tcPr>
          <w:p w14:paraId="70769933">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red"/>
                <w:shd w:val="clear" w:fill="FF0000"/>
                <w:lang w:val="en-US" w:eastAsia="zh-CN" w:bidi="ar"/>
                <w:woUserID w:val="1"/>
              </w:rPr>
              <w:t>□</w:t>
            </w:r>
            <w:r>
              <w:rPr>
                <w:rFonts w:hint="eastAsia" w:ascii="宋体" w:hAnsi="宋体" w:eastAsia="宋体" w:cs="宋体"/>
                <w:kern w:val="2"/>
                <w:sz w:val="21"/>
                <w:szCs w:val="21"/>
                <w:lang w:val="en-US" w:eastAsia="zh-CN" w:bidi="ar"/>
                <w:woUserID w:val="1"/>
              </w:rPr>
              <w:t>：风险不可接受（(N/ACC）</w:t>
            </w:r>
          </w:p>
          <w:p w14:paraId="58361087">
            <w:pPr>
              <w:keepNext w:val="0"/>
              <w:keepLines w:val="0"/>
              <w:widowControl/>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blue"/>
                <w:shd w:val="clear" w:fill="0070C0"/>
                <w:lang w:val="en-US" w:eastAsia="zh-CN" w:bidi="ar"/>
                <w:woUserID w:val="1"/>
              </w:rPr>
              <w:sym w:font="Wingdings 2" w:char="00A3"/>
            </w:r>
            <w:r>
              <w:rPr>
                <w:rFonts w:hint="eastAsia" w:ascii="宋体" w:hAnsi="宋体" w:eastAsia="宋体" w:cs="宋体"/>
                <w:kern w:val="2"/>
                <w:sz w:val="21"/>
                <w:szCs w:val="21"/>
                <w:lang w:val="en-US" w:eastAsia="zh-CN" w:bidi="ar"/>
                <w:woUserID w:val="1"/>
              </w:rPr>
              <w:t>：风险可接受，应尽可能将风险降到最低 （</w:t>
            </w:r>
            <w:r>
              <w:rPr>
                <w:rFonts w:hint="eastAsia" w:ascii="宋体" w:hAnsi="宋体" w:eastAsia="宋体" w:cs="宋体"/>
                <w:color w:val="000000"/>
                <w:kern w:val="0"/>
                <w:sz w:val="22"/>
                <w:szCs w:val="22"/>
                <w:lang w:val="en-US" w:eastAsia="zh-CN" w:bidi="ar"/>
                <w:woUserID w:val="1"/>
              </w:rPr>
              <w:t>ALA</w:t>
            </w:r>
            <w:r>
              <w:rPr>
                <w:rFonts w:hint="eastAsia" w:ascii="宋体" w:hAnsi="宋体" w:eastAsia="宋体" w:cs="宋体"/>
                <w:kern w:val="2"/>
                <w:sz w:val="21"/>
                <w:szCs w:val="21"/>
                <w:lang w:val="en-US" w:eastAsia="zh-CN" w:bidi="ar"/>
                <w:woUserID w:val="1"/>
              </w:rPr>
              <w:t>）</w:t>
            </w:r>
          </w:p>
          <w:p w14:paraId="7FF6BB13">
            <w:pPr>
              <w:keepNext w:val="0"/>
              <w:keepLines w:val="0"/>
              <w:widowControl/>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darkGreen"/>
                <w:shd w:val="clear" w:fill="00B050"/>
                <w:lang w:val="en-US" w:eastAsia="zh-CN" w:bidi="ar"/>
                <w:woUserID w:val="1"/>
              </w:rPr>
              <w:t>□</w:t>
            </w:r>
            <w:r>
              <w:rPr>
                <w:rFonts w:hint="eastAsia" w:ascii="宋体" w:hAnsi="宋体" w:eastAsia="宋体" w:cs="宋体"/>
                <w:kern w:val="2"/>
                <w:sz w:val="21"/>
                <w:szCs w:val="21"/>
                <w:lang w:val="en-US" w:eastAsia="zh-CN" w:bidi="ar"/>
                <w:woUserID w:val="1"/>
              </w:rPr>
              <w:t>：风险可接受，可忽略（</w:t>
            </w:r>
            <w:r>
              <w:rPr>
                <w:rFonts w:hint="eastAsia" w:ascii="宋体" w:hAnsi="宋体" w:eastAsia="宋体" w:cs="宋体"/>
                <w:color w:val="000000"/>
                <w:kern w:val="0"/>
                <w:sz w:val="22"/>
                <w:szCs w:val="22"/>
                <w:lang w:val="en-US" w:eastAsia="zh-CN" w:bidi="ar"/>
                <w:woUserID w:val="1"/>
              </w:rPr>
              <w:t>ACC</w:t>
            </w:r>
            <w:r>
              <w:rPr>
                <w:rFonts w:hint="eastAsia" w:ascii="宋体" w:hAnsi="宋体" w:eastAsia="宋体" w:cs="宋体"/>
                <w:kern w:val="2"/>
                <w:sz w:val="21"/>
                <w:szCs w:val="21"/>
                <w:lang w:val="en-US" w:eastAsia="zh-CN" w:bidi="ar"/>
                <w:woUserID w:val="1"/>
              </w:rPr>
              <w:t>）</w:t>
            </w:r>
          </w:p>
          <w:p w14:paraId="4D35DAE6">
            <w:pPr>
              <w:keepNext w:val="0"/>
              <w:keepLines w:val="0"/>
              <w:widowControl w:val="0"/>
              <w:suppressLineNumbers w:val="0"/>
              <w:spacing w:before="0" w:beforeAutospacing="0" w:after="0" w:afterAutospacing="0"/>
              <w:ind w:left="0" w:right="0"/>
              <w:jc w:val="left"/>
              <w:rPr>
                <w:rFonts w:hint="default"/>
                <w:lang w:val="en-US"/>
              </w:rPr>
            </w:pPr>
            <w:r>
              <w:rPr>
                <w:rFonts w:hint="eastAsia" w:ascii="宋体" w:hAnsi="宋体" w:eastAsia="宋体" w:cs="宋体"/>
                <w:kern w:val="2"/>
                <w:sz w:val="21"/>
                <w:szCs w:val="21"/>
                <w:lang w:val="en-US" w:eastAsia="zh-CN" w:bidi="ar"/>
                <w:woUserID w:val="1"/>
              </w:rPr>
              <w:t>（注意：产品包含欧盟目标市场时，建议只分为可接受风险和不可接受风险两类）</w:t>
            </w:r>
            <w:r>
              <w:rPr>
                <w:rFonts w:hint="eastAsia" w:ascii="宋体" w:hAnsi="宋体" w:cs="宋体"/>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因为欧美无论风险大小，都必须尽可能的采取措施，降低风险。</w:t>
            </w:r>
          </w:p>
        </w:tc>
      </w:tr>
    </w:tbl>
    <w:p w14:paraId="7DBC718D">
      <w:pPr>
        <w:ind w:left="0" w:leftChars="0" w:firstLine="0" w:firstLineChars="0"/>
        <w:rPr>
          <w:szCs w:val="21"/>
        </w:rPr>
      </w:pPr>
    </w:p>
    <w:p w14:paraId="4B82F169">
      <w:pPr>
        <w:pStyle w:val="2"/>
        <w:rPr>
          <w:rFonts w:hint="eastAsia" w:ascii="Times New Roman" w:hAnsi="Times New Roman" w:cs="Times New Roman"/>
          <w:lang w:eastAsia="zh-CN"/>
        </w:rPr>
      </w:pPr>
      <w:bookmarkStart w:id="61" w:name="_Toc29828839"/>
      <w:bookmarkStart w:id="62" w:name="_Toc357203116"/>
      <w:bookmarkStart w:id="63" w:name="_Toc334791238"/>
      <w:bookmarkStart w:id="64" w:name="_Toc295316028"/>
      <w:bookmarkStart w:id="65" w:name="_Toc295403964"/>
      <w:bookmarkStart w:id="66" w:name="_Toc29723"/>
      <w:r>
        <w:rPr>
          <w:rFonts w:hint="eastAsia" w:ascii="Times New Roman" w:hAnsi="Times New Roman" w:cs="Times New Roman"/>
          <w:lang w:eastAsia="zh-CN"/>
        </w:rPr>
        <w:t>上市前产品风险管理活动、风险管理评审和验证活动计划</w:t>
      </w:r>
      <w:bookmarkEnd w:id="61"/>
      <w:bookmarkEnd w:id="62"/>
      <w:bookmarkEnd w:id="63"/>
      <w:bookmarkEnd w:id="64"/>
      <w:bookmarkEnd w:id="65"/>
      <w:bookmarkEnd w:id="66"/>
    </w:p>
    <w:tbl>
      <w:tblPr>
        <w:tblStyle w:val="20"/>
        <w:tblW w:w="487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901"/>
        <w:gridCol w:w="1488"/>
        <w:gridCol w:w="3752"/>
        <w:gridCol w:w="1582"/>
        <w:gridCol w:w="1875"/>
      </w:tblGrid>
      <w:tr w14:paraId="7743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219" w:hRule="atLeast"/>
          <w:tblHeader/>
          <w:jc w:val="center"/>
        </w:trPr>
        <w:tc>
          <w:tcPr>
            <w:tcW w:w="469" w:type="pct"/>
            <w:vMerge w:val="restart"/>
            <w:tcBorders>
              <w:top w:val="single" w:color="auto" w:sz="4" w:space="0"/>
              <w:left w:val="single" w:color="auto" w:sz="4" w:space="0"/>
              <w:bottom w:val="single" w:color="auto" w:sz="4" w:space="0"/>
              <w:right w:val="single" w:color="auto" w:sz="4" w:space="0"/>
            </w:tcBorders>
            <w:shd w:val="clear" w:color="auto" w:fill="BFBFBF"/>
            <w:vAlign w:val="center"/>
          </w:tcPr>
          <w:p w14:paraId="1B512CFC">
            <w:pPr>
              <w:keepNext w:val="0"/>
              <w:keepLines w:val="0"/>
              <w:suppressLineNumbers w:val="0"/>
              <w:spacing w:before="0" w:beforeAutospacing="0" w:after="0" w:afterAutospacing="0"/>
              <w:ind w:left="0" w:right="0"/>
              <w:jc w:val="center"/>
              <w:rPr>
                <w:rFonts w:hint="default"/>
                <w:b/>
                <w:color w:val="000000"/>
                <w:sz w:val="24"/>
                <w:szCs w:val="21"/>
              </w:rPr>
            </w:pPr>
            <w:r>
              <w:rPr>
                <w:rFonts w:hint="eastAsia"/>
                <w:b/>
                <w:color w:val="000000"/>
                <w:sz w:val="24"/>
                <w:szCs w:val="21"/>
              </w:rPr>
              <w:t>阶段</w:t>
            </w:r>
          </w:p>
        </w:tc>
        <w:tc>
          <w:tcPr>
            <w:tcW w:w="3553" w:type="pct"/>
            <w:gridSpan w:val="3"/>
            <w:tcBorders>
              <w:top w:val="single" w:color="auto" w:sz="4" w:space="0"/>
              <w:left w:val="single" w:color="auto" w:sz="4" w:space="0"/>
              <w:bottom w:val="single" w:color="auto" w:sz="4" w:space="0"/>
              <w:right w:val="single" w:color="auto" w:sz="4" w:space="0"/>
            </w:tcBorders>
            <w:shd w:val="clear" w:color="auto" w:fill="BFBFBF"/>
            <w:vAlign w:val="center"/>
          </w:tcPr>
          <w:p w14:paraId="14377187">
            <w:pPr>
              <w:keepNext w:val="0"/>
              <w:keepLines w:val="0"/>
              <w:suppressLineNumbers w:val="0"/>
              <w:spacing w:before="0" w:beforeAutospacing="0" w:after="0" w:afterAutospacing="0"/>
              <w:ind w:left="0" w:right="0"/>
              <w:jc w:val="center"/>
              <w:rPr>
                <w:rFonts w:hint="default"/>
                <w:b/>
                <w:color w:val="000000"/>
                <w:sz w:val="24"/>
                <w:szCs w:val="21"/>
              </w:rPr>
            </w:pPr>
            <w:r>
              <w:rPr>
                <w:rFonts w:hint="eastAsia"/>
                <w:b/>
                <w:color w:val="000000"/>
                <w:sz w:val="24"/>
                <w:szCs w:val="21"/>
              </w:rPr>
              <w:t>风险管理活动</w:t>
            </w:r>
          </w:p>
        </w:tc>
        <w:tc>
          <w:tcPr>
            <w:tcW w:w="976" w:type="pct"/>
            <w:vMerge w:val="restart"/>
            <w:tcBorders>
              <w:top w:val="single" w:color="auto" w:sz="4" w:space="0"/>
              <w:left w:val="single" w:color="auto" w:sz="4" w:space="0"/>
              <w:bottom w:val="single" w:color="auto" w:sz="4" w:space="0"/>
              <w:right w:val="single" w:color="auto" w:sz="4" w:space="0"/>
            </w:tcBorders>
            <w:shd w:val="clear" w:color="auto" w:fill="BFBFBF"/>
            <w:vAlign w:val="center"/>
          </w:tcPr>
          <w:p w14:paraId="2E0B0171">
            <w:pPr>
              <w:keepNext w:val="0"/>
              <w:keepLines w:val="0"/>
              <w:suppressLineNumbers w:val="0"/>
              <w:spacing w:before="0" w:beforeAutospacing="0" w:after="0" w:afterAutospacing="0"/>
              <w:ind w:left="0" w:right="0"/>
              <w:jc w:val="center"/>
              <w:rPr>
                <w:rFonts w:hint="default"/>
                <w:b/>
                <w:color w:val="000000"/>
                <w:sz w:val="24"/>
                <w:szCs w:val="21"/>
              </w:rPr>
            </w:pPr>
            <w:r>
              <w:rPr>
                <w:rFonts w:hint="eastAsia"/>
                <w:b/>
                <w:color w:val="000000"/>
                <w:sz w:val="24"/>
                <w:szCs w:val="21"/>
              </w:rPr>
              <w:t>风险管理文档</w:t>
            </w:r>
          </w:p>
        </w:tc>
      </w:tr>
      <w:tr w14:paraId="3AC1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219" w:hRule="atLeast"/>
          <w:tblHeader/>
          <w:jc w:val="center"/>
        </w:trPr>
        <w:tc>
          <w:tcPr>
            <w:tcW w:w="469" w:type="pct"/>
            <w:vMerge w:val="continue"/>
            <w:tcBorders>
              <w:top w:val="single" w:color="auto" w:sz="4" w:space="0"/>
              <w:left w:val="single" w:color="auto" w:sz="4" w:space="0"/>
              <w:bottom w:val="single" w:color="auto" w:sz="4" w:space="0"/>
              <w:right w:val="single" w:color="auto" w:sz="4" w:space="0"/>
            </w:tcBorders>
            <w:shd w:val="clear" w:color="auto" w:fill="BFBFBF"/>
            <w:vAlign w:val="center"/>
          </w:tcPr>
          <w:p w14:paraId="611AE6A9">
            <w:pPr>
              <w:keepNext w:val="0"/>
              <w:keepLines w:val="0"/>
              <w:widowControl/>
              <w:suppressLineNumbers w:val="0"/>
              <w:spacing w:before="0" w:beforeAutospacing="0" w:after="0" w:afterAutospacing="0"/>
              <w:ind w:left="0" w:right="0"/>
              <w:jc w:val="left"/>
              <w:rPr>
                <w:rFonts w:hint="default"/>
                <w:b/>
                <w:color w:val="000000"/>
                <w:sz w:val="24"/>
                <w:szCs w:val="21"/>
              </w:rPr>
            </w:pPr>
          </w:p>
        </w:tc>
        <w:tc>
          <w:tcPr>
            <w:tcW w:w="2729" w:type="pct"/>
            <w:gridSpan w:val="2"/>
            <w:tcBorders>
              <w:top w:val="single" w:color="auto" w:sz="4" w:space="0"/>
              <w:left w:val="single" w:color="auto" w:sz="4" w:space="0"/>
              <w:bottom w:val="single" w:color="auto" w:sz="4" w:space="0"/>
              <w:right w:val="single" w:color="auto" w:sz="4" w:space="0"/>
            </w:tcBorders>
            <w:shd w:val="clear" w:color="auto" w:fill="BFBFBF"/>
            <w:vAlign w:val="center"/>
          </w:tcPr>
          <w:p w14:paraId="600FCD37">
            <w:pPr>
              <w:keepNext w:val="0"/>
              <w:keepLines w:val="0"/>
              <w:suppressLineNumbers w:val="0"/>
              <w:spacing w:before="0" w:beforeAutospacing="0" w:after="0" w:afterAutospacing="0"/>
              <w:ind w:left="0" w:right="0"/>
              <w:jc w:val="center"/>
              <w:rPr>
                <w:rFonts w:hint="default"/>
                <w:b/>
                <w:color w:val="000000"/>
                <w:sz w:val="24"/>
                <w:szCs w:val="21"/>
              </w:rPr>
            </w:pPr>
            <w:r>
              <w:rPr>
                <w:rFonts w:hint="eastAsia"/>
                <w:b/>
                <w:color w:val="000000"/>
                <w:sz w:val="24"/>
                <w:szCs w:val="21"/>
              </w:rPr>
              <w:t>风险管理活动要求</w:t>
            </w:r>
          </w:p>
        </w:tc>
        <w:tc>
          <w:tcPr>
            <w:tcW w:w="824" w:type="pct"/>
            <w:tcBorders>
              <w:top w:val="single" w:color="auto" w:sz="4" w:space="0"/>
              <w:left w:val="single" w:color="auto" w:sz="4" w:space="0"/>
              <w:bottom w:val="single" w:color="auto" w:sz="4" w:space="0"/>
              <w:right w:val="single" w:color="auto" w:sz="4" w:space="0"/>
            </w:tcBorders>
            <w:shd w:val="clear" w:color="auto" w:fill="BFBFBF"/>
          </w:tcPr>
          <w:p w14:paraId="59409F6E">
            <w:pPr>
              <w:keepNext w:val="0"/>
              <w:keepLines w:val="0"/>
              <w:suppressLineNumbers w:val="0"/>
              <w:spacing w:before="0" w:beforeAutospacing="0" w:after="0" w:afterAutospacing="0"/>
              <w:ind w:left="0" w:right="0"/>
              <w:jc w:val="center"/>
              <w:rPr>
                <w:rFonts w:hint="default"/>
                <w:b/>
                <w:color w:val="000000"/>
                <w:sz w:val="24"/>
                <w:szCs w:val="21"/>
              </w:rPr>
            </w:pPr>
            <w:r>
              <w:rPr>
                <w:rFonts w:hint="eastAsia"/>
                <w:b/>
                <w:color w:val="000000"/>
                <w:sz w:val="24"/>
                <w:szCs w:val="21"/>
              </w:rPr>
              <w:t>责任人</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1F3120BF">
            <w:pPr>
              <w:keepNext w:val="0"/>
              <w:keepLines w:val="0"/>
              <w:widowControl/>
              <w:suppressLineNumbers w:val="0"/>
              <w:spacing w:before="0" w:beforeAutospacing="0" w:after="0" w:afterAutospacing="0"/>
              <w:ind w:left="0" w:right="0"/>
              <w:jc w:val="left"/>
              <w:rPr>
                <w:rFonts w:hint="default"/>
                <w:b/>
                <w:color w:val="000000"/>
                <w:szCs w:val="21"/>
              </w:rPr>
            </w:pPr>
          </w:p>
        </w:tc>
      </w:tr>
      <w:tr w14:paraId="5F9C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restart"/>
            <w:tcBorders>
              <w:top w:val="single" w:color="auto" w:sz="4" w:space="0"/>
              <w:left w:val="single" w:color="auto" w:sz="4" w:space="0"/>
              <w:bottom w:val="single" w:color="auto" w:sz="4" w:space="0"/>
              <w:right w:val="single" w:color="auto" w:sz="4" w:space="0"/>
            </w:tcBorders>
            <w:vAlign w:val="center"/>
          </w:tcPr>
          <w:p w14:paraId="3DCB373E">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策划和需求</w:t>
            </w:r>
          </w:p>
        </w:tc>
        <w:tc>
          <w:tcPr>
            <w:tcW w:w="775" w:type="pct"/>
            <w:vMerge w:val="restart"/>
            <w:tcBorders>
              <w:top w:val="single" w:color="auto" w:sz="4" w:space="0"/>
              <w:left w:val="single" w:color="auto" w:sz="4" w:space="0"/>
              <w:bottom w:val="single" w:color="auto" w:sz="4" w:space="0"/>
              <w:right w:val="single" w:color="auto" w:sz="4" w:space="0"/>
            </w:tcBorders>
            <w:vAlign w:val="center"/>
          </w:tcPr>
          <w:p w14:paraId="3813151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w:t>
            </w:r>
          </w:p>
        </w:tc>
        <w:tc>
          <w:tcPr>
            <w:tcW w:w="1954" w:type="pct"/>
            <w:tcBorders>
              <w:top w:val="single" w:color="auto" w:sz="4" w:space="0"/>
              <w:left w:val="single" w:color="auto" w:sz="4" w:space="0"/>
              <w:bottom w:val="single" w:color="auto" w:sz="4" w:space="0"/>
              <w:right w:val="single" w:color="auto" w:sz="4" w:space="0"/>
            </w:tcBorders>
            <w:vAlign w:val="center"/>
          </w:tcPr>
          <w:p w14:paraId="4F1D362D">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汇总输入信息</w:t>
            </w:r>
          </w:p>
        </w:tc>
        <w:tc>
          <w:tcPr>
            <w:tcW w:w="824" w:type="pct"/>
            <w:tcBorders>
              <w:top w:val="single" w:color="auto" w:sz="4" w:space="0"/>
              <w:left w:val="single" w:color="auto" w:sz="4" w:space="0"/>
              <w:bottom w:val="single" w:color="auto" w:sz="4" w:space="0"/>
              <w:right w:val="single" w:color="auto" w:sz="4" w:space="0"/>
            </w:tcBorders>
            <w:vAlign w:val="center"/>
          </w:tcPr>
          <w:p w14:paraId="2EB42AE0">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质量（设计）工程师</w:t>
            </w:r>
          </w:p>
        </w:tc>
        <w:tc>
          <w:tcPr>
            <w:tcW w:w="976" w:type="pct"/>
            <w:vMerge w:val="restart"/>
            <w:tcBorders>
              <w:top w:val="single" w:color="auto" w:sz="4" w:space="0"/>
              <w:left w:val="single" w:color="auto" w:sz="4" w:space="0"/>
              <w:bottom w:val="single" w:color="auto" w:sz="4" w:space="0"/>
              <w:right w:val="single" w:color="auto" w:sz="4" w:space="0"/>
            </w:tcBorders>
            <w:vAlign w:val="center"/>
          </w:tcPr>
          <w:p w14:paraId="50DD94A3">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风险输入文件</w:t>
            </w:r>
          </w:p>
        </w:tc>
      </w:tr>
      <w:tr w14:paraId="0B131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01947BED">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3862D32B">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424BE89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已发布的法规和标准</w:t>
            </w:r>
          </w:p>
        </w:tc>
        <w:tc>
          <w:tcPr>
            <w:tcW w:w="824" w:type="pct"/>
            <w:tcBorders>
              <w:top w:val="single" w:color="auto" w:sz="4" w:space="0"/>
              <w:left w:val="single" w:color="auto" w:sz="4" w:space="0"/>
              <w:bottom w:val="single" w:color="auto" w:sz="4" w:space="0"/>
              <w:right w:val="single" w:color="auto" w:sz="4" w:space="0"/>
            </w:tcBorders>
            <w:vAlign w:val="center"/>
          </w:tcPr>
          <w:p w14:paraId="7526071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注册工程师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4EEA3C2B">
            <w:pPr>
              <w:keepNext w:val="0"/>
              <w:keepLines w:val="0"/>
              <w:widowControl/>
              <w:suppressLineNumbers w:val="0"/>
              <w:spacing w:before="0" w:beforeAutospacing="0" w:after="0" w:afterAutospacing="0"/>
              <w:ind w:left="0" w:right="0"/>
              <w:rPr>
                <w:rFonts w:hint="default"/>
                <w:color w:val="0070BE"/>
                <w:szCs w:val="21"/>
              </w:rPr>
            </w:pPr>
          </w:p>
        </w:tc>
      </w:tr>
      <w:tr w14:paraId="3A61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76555D1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43E11FD6">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2E8F1E8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临床文献评估</w:t>
            </w:r>
          </w:p>
        </w:tc>
        <w:tc>
          <w:tcPr>
            <w:tcW w:w="824" w:type="pct"/>
            <w:tcBorders>
              <w:top w:val="single" w:color="auto" w:sz="4" w:space="0"/>
              <w:left w:val="single" w:color="auto" w:sz="4" w:space="0"/>
              <w:bottom w:val="single" w:color="auto" w:sz="4" w:space="0"/>
              <w:right w:val="single" w:color="auto" w:sz="4" w:space="0"/>
            </w:tcBorders>
            <w:vAlign w:val="center"/>
          </w:tcPr>
          <w:p w14:paraId="4393B77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临床工程师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14F29C43">
            <w:pPr>
              <w:keepNext w:val="0"/>
              <w:keepLines w:val="0"/>
              <w:widowControl/>
              <w:suppressLineNumbers w:val="0"/>
              <w:spacing w:before="0" w:beforeAutospacing="0" w:after="0" w:afterAutospacing="0"/>
              <w:ind w:left="0" w:right="0"/>
              <w:rPr>
                <w:rFonts w:hint="default"/>
                <w:color w:val="0070BE"/>
                <w:szCs w:val="21"/>
              </w:rPr>
            </w:pPr>
          </w:p>
        </w:tc>
      </w:tr>
      <w:tr w14:paraId="111A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9A34061">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16E992F8">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19B803BF">
            <w:pPr>
              <w:keepNext w:val="0"/>
              <w:keepLines w:val="0"/>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rPr>
              <w:t>实验室测试数据</w:t>
            </w:r>
          </w:p>
        </w:tc>
        <w:tc>
          <w:tcPr>
            <w:tcW w:w="824" w:type="pct"/>
            <w:tcBorders>
              <w:top w:val="single" w:color="auto" w:sz="4" w:space="0"/>
              <w:left w:val="single" w:color="auto" w:sz="4" w:space="0"/>
              <w:bottom w:val="single" w:color="auto" w:sz="4" w:space="0"/>
              <w:right w:val="single" w:color="auto" w:sz="4" w:space="0"/>
            </w:tcBorders>
            <w:vAlign w:val="center"/>
          </w:tcPr>
          <w:p w14:paraId="43746D16">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研发工程师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6489AF65">
            <w:pPr>
              <w:keepNext w:val="0"/>
              <w:keepLines w:val="0"/>
              <w:widowControl/>
              <w:suppressLineNumbers w:val="0"/>
              <w:spacing w:before="0" w:beforeAutospacing="0" w:after="0" w:afterAutospacing="0"/>
              <w:ind w:left="0" w:right="0"/>
              <w:rPr>
                <w:rFonts w:hint="default"/>
                <w:color w:val="0070BE"/>
                <w:szCs w:val="21"/>
              </w:rPr>
            </w:pPr>
          </w:p>
        </w:tc>
      </w:tr>
      <w:tr w14:paraId="3C03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5206DA3">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081AD3FF">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08437F9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同类产品分析报告</w:t>
            </w:r>
          </w:p>
        </w:tc>
        <w:tc>
          <w:tcPr>
            <w:tcW w:w="824" w:type="pct"/>
            <w:tcBorders>
              <w:top w:val="single" w:color="auto" w:sz="4" w:space="0"/>
              <w:left w:val="single" w:color="auto" w:sz="4" w:space="0"/>
              <w:bottom w:val="single" w:color="auto" w:sz="4" w:space="0"/>
              <w:right w:val="single" w:color="auto" w:sz="4" w:space="0"/>
            </w:tcBorders>
            <w:vAlign w:val="center"/>
          </w:tcPr>
          <w:p w14:paraId="20823579">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质量（设计）工程师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3E4A1B3B">
            <w:pPr>
              <w:keepNext w:val="0"/>
              <w:keepLines w:val="0"/>
              <w:widowControl/>
              <w:suppressLineNumbers w:val="0"/>
              <w:spacing w:before="0" w:beforeAutospacing="0" w:after="0" w:afterAutospacing="0"/>
              <w:ind w:left="0" w:right="0"/>
              <w:rPr>
                <w:rFonts w:hint="default"/>
                <w:color w:val="0070BE"/>
                <w:szCs w:val="21"/>
              </w:rPr>
            </w:pPr>
          </w:p>
        </w:tc>
      </w:tr>
      <w:tr w14:paraId="03A1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9FB960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73B770BE">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5F6D1FEF">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同类产品客户反馈信息</w:t>
            </w:r>
          </w:p>
        </w:tc>
        <w:tc>
          <w:tcPr>
            <w:tcW w:w="824" w:type="pct"/>
            <w:tcBorders>
              <w:top w:val="single" w:color="auto" w:sz="4" w:space="0"/>
              <w:left w:val="single" w:color="auto" w:sz="4" w:space="0"/>
              <w:bottom w:val="single" w:color="auto" w:sz="4" w:space="0"/>
              <w:right w:val="single" w:color="auto" w:sz="4" w:space="0"/>
            </w:tcBorders>
            <w:vAlign w:val="center"/>
          </w:tcPr>
          <w:p w14:paraId="786EF7D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产品经理</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542752D7">
            <w:pPr>
              <w:keepNext w:val="0"/>
              <w:keepLines w:val="0"/>
              <w:widowControl/>
              <w:suppressLineNumbers w:val="0"/>
              <w:spacing w:before="0" w:beforeAutospacing="0" w:after="0" w:afterAutospacing="0"/>
              <w:ind w:left="0" w:right="0"/>
              <w:rPr>
                <w:rFonts w:hint="default"/>
                <w:color w:val="0070BE"/>
                <w:szCs w:val="21"/>
              </w:rPr>
            </w:pPr>
          </w:p>
        </w:tc>
      </w:tr>
      <w:tr w14:paraId="5386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75B30B3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70C2FA73">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030EFF26">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同类产品不良事件报告</w:t>
            </w:r>
          </w:p>
        </w:tc>
        <w:tc>
          <w:tcPr>
            <w:tcW w:w="824" w:type="pct"/>
            <w:tcBorders>
              <w:top w:val="single" w:color="auto" w:sz="4" w:space="0"/>
              <w:left w:val="single" w:color="auto" w:sz="4" w:space="0"/>
              <w:bottom w:val="single" w:color="auto" w:sz="4" w:space="0"/>
              <w:right w:val="single" w:color="auto" w:sz="4" w:space="0"/>
            </w:tcBorders>
            <w:vAlign w:val="center"/>
          </w:tcPr>
          <w:p w14:paraId="715F018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临床工程师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64CACF78">
            <w:pPr>
              <w:keepNext w:val="0"/>
              <w:keepLines w:val="0"/>
              <w:widowControl/>
              <w:suppressLineNumbers w:val="0"/>
              <w:spacing w:before="0" w:beforeAutospacing="0" w:after="0" w:afterAutospacing="0"/>
              <w:ind w:left="0" w:right="0"/>
              <w:rPr>
                <w:rFonts w:hint="default"/>
                <w:color w:val="0070BE"/>
                <w:szCs w:val="21"/>
              </w:rPr>
            </w:pPr>
          </w:p>
        </w:tc>
      </w:tr>
      <w:tr w14:paraId="0722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979CAE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vAlign w:val="center"/>
          </w:tcPr>
          <w:p w14:paraId="306AB898">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风险管理策划</w:t>
            </w:r>
          </w:p>
        </w:tc>
        <w:tc>
          <w:tcPr>
            <w:tcW w:w="1954" w:type="pct"/>
            <w:tcBorders>
              <w:top w:val="single" w:color="auto" w:sz="4" w:space="0"/>
              <w:left w:val="single" w:color="auto" w:sz="4" w:space="0"/>
              <w:bottom w:val="single" w:color="auto" w:sz="4" w:space="0"/>
              <w:right w:val="single" w:color="auto" w:sz="4" w:space="0"/>
            </w:tcBorders>
            <w:vAlign w:val="center"/>
          </w:tcPr>
          <w:p w14:paraId="0938788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主导风险管理策划</w:t>
            </w:r>
          </w:p>
        </w:tc>
        <w:tc>
          <w:tcPr>
            <w:tcW w:w="824" w:type="pct"/>
            <w:tcBorders>
              <w:top w:val="single" w:color="auto" w:sz="4" w:space="0"/>
              <w:left w:val="single" w:color="auto" w:sz="4" w:space="0"/>
              <w:bottom w:val="single" w:color="auto" w:sz="4" w:space="0"/>
              <w:right w:val="single" w:color="auto" w:sz="4" w:space="0"/>
            </w:tcBorders>
            <w:vAlign w:val="center"/>
          </w:tcPr>
          <w:p w14:paraId="5674E706">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vMerge w:val="restart"/>
            <w:tcBorders>
              <w:top w:val="single" w:color="auto" w:sz="4" w:space="0"/>
              <w:left w:val="single" w:color="auto" w:sz="4" w:space="0"/>
              <w:bottom w:val="single" w:color="auto" w:sz="4" w:space="0"/>
              <w:right w:val="single" w:color="auto" w:sz="4" w:space="0"/>
            </w:tcBorders>
            <w:vAlign w:val="center"/>
          </w:tcPr>
          <w:p w14:paraId="5DCFC76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风险管理计划</w:t>
            </w:r>
          </w:p>
        </w:tc>
      </w:tr>
      <w:tr w14:paraId="6E04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31E495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7BF1378B">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6FECC9A0">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严重度和发生概率等级</w:t>
            </w:r>
          </w:p>
        </w:tc>
        <w:tc>
          <w:tcPr>
            <w:tcW w:w="824" w:type="pct"/>
            <w:tcBorders>
              <w:top w:val="single" w:color="auto" w:sz="4" w:space="0"/>
              <w:left w:val="single" w:color="auto" w:sz="4" w:space="0"/>
              <w:bottom w:val="single" w:color="auto" w:sz="4" w:space="0"/>
              <w:right w:val="single" w:color="auto" w:sz="4" w:space="0"/>
            </w:tcBorders>
            <w:vAlign w:val="center"/>
          </w:tcPr>
          <w:p w14:paraId="6A00025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风险管理团队</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1D660617">
            <w:pPr>
              <w:keepNext w:val="0"/>
              <w:keepLines w:val="0"/>
              <w:widowControl/>
              <w:suppressLineNumbers w:val="0"/>
              <w:spacing w:before="0" w:beforeAutospacing="0" w:after="0" w:afterAutospacing="0"/>
              <w:ind w:left="0" w:right="0"/>
              <w:rPr>
                <w:rFonts w:hint="default"/>
                <w:color w:val="0070BE"/>
                <w:szCs w:val="21"/>
              </w:rPr>
            </w:pPr>
          </w:p>
        </w:tc>
      </w:tr>
      <w:tr w14:paraId="27E1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3C15CA3E">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2AFC8551">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3493314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风险可接受性准则</w:t>
            </w:r>
          </w:p>
        </w:tc>
        <w:tc>
          <w:tcPr>
            <w:tcW w:w="824" w:type="pct"/>
            <w:tcBorders>
              <w:top w:val="single" w:color="auto" w:sz="4" w:space="0"/>
              <w:left w:val="single" w:color="auto" w:sz="4" w:space="0"/>
              <w:bottom w:val="single" w:color="auto" w:sz="4" w:space="0"/>
              <w:right w:val="single" w:color="auto" w:sz="4" w:space="0"/>
            </w:tcBorders>
            <w:vAlign w:val="center"/>
          </w:tcPr>
          <w:p w14:paraId="0DD5EA6D">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风险管理团队</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628F2093">
            <w:pPr>
              <w:keepNext w:val="0"/>
              <w:keepLines w:val="0"/>
              <w:widowControl/>
              <w:suppressLineNumbers w:val="0"/>
              <w:spacing w:before="0" w:beforeAutospacing="0" w:after="0" w:afterAutospacing="0"/>
              <w:ind w:left="0" w:right="0"/>
              <w:rPr>
                <w:rFonts w:hint="default"/>
                <w:color w:val="0070BE"/>
                <w:szCs w:val="21"/>
              </w:rPr>
            </w:pPr>
          </w:p>
        </w:tc>
      </w:tr>
      <w:tr w14:paraId="2BAA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166EFC6A">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3AD6352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w:t>
            </w:r>
          </w:p>
        </w:tc>
        <w:tc>
          <w:tcPr>
            <w:tcW w:w="1954" w:type="pct"/>
            <w:tcBorders>
              <w:top w:val="single" w:color="auto" w:sz="4" w:space="0"/>
              <w:left w:val="single" w:color="auto" w:sz="4" w:space="0"/>
              <w:bottom w:val="single" w:color="auto" w:sz="4" w:space="0"/>
              <w:right w:val="single" w:color="auto" w:sz="4" w:space="0"/>
            </w:tcBorders>
            <w:vAlign w:val="center"/>
          </w:tcPr>
          <w:p w14:paraId="46C2711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评审要点：</w:t>
            </w:r>
          </w:p>
          <w:p w14:paraId="2C7A2BBF">
            <w:pPr>
              <w:keepNext w:val="0"/>
              <w:keepLines w:val="0"/>
              <w:numPr>
                <w:ilvl w:val="0"/>
                <w:numId w:val="6"/>
              </w:numPr>
              <w:suppressLineNumbers w:val="0"/>
              <w:spacing w:before="0" w:beforeAutospacing="0" w:after="0" w:afterAutospacing="0"/>
              <w:ind w:right="0"/>
              <w:rPr>
                <w:rFonts w:hint="default"/>
                <w:color w:val="0070BE"/>
                <w:szCs w:val="21"/>
              </w:rPr>
            </w:pPr>
            <w:r>
              <w:rPr>
                <w:rFonts w:hint="eastAsia"/>
                <w:color w:val="0070BE"/>
                <w:szCs w:val="21"/>
              </w:rPr>
              <w:t>风险管理计划是否充分和适当。</w:t>
            </w:r>
          </w:p>
          <w:p w14:paraId="65ECF96E">
            <w:pPr>
              <w:keepNext w:val="0"/>
              <w:keepLines w:val="0"/>
              <w:numPr>
                <w:ilvl w:val="0"/>
                <w:numId w:val="6"/>
              </w:numPr>
              <w:suppressLineNumbers w:val="0"/>
              <w:spacing w:before="0" w:beforeAutospacing="0" w:after="0" w:afterAutospacing="0"/>
              <w:ind w:right="0"/>
              <w:rPr>
                <w:rFonts w:hint="default"/>
                <w:color w:val="0070BE"/>
                <w:szCs w:val="21"/>
              </w:rPr>
            </w:pPr>
            <w:r>
              <w:rPr>
                <w:rFonts w:hint="eastAsia"/>
                <w:color w:val="0070BE"/>
                <w:szCs w:val="21"/>
              </w:rPr>
              <w:t>是否考虑用于风险估计的数据或资料，严重度、发生概率等级和风险可接受性准则估计是否适当。</w:t>
            </w:r>
            <w:r>
              <w:rPr>
                <w:rFonts w:hint="default"/>
                <w:color w:val="0070BE"/>
                <w:szCs w:val="21"/>
              </w:rPr>
              <w:t xml:space="preserve"> </w:t>
            </w:r>
          </w:p>
        </w:tc>
        <w:tc>
          <w:tcPr>
            <w:tcW w:w="824" w:type="pct"/>
            <w:tcBorders>
              <w:top w:val="single" w:color="auto" w:sz="4" w:space="0"/>
              <w:left w:val="single" w:color="auto" w:sz="4" w:space="0"/>
              <w:bottom w:val="single" w:color="auto" w:sz="4" w:space="0"/>
              <w:right w:val="single" w:color="auto" w:sz="4" w:space="0"/>
            </w:tcBorders>
            <w:vAlign w:val="center"/>
          </w:tcPr>
          <w:p w14:paraId="4F29CFE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eastAsia="zh-CN"/>
              </w:rPr>
              <w:t>风险经理主导</w:t>
            </w:r>
          </w:p>
          <w:p w14:paraId="1219635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风险管理团队参与</w:t>
            </w:r>
          </w:p>
        </w:tc>
        <w:tc>
          <w:tcPr>
            <w:tcW w:w="976" w:type="pct"/>
            <w:tcBorders>
              <w:top w:val="single" w:color="auto" w:sz="4" w:space="0"/>
              <w:left w:val="single" w:color="auto" w:sz="4" w:space="0"/>
              <w:bottom w:val="single" w:color="auto" w:sz="4" w:space="0"/>
              <w:right w:val="single" w:color="auto" w:sz="4" w:space="0"/>
            </w:tcBorders>
            <w:vAlign w:val="center"/>
          </w:tcPr>
          <w:p w14:paraId="7305416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风险管理评审报告</w:t>
            </w:r>
          </w:p>
        </w:tc>
      </w:tr>
      <w:tr w14:paraId="1027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restart"/>
            <w:tcBorders>
              <w:top w:val="single" w:color="auto" w:sz="4" w:space="0"/>
              <w:left w:val="single" w:color="auto" w:sz="4" w:space="0"/>
              <w:bottom w:val="single" w:color="auto" w:sz="4" w:space="0"/>
              <w:right w:val="single" w:color="auto" w:sz="4" w:space="0"/>
            </w:tcBorders>
            <w:vAlign w:val="center"/>
          </w:tcPr>
          <w:p w14:paraId="4CE49027">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设计定型</w:t>
            </w:r>
          </w:p>
        </w:tc>
        <w:tc>
          <w:tcPr>
            <w:tcW w:w="775" w:type="pct"/>
            <w:tcBorders>
              <w:top w:val="single" w:color="auto" w:sz="4" w:space="0"/>
              <w:left w:val="single" w:color="auto" w:sz="4" w:space="0"/>
              <w:bottom w:val="single" w:color="auto" w:sz="4" w:space="0"/>
              <w:right w:val="single" w:color="auto" w:sz="4" w:space="0"/>
            </w:tcBorders>
            <w:vAlign w:val="center"/>
          </w:tcPr>
          <w:p w14:paraId="777B066D">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更新风险输入（如适用）</w:t>
            </w:r>
          </w:p>
        </w:tc>
        <w:tc>
          <w:tcPr>
            <w:tcW w:w="1954" w:type="pct"/>
            <w:tcBorders>
              <w:top w:val="single" w:color="auto" w:sz="4" w:space="0"/>
              <w:left w:val="single" w:color="auto" w:sz="4" w:space="0"/>
              <w:bottom w:val="single" w:color="auto" w:sz="4" w:space="0"/>
              <w:right w:val="single" w:color="auto" w:sz="4" w:space="0"/>
            </w:tcBorders>
            <w:vAlign w:val="center"/>
          </w:tcPr>
          <w:p w14:paraId="45B270C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相关责任人</w:t>
            </w:r>
          </w:p>
        </w:tc>
        <w:tc>
          <w:tcPr>
            <w:tcW w:w="824" w:type="pct"/>
            <w:tcBorders>
              <w:top w:val="single" w:color="auto" w:sz="4" w:space="0"/>
              <w:left w:val="single" w:color="auto" w:sz="4" w:space="0"/>
              <w:bottom w:val="single" w:color="auto" w:sz="4" w:space="0"/>
              <w:right w:val="single" w:color="auto" w:sz="4" w:space="0"/>
            </w:tcBorders>
            <w:vAlign w:val="center"/>
          </w:tcPr>
          <w:p w14:paraId="699D0211">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风险输入文件</w:t>
            </w:r>
          </w:p>
        </w:tc>
        <w:tc>
          <w:tcPr>
            <w:tcW w:w="976" w:type="pct"/>
            <w:tcBorders>
              <w:top w:val="single" w:color="auto" w:sz="4" w:space="0"/>
              <w:left w:val="single" w:color="auto" w:sz="4" w:space="0"/>
              <w:bottom w:val="single" w:color="auto" w:sz="4" w:space="0"/>
              <w:right w:val="single" w:color="auto" w:sz="4" w:space="0"/>
            </w:tcBorders>
            <w:vAlign w:val="center"/>
          </w:tcPr>
          <w:p w14:paraId="4765317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更新风险输入（如适用）</w:t>
            </w:r>
          </w:p>
        </w:tc>
      </w:tr>
      <w:tr w14:paraId="27C9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left w:val="single" w:color="auto" w:sz="4" w:space="0"/>
              <w:right w:val="single" w:color="auto" w:sz="4" w:space="0"/>
            </w:tcBorders>
            <w:vAlign w:val="center"/>
          </w:tcPr>
          <w:p w14:paraId="4718F46E">
            <w:pPr>
              <w:keepNext w:val="0"/>
              <w:keepLines w:val="0"/>
              <w:suppressLineNumbers w:val="0"/>
              <w:spacing w:before="0" w:beforeAutospacing="0" w:after="0" w:afterAutospacing="0"/>
              <w:ind w:left="0" w:right="0"/>
              <w:rPr>
                <w:rFonts w:hint="eastAsia"/>
                <w:color w:val="0070BE"/>
                <w:szCs w:val="21"/>
              </w:rPr>
            </w:pPr>
          </w:p>
        </w:tc>
        <w:tc>
          <w:tcPr>
            <w:tcW w:w="775" w:type="pct"/>
            <w:tcBorders>
              <w:top w:val="single" w:color="auto" w:sz="4" w:space="0"/>
              <w:left w:val="single" w:color="auto" w:sz="4" w:space="0"/>
              <w:bottom w:val="single" w:color="auto" w:sz="4" w:space="0"/>
              <w:right w:val="single" w:color="auto" w:sz="4" w:space="0"/>
            </w:tcBorders>
            <w:shd w:val="clear" w:color="auto" w:fill="auto"/>
            <w:vAlign w:val="center"/>
          </w:tcPr>
          <w:p w14:paraId="29672544">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危害分析（</w:t>
            </w:r>
            <w:r>
              <w:rPr>
                <w:rFonts w:hint="default"/>
                <w:color w:val="0070BE"/>
                <w:szCs w:val="21"/>
              </w:rPr>
              <w:t>HA</w:t>
            </w:r>
            <w:r>
              <w:rPr>
                <w:rFonts w:hint="eastAsia"/>
                <w:color w:val="0070BE"/>
                <w:szCs w:val="21"/>
              </w:rPr>
              <w:t>）</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454A4126">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更新危害分析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43D3570E">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eastAsia="zh-CN"/>
              </w:rPr>
              <w:t>质量（设计）工程师</w:t>
            </w:r>
          </w:p>
        </w:tc>
        <w:tc>
          <w:tcPr>
            <w:tcW w:w="976" w:type="pct"/>
            <w:tcBorders>
              <w:top w:val="single" w:color="auto" w:sz="4" w:space="0"/>
              <w:left w:val="single" w:color="auto" w:sz="4" w:space="0"/>
              <w:bottom w:val="single" w:color="auto" w:sz="4" w:space="0"/>
              <w:right w:val="single" w:color="auto" w:sz="4" w:space="0"/>
            </w:tcBorders>
            <w:shd w:val="clear" w:color="auto" w:fill="auto"/>
            <w:vAlign w:val="center"/>
          </w:tcPr>
          <w:p w14:paraId="23F8533E">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危害分析</w:t>
            </w:r>
            <w:r>
              <w:rPr>
                <w:rFonts w:hint="eastAsia"/>
                <w:color w:val="0070BE"/>
                <w:szCs w:val="21"/>
                <w:lang w:val="en-US" w:eastAsia="zh-CN"/>
              </w:rPr>
              <w:t>报告</w:t>
            </w:r>
          </w:p>
        </w:tc>
      </w:tr>
      <w:tr w14:paraId="18CD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EB9D91A">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vAlign w:val="center"/>
          </w:tcPr>
          <w:p w14:paraId="7FBA7165">
            <w:pPr>
              <w:keepNext w:val="0"/>
              <w:keepLines w:val="0"/>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产品风险分析</w:t>
            </w:r>
          </w:p>
        </w:tc>
        <w:tc>
          <w:tcPr>
            <w:tcW w:w="1954" w:type="pct"/>
            <w:tcBorders>
              <w:top w:val="single" w:color="auto" w:sz="4" w:space="0"/>
              <w:left w:val="single" w:color="auto" w:sz="4" w:space="0"/>
              <w:bottom w:val="single" w:color="auto" w:sz="4" w:space="0"/>
              <w:right w:val="single" w:color="auto" w:sz="4" w:space="0"/>
            </w:tcBorders>
            <w:vAlign w:val="center"/>
          </w:tcPr>
          <w:p w14:paraId="2E9D3AF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风险分析</w:t>
            </w:r>
          </w:p>
        </w:tc>
        <w:tc>
          <w:tcPr>
            <w:tcW w:w="824" w:type="pct"/>
            <w:tcBorders>
              <w:top w:val="single" w:color="auto" w:sz="4" w:space="0"/>
              <w:left w:val="single" w:color="auto" w:sz="4" w:space="0"/>
              <w:bottom w:val="single" w:color="auto" w:sz="4" w:space="0"/>
              <w:right w:val="single" w:color="auto" w:sz="4" w:space="0"/>
            </w:tcBorders>
            <w:vAlign w:val="center"/>
          </w:tcPr>
          <w:p w14:paraId="60ECA2C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研发工程师</w:t>
            </w:r>
          </w:p>
        </w:tc>
        <w:tc>
          <w:tcPr>
            <w:tcW w:w="976" w:type="pct"/>
            <w:vMerge w:val="restart"/>
            <w:tcBorders>
              <w:top w:val="single" w:color="auto" w:sz="4" w:space="0"/>
              <w:left w:val="single" w:color="auto" w:sz="4" w:space="0"/>
              <w:bottom w:val="single" w:color="auto" w:sz="4" w:space="0"/>
              <w:right w:val="single" w:color="auto" w:sz="4" w:space="0"/>
            </w:tcBorders>
            <w:vAlign w:val="center"/>
          </w:tcPr>
          <w:p w14:paraId="712E505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val="en-US" w:eastAsia="zh-CN"/>
              </w:rPr>
              <w:t>风险</w:t>
            </w:r>
            <w:r>
              <w:rPr>
                <w:rFonts w:hint="eastAsia"/>
                <w:color w:val="0070BE"/>
                <w:szCs w:val="21"/>
              </w:rPr>
              <w:t>分析</w:t>
            </w:r>
            <w:r>
              <w:rPr>
                <w:rFonts w:hint="eastAsia"/>
                <w:color w:val="0070BE"/>
                <w:szCs w:val="21"/>
                <w:lang w:eastAsia="zh-CN"/>
              </w:rPr>
              <w:t>（</w:t>
            </w:r>
            <w:r>
              <w:rPr>
                <w:rFonts w:hint="eastAsia"/>
                <w:color w:val="0070BE"/>
                <w:szCs w:val="21"/>
                <w:lang w:val="en-US" w:eastAsia="zh-CN"/>
              </w:rPr>
              <w:t>PHA</w:t>
            </w:r>
            <w:r>
              <w:rPr>
                <w:rFonts w:hint="eastAsia"/>
                <w:color w:val="0070BE"/>
                <w:szCs w:val="21"/>
                <w:lang w:eastAsia="zh-CN"/>
              </w:rPr>
              <w:t>）</w:t>
            </w:r>
            <w:r>
              <w:rPr>
                <w:rFonts w:hint="eastAsia"/>
                <w:color w:val="0070BE"/>
                <w:szCs w:val="21"/>
              </w:rPr>
              <w:t>报告</w:t>
            </w:r>
          </w:p>
        </w:tc>
      </w:tr>
      <w:tr w14:paraId="58BB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C565E8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0875DD68">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2CBB8944">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风险评价</w:t>
            </w:r>
          </w:p>
        </w:tc>
        <w:tc>
          <w:tcPr>
            <w:tcW w:w="824" w:type="pct"/>
            <w:tcBorders>
              <w:top w:val="single" w:color="auto" w:sz="4" w:space="0"/>
              <w:left w:val="single" w:color="auto" w:sz="4" w:space="0"/>
              <w:bottom w:val="single" w:color="auto" w:sz="4" w:space="0"/>
              <w:right w:val="single" w:color="auto" w:sz="4" w:space="0"/>
            </w:tcBorders>
            <w:vAlign w:val="center"/>
          </w:tcPr>
          <w:p w14:paraId="318DCF2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研发工程师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285179D1">
            <w:pPr>
              <w:keepNext w:val="0"/>
              <w:keepLines w:val="0"/>
              <w:widowControl/>
              <w:suppressLineNumbers w:val="0"/>
              <w:spacing w:before="0" w:beforeAutospacing="0" w:after="0" w:afterAutospacing="0"/>
              <w:ind w:left="0" w:right="0"/>
              <w:rPr>
                <w:rFonts w:hint="default"/>
                <w:color w:val="0070BE"/>
                <w:szCs w:val="21"/>
              </w:rPr>
            </w:pPr>
          </w:p>
        </w:tc>
      </w:tr>
      <w:tr w14:paraId="41DA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1B2A504E">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41577755">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5389DE28">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风险控制措施</w:t>
            </w:r>
          </w:p>
        </w:tc>
        <w:tc>
          <w:tcPr>
            <w:tcW w:w="824" w:type="pct"/>
            <w:tcBorders>
              <w:top w:val="single" w:color="auto" w:sz="4" w:space="0"/>
              <w:left w:val="single" w:color="auto" w:sz="4" w:space="0"/>
              <w:bottom w:val="single" w:color="auto" w:sz="4" w:space="0"/>
              <w:right w:val="single" w:color="auto" w:sz="4" w:space="0"/>
            </w:tcBorders>
            <w:vAlign w:val="center"/>
          </w:tcPr>
          <w:p w14:paraId="6B1C7C0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研发工程师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3ECFB831">
            <w:pPr>
              <w:keepNext w:val="0"/>
              <w:keepLines w:val="0"/>
              <w:widowControl/>
              <w:suppressLineNumbers w:val="0"/>
              <w:spacing w:before="0" w:beforeAutospacing="0" w:after="0" w:afterAutospacing="0"/>
              <w:ind w:left="0" w:right="0"/>
              <w:rPr>
                <w:rFonts w:hint="default"/>
                <w:color w:val="0070BE"/>
                <w:szCs w:val="21"/>
              </w:rPr>
            </w:pPr>
          </w:p>
        </w:tc>
      </w:tr>
      <w:tr w14:paraId="4D725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688150A">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vAlign w:val="center"/>
          </w:tcPr>
          <w:p w14:paraId="0D9C08B6">
            <w:pPr>
              <w:keepNext w:val="0"/>
              <w:keepLines w:val="0"/>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工艺风险分析</w:t>
            </w:r>
          </w:p>
        </w:tc>
        <w:tc>
          <w:tcPr>
            <w:tcW w:w="1954" w:type="pct"/>
            <w:tcBorders>
              <w:top w:val="single" w:color="auto" w:sz="4" w:space="0"/>
              <w:left w:val="single" w:color="auto" w:sz="4" w:space="0"/>
              <w:bottom w:val="single" w:color="auto" w:sz="4" w:space="0"/>
              <w:right w:val="single" w:color="auto" w:sz="4" w:space="0"/>
            </w:tcBorders>
            <w:vAlign w:val="center"/>
          </w:tcPr>
          <w:p w14:paraId="3606ED0F">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风险分析</w:t>
            </w:r>
          </w:p>
        </w:tc>
        <w:tc>
          <w:tcPr>
            <w:tcW w:w="824" w:type="pct"/>
            <w:tcBorders>
              <w:top w:val="single" w:color="auto" w:sz="4" w:space="0"/>
              <w:left w:val="single" w:color="auto" w:sz="4" w:space="0"/>
              <w:bottom w:val="single" w:color="auto" w:sz="4" w:space="0"/>
              <w:right w:val="single" w:color="auto" w:sz="4" w:space="0"/>
            </w:tcBorders>
            <w:vAlign w:val="center"/>
          </w:tcPr>
          <w:p w14:paraId="42C1221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工艺工程师</w:t>
            </w:r>
          </w:p>
        </w:tc>
        <w:tc>
          <w:tcPr>
            <w:tcW w:w="976" w:type="pct"/>
            <w:vMerge w:val="restart"/>
            <w:tcBorders>
              <w:top w:val="single" w:color="auto" w:sz="4" w:space="0"/>
              <w:left w:val="single" w:color="auto" w:sz="4" w:space="0"/>
              <w:bottom w:val="single" w:color="auto" w:sz="4" w:space="0"/>
              <w:right w:val="single" w:color="auto" w:sz="4" w:space="0"/>
            </w:tcBorders>
            <w:vAlign w:val="center"/>
          </w:tcPr>
          <w:p w14:paraId="06462E7E">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PFMEA</w:t>
            </w:r>
            <w:r>
              <w:rPr>
                <w:rFonts w:hint="eastAsia"/>
                <w:color w:val="0070BE"/>
                <w:szCs w:val="21"/>
              </w:rPr>
              <w:t>报告</w:t>
            </w:r>
          </w:p>
        </w:tc>
      </w:tr>
      <w:tr w14:paraId="4F54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35D75B40">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21D46B69">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6D2967B8">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风险评价</w:t>
            </w:r>
          </w:p>
        </w:tc>
        <w:tc>
          <w:tcPr>
            <w:tcW w:w="824" w:type="pct"/>
            <w:tcBorders>
              <w:top w:val="single" w:color="auto" w:sz="4" w:space="0"/>
              <w:left w:val="single" w:color="auto" w:sz="4" w:space="0"/>
              <w:bottom w:val="single" w:color="auto" w:sz="4" w:space="0"/>
              <w:right w:val="single" w:color="auto" w:sz="4" w:space="0"/>
            </w:tcBorders>
            <w:vAlign w:val="center"/>
          </w:tcPr>
          <w:p w14:paraId="687CF01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工艺工程师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1C143C2A">
            <w:pPr>
              <w:keepNext w:val="0"/>
              <w:keepLines w:val="0"/>
              <w:widowControl/>
              <w:suppressLineNumbers w:val="0"/>
              <w:spacing w:before="0" w:beforeAutospacing="0" w:after="0" w:afterAutospacing="0"/>
              <w:ind w:left="0" w:right="0"/>
              <w:rPr>
                <w:rFonts w:hint="default"/>
                <w:color w:val="0070BE"/>
                <w:szCs w:val="21"/>
              </w:rPr>
            </w:pPr>
          </w:p>
        </w:tc>
      </w:tr>
      <w:tr w14:paraId="78BD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03CFB604">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52866010">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082030E4">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风险控制措施</w:t>
            </w:r>
          </w:p>
        </w:tc>
        <w:tc>
          <w:tcPr>
            <w:tcW w:w="824" w:type="pct"/>
            <w:tcBorders>
              <w:top w:val="single" w:color="auto" w:sz="4" w:space="0"/>
              <w:left w:val="single" w:color="auto" w:sz="4" w:space="0"/>
              <w:bottom w:val="single" w:color="auto" w:sz="4" w:space="0"/>
              <w:right w:val="single" w:color="auto" w:sz="4" w:space="0"/>
            </w:tcBorders>
            <w:vAlign w:val="center"/>
          </w:tcPr>
          <w:p w14:paraId="56003D98">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工艺工程师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6247D4D8">
            <w:pPr>
              <w:keepNext w:val="0"/>
              <w:keepLines w:val="0"/>
              <w:widowControl/>
              <w:suppressLineNumbers w:val="0"/>
              <w:spacing w:before="0" w:beforeAutospacing="0" w:after="0" w:afterAutospacing="0"/>
              <w:ind w:left="0" w:right="0"/>
              <w:rPr>
                <w:rFonts w:hint="default"/>
                <w:color w:val="0070BE"/>
                <w:szCs w:val="21"/>
              </w:rPr>
            </w:pPr>
          </w:p>
        </w:tc>
      </w:tr>
      <w:tr w14:paraId="6E35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4A020E4">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right w:val="single" w:color="auto" w:sz="4" w:space="0"/>
            </w:tcBorders>
            <w:vAlign w:val="center"/>
          </w:tcPr>
          <w:p w14:paraId="2897304A">
            <w:pPr>
              <w:keepNext w:val="0"/>
              <w:keepLines w:val="0"/>
              <w:widowControl/>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网络安全风险分析</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58B2628E">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CF9CFC1">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restart"/>
            <w:tcBorders>
              <w:top w:val="single" w:color="auto" w:sz="4" w:space="0"/>
              <w:left w:val="single" w:color="auto" w:sz="4" w:space="0"/>
              <w:right w:val="single" w:color="auto" w:sz="4" w:space="0"/>
            </w:tcBorders>
            <w:vAlign w:val="center"/>
          </w:tcPr>
          <w:p w14:paraId="52F05A5C">
            <w:pPr>
              <w:keepNext w:val="0"/>
              <w:keepLines w:val="0"/>
              <w:widowControl/>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网络安全风险分析</w:t>
            </w:r>
          </w:p>
        </w:tc>
      </w:tr>
      <w:tr w14:paraId="523D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78A7899D">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left w:val="single" w:color="auto" w:sz="4" w:space="0"/>
              <w:right w:val="single" w:color="auto" w:sz="4" w:space="0"/>
            </w:tcBorders>
            <w:vAlign w:val="center"/>
          </w:tcPr>
          <w:p w14:paraId="4A5C11AF">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2900913C">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风险评价</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040F78B1">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continue"/>
            <w:tcBorders>
              <w:left w:val="single" w:color="auto" w:sz="4" w:space="0"/>
              <w:right w:val="single" w:color="auto" w:sz="4" w:space="0"/>
            </w:tcBorders>
            <w:vAlign w:val="center"/>
          </w:tcPr>
          <w:p w14:paraId="01F363BA">
            <w:pPr>
              <w:keepNext w:val="0"/>
              <w:keepLines w:val="0"/>
              <w:widowControl/>
              <w:suppressLineNumbers w:val="0"/>
              <w:spacing w:before="0" w:beforeAutospacing="0" w:after="0" w:afterAutospacing="0"/>
              <w:ind w:left="0" w:right="0"/>
              <w:rPr>
                <w:rFonts w:hint="default"/>
                <w:color w:val="0070BE"/>
                <w:szCs w:val="21"/>
              </w:rPr>
            </w:pPr>
          </w:p>
        </w:tc>
      </w:tr>
      <w:tr w14:paraId="03AB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0F1E6772">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left w:val="single" w:color="auto" w:sz="4" w:space="0"/>
              <w:bottom w:val="single" w:color="auto" w:sz="4" w:space="0"/>
              <w:right w:val="single" w:color="auto" w:sz="4" w:space="0"/>
            </w:tcBorders>
            <w:vAlign w:val="center"/>
          </w:tcPr>
          <w:p w14:paraId="788A7861">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6D550752">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风险控制措施</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5D85A6E5">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continue"/>
            <w:tcBorders>
              <w:left w:val="single" w:color="auto" w:sz="4" w:space="0"/>
              <w:bottom w:val="single" w:color="auto" w:sz="4" w:space="0"/>
              <w:right w:val="single" w:color="auto" w:sz="4" w:space="0"/>
            </w:tcBorders>
            <w:vAlign w:val="center"/>
          </w:tcPr>
          <w:p w14:paraId="72EC6E7C">
            <w:pPr>
              <w:keepNext w:val="0"/>
              <w:keepLines w:val="0"/>
              <w:widowControl/>
              <w:suppressLineNumbers w:val="0"/>
              <w:spacing w:before="0" w:beforeAutospacing="0" w:after="0" w:afterAutospacing="0"/>
              <w:ind w:left="0" w:right="0"/>
              <w:rPr>
                <w:rFonts w:hint="default"/>
                <w:color w:val="0070BE"/>
                <w:szCs w:val="21"/>
              </w:rPr>
            </w:pPr>
          </w:p>
        </w:tc>
      </w:tr>
      <w:tr w14:paraId="7EF8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A8922E0">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right w:val="single" w:color="auto" w:sz="4" w:space="0"/>
            </w:tcBorders>
            <w:vAlign w:val="center"/>
          </w:tcPr>
          <w:p w14:paraId="022A4321">
            <w:pPr>
              <w:keepNext w:val="0"/>
              <w:keepLines w:val="0"/>
              <w:widowControl/>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可用性风险分析</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048DE055">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AEC22D0">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s="Times New Roman"/>
                <w:color w:val="0070BE"/>
                <w:kern w:val="2"/>
                <w:sz w:val="21"/>
                <w:szCs w:val="21"/>
                <w:lang w:val="en-US" w:eastAsia="zh-CN" w:bidi="ar-SA"/>
              </w:rPr>
              <w:t>研发工程师</w:t>
            </w:r>
          </w:p>
        </w:tc>
        <w:tc>
          <w:tcPr>
            <w:tcW w:w="976" w:type="pct"/>
            <w:vMerge w:val="restart"/>
            <w:tcBorders>
              <w:left w:val="single" w:color="auto" w:sz="4" w:space="0"/>
              <w:right w:val="single" w:color="auto" w:sz="4" w:space="0"/>
            </w:tcBorders>
            <w:vAlign w:val="center"/>
          </w:tcPr>
          <w:p w14:paraId="562920CE">
            <w:pPr>
              <w:keepNext w:val="0"/>
              <w:keepLines w:val="0"/>
              <w:widowControl/>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可用性风险分析</w:t>
            </w:r>
          </w:p>
        </w:tc>
      </w:tr>
      <w:tr w14:paraId="1283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B109CC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left w:val="single" w:color="auto" w:sz="4" w:space="0"/>
              <w:right w:val="single" w:color="auto" w:sz="4" w:space="0"/>
            </w:tcBorders>
            <w:vAlign w:val="center"/>
          </w:tcPr>
          <w:p w14:paraId="36588EA6">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507C1605">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风险评价</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35F24AA1">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s="Times New Roman"/>
                <w:color w:val="0070BE"/>
                <w:kern w:val="2"/>
                <w:sz w:val="21"/>
                <w:szCs w:val="21"/>
                <w:lang w:val="en-US" w:eastAsia="zh-CN" w:bidi="ar-SA"/>
              </w:rPr>
              <w:t>研发工程师</w:t>
            </w:r>
          </w:p>
        </w:tc>
        <w:tc>
          <w:tcPr>
            <w:tcW w:w="976" w:type="pct"/>
            <w:vMerge w:val="continue"/>
            <w:tcBorders>
              <w:left w:val="single" w:color="auto" w:sz="4" w:space="0"/>
              <w:right w:val="single" w:color="auto" w:sz="4" w:space="0"/>
            </w:tcBorders>
            <w:vAlign w:val="center"/>
          </w:tcPr>
          <w:p w14:paraId="7D1EA770">
            <w:pPr>
              <w:keepNext w:val="0"/>
              <w:keepLines w:val="0"/>
              <w:widowControl/>
              <w:suppressLineNumbers w:val="0"/>
              <w:spacing w:before="0" w:beforeAutospacing="0" w:after="0" w:afterAutospacing="0"/>
              <w:ind w:left="0" w:right="0"/>
              <w:rPr>
                <w:rFonts w:hint="default"/>
                <w:color w:val="0070BE"/>
                <w:szCs w:val="21"/>
              </w:rPr>
            </w:pPr>
          </w:p>
        </w:tc>
      </w:tr>
      <w:tr w14:paraId="79E5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BCCEDC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left w:val="single" w:color="auto" w:sz="4" w:space="0"/>
              <w:bottom w:val="single" w:color="auto" w:sz="4" w:space="0"/>
              <w:right w:val="single" w:color="auto" w:sz="4" w:space="0"/>
            </w:tcBorders>
            <w:vAlign w:val="center"/>
          </w:tcPr>
          <w:p w14:paraId="7CAD3EA5">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2CAE08DA">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风险控制措施</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56688876">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s="Times New Roman"/>
                <w:color w:val="0070BE"/>
                <w:kern w:val="2"/>
                <w:sz w:val="21"/>
                <w:szCs w:val="21"/>
                <w:lang w:val="en-US" w:eastAsia="zh-CN" w:bidi="ar-SA"/>
              </w:rPr>
              <w:t>研发工程师</w:t>
            </w:r>
          </w:p>
        </w:tc>
        <w:tc>
          <w:tcPr>
            <w:tcW w:w="976" w:type="pct"/>
            <w:vMerge w:val="continue"/>
            <w:tcBorders>
              <w:left w:val="single" w:color="auto" w:sz="4" w:space="0"/>
              <w:bottom w:val="single" w:color="auto" w:sz="4" w:space="0"/>
              <w:right w:val="single" w:color="auto" w:sz="4" w:space="0"/>
            </w:tcBorders>
            <w:vAlign w:val="center"/>
          </w:tcPr>
          <w:p w14:paraId="45B30D62">
            <w:pPr>
              <w:keepNext w:val="0"/>
              <w:keepLines w:val="0"/>
              <w:widowControl/>
              <w:suppressLineNumbers w:val="0"/>
              <w:spacing w:before="0" w:beforeAutospacing="0" w:after="0" w:afterAutospacing="0"/>
              <w:ind w:left="0" w:right="0"/>
              <w:rPr>
                <w:rFonts w:hint="default"/>
                <w:color w:val="0070BE"/>
                <w:szCs w:val="21"/>
              </w:rPr>
            </w:pPr>
          </w:p>
        </w:tc>
      </w:tr>
      <w:tr w14:paraId="6EC5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05ACF2D">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0A263F4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w:t>
            </w:r>
          </w:p>
        </w:tc>
        <w:tc>
          <w:tcPr>
            <w:tcW w:w="1954" w:type="pct"/>
            <w:tcBorders>
              <w:top w:val="single" w:color="auto" w:sz="4" w:space="0"/>
              <w:left w:val="single" w:color="auto" w:sz="4" w:space="0"/>
              <w:bottom w:val="single" w:color="auto" w:sz="4" w:space="0"/>
              <w:right w:val="single" w:color="auto" w:sz="4" w:space="0"/>
            </w:tcBorders>
            <w:vAlign w:val="center"/>
          </w:tcPr>
          <w:p w14:paraId="7856942E">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评审要点：</w:t>
            </w:r>
          </w:p>
          <w:p w14:paraId="2C7F9F8C">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1</w:t>
            </w:r>
            <w:r>
              <w:rPr>
                <w:rFonts w:hint="eastAsia"/>
                <w:color w:val="0070BE"/>
                <w:szCs w:val="21"/>
              </w:rPr>
              <w:t>）风险管理计划已被适当更新和实施。</w:t>
            </w:r>
          </w:p>
          <w:p w14:paraId="37189AFF">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2</w:t>
            </w:r>
            <w:r>
              <w:rPr>
                <w:rFonts w:hint="eastAsia"/>
                <w:color w:val="0070BE"/>
                <w:szCs w:val="21"/>
              </w:rPr>
              <w:t>）对</w:t>
            </w:r>
            <w:r>
              <w:rPr>
                <w:rFonts w:hint="eastAsia"/>
                <w:color w:val="0070BE"/>
                <w:szCs w:val="21"/>
                <w:lang w:val="en-US" w:eastAsia="zh-CN"/>
              </w:rPr>
              <w:t>产品风险、产品工艺风险、产品网络安全风险</w:t>
            </w:r>
            <w:r>
              <w:rPr>
                <w:rFonts w:hint="eastAsia"/>
                <w:color w:val="0070BE"/>
                <w:szCs w:val="21"/>
              </w:rPr>
              <w:t>和</w:t>
            </w:r>
            <w:r>
              <w:rPr>
                <w:rFonts w:hint="eastAsia"/>
                <w:color w:val="0070BE"/>
                <w:szCs w:val="21"/>
                <w:lang w:val="en-US" w:eastAsia="zh-CN"/>
              </w:rPr>
              <w:t>产品可用性风险</w:t>
            </w:r>
            <w:r>
              <w:rPr>
                <w:rFonts w:hint="eastAsia"/>
                <w:color w:val="0070BE"/>
                <w:szCs w:val="21"/>
              </w:rPr>
              <w:t>的分析结果进行评审以确保风险分析、风险评价和风险控制措施的完整、充分和一致性。</w:t>
            </w:r>
          </w:p>
          <w:p w14:paraId="45FEFA02">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3</w:t>
            </w:r>
            <w:r>
              <w:rPr>
                <w:rFonts w:hint="eastAsia"/>
                <w:color w:val="0070BE"/>
                <w:szCs w:val="21"/>
              </w:rPr>
              <w:t>）是否有新的风险输入</w:t>
            </w:r>
          </w:p>
        </w:tc>
        <w:tc>
          <w:tcPr>
            <w:tcW w:w="824" w:type="pct"/>
            <w:tcBorders>
              <w:top w:val="single" w:color="auto" w:sz="4" w:space="0"/>
              <w:left w:val="single" w:color="auto" w:sz="4" w:space="0"/>
              <w:bottom w:val="single" w:color="auto" w:sz="4" w:space="0"/>
              <w:right w:val="single" w:color="auto" w:sz="4" w:space="0"/>
            </w:tcBorders>
            <w:vAlign w:val="center"/>
          </w:tcPr>
          <w:p w14:paraId="0C545E66">
            <w:pPr>
              <w:keepNext w:val="0"/>
              <w:keepLines w:val="0"/>
              <w:suppressLineNumbers w:val="0"/>
              <w:spacing w:before="0" w:beforeAutospacing="0" w:after="0" w:afterAutospacing="0"/>
              <w:ind w:left="0" w:right="0"/>
              <w:rPr>
                <w:rFonts w:hint="eastAsia"/>
                <w:color w:val="0070BE"/>
                <w:szCs w:val="21"/>
                <w:lang w:val="en-US" w:eastAsia="zh-CN"/>
              </w:rPr>
            </w:pPr>
            <w:r>
              <w:rPr>
                <w:rFonts w:hint="eastAsia"/>
                <w:color w:val="0070BE"/>
                <w:szCs w:val="21"/>
                <w:lang w:val="en-US" w:eastAsia="zh-CN"/>
              </w:rPr>
              <w:t>风险经理主导</w:t>
            </w:r>
          </w:p>
          <w:p w14:paraId="1DD2D30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风险管理团队参与</w:t>
            </w:r>
          </w:p>
        </w:tc>
        <w:tc>
          <w:tcPr>
            <w:tcW w:w="976" w:type="pct"/>
            <w:tcBorders>
              <w:top w:val="single" w:color="auto" w:sz="4" w:space="0"/>
              <w:left w:val="single" w:color="auto" w:sz="4" w:space="0"/>
              <w:bottom w:val="single" w:color="auto" w:sz="4" w:space="0"/>
              <w:right w:val="single" w:color="auto" w:sz="4" w:space="0"/>
            </w:tcBorders>
            <w:vAlign w:val="center"/>
          </w:tcPr>
          <w:p w14:paraId="3BF6311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风险管理评审报告</w:t>
            </w:r>
          </w:p>
        </w:tc>
      </w:tr>
      <w:tr w14:paraId="08FE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restart"/>
            <w:tcBorders>
              <w:top w:val="single" w:color="auto" w:sz="4" w:space="0"/>
              <w:left w:val="single" w:color="auto" w:sz="4" w:space="0"/>
              <w:bottom w:val="single" w:color="auto" w:sz="4" w:space="0"/>
              <w:right w:val="single" w:color="auto" w:sz="4" w:space="0"/>
            </w:tcBorders>
            <w:vAlign w:val="center"/>
          </w:tcPr>
          <w:p w14:paraId="240B4F86">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设计验证</w:t>
            </w:r>
          </w:p>
        </w:tc>
        <w:tc>
          <w:tcPr>
            <w:tcW w:w="775" w:type="pct"/>
            <w:tcBorders>
              <w:top w:val="single" w:color="auto" w:sz="4" w:space="0"/>
              <w:left w:val="single" w:color="auto" w:sz="4" w:space="0"/>
              <w:bottom w:val="single" w:color="auto" w:sz="4" w:space="0"/>
              <w:right w:val="single" w:color="auto" w:sz="4" w:space="0"/>
            </w:tcBorders>
            <w:vAlign w:val="center"/>
          </w:tcPr>
          <w:p w14:paraId="60F694C7">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风险管理计划</w:t>
            </w:r>
          </w:p>
        </w:tc>
        <w:tc>
          <w:tcPr>
            <w:tcW w:w="1954" w:type="pct"/>
            <w:tcBorders>
              <w:top w:val="single" w:color="auto" w:sz="4" w:space="0"/>
              <w:left w:val="single" w:color="auto" w:sz="4" w:space="0"/>
              <w:bottom w:val="single" w:color="auto" w:sz="4" w:space="0"/>
              <w:right w:val="single" w:color="auto" w:sz="4" w:space="0"/>
            </w:tcBorders>
            <w:vAlign w:val="center"/>
          </w:tcPr>
          <w:p w14:paraId="6EB692F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更新风险管理计划（如适用）</w:t>
            </w:r>
          </w:p>
        </w:tc>
        <w:tc>
          <w:tcPr>
            <w:tcW w:w="824" w:type="pct"/>
            <w:tcBorders>
              <w:top w:val="single" w:color="auto" w:sz="4" w:space="0"/>
              <w:left w:val="single" w:color="auto" w:sz="4" w:space="0"/>
              <w:bottom w:val="single" w:color="auto" w:sz="4" w:space="0"/>
              <w:right w:val="single" w:color="auto" w:sz="4" w:space="0"/>
            </w:tcBorders>
            <w:vAlign w:val="center"/>
          </w:tcPr>
          <w:p w14:paraId="6D313DE2">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tcBorders>
              <w:top w:val="single" w:color="auto" w:sz="4" w:space="0"/>
              <w:left w:val="single" w:color="auto" w:sz="4" w:space="0"/>
              <w:bottom w:val="single" w:color="auto" w:sz="4" w:space="0"/>
              <w:right w:val="single" w:color="auto" w:sz="4" w:space="0"/>
            </w:tcBorders>
            <w:vAlign w:val="center"/>
          </w:tcPr>
          <w:p w14:paraId="152008CE">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风险管理计划（如适用）</w:t>
            </w:r>
          </w:p>
        </w:tc>
      </w:tr>
      <w:tr w14:paraId="7520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81404CD">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2308FE1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w:t>
            </w:r>
          </w:p>
        </w:tc>
        <w:tc>
          <w:tcPr>
            <w:tcW w:w="1954" w:type="pct"/>
            <w:tcBorders>
              <w:top w:val="single" w:color="auto" w:sz="4" w:space="0"/>
              <w:left w:val="single" w:color="auto" w:sz="4" w:space="0"/>
              <w:bottom w:val="single" w:color="auto" w:sz="4" w:space="0"/>
              <w:right w:val="single" w:color="auto" w:sz="4" w:space="0"/>
            </w:tcBorders>
            <w:vAlign w:val="center"/>
          </w:tcPr>
          <w:p w14:paraId="2B07CAF6">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更新风险输入（如适用）</w:t>
            </w:r>
          </w:p>
        </w:tc>
        <w:tc>
          <w:tcPr>
            <w:tcW w:w="824" w:type="pct"/>
            <w:tcBorders>
              <w:top w:val="single" w:color="auto" w:sz="4" w:space="0"/>
              <w:left w:val="single" w:color="auto" w:sz="4" w:space="0"/>
              <w:bottom w:val="single" w:color="auto" w:sz="4" w:space="0"/>
              <w:right w:val="single" w:color="auto" w:sz="4" w:space="0"/>
            </w:tcBorders>
            <w:vAlign w:val="center"/>
          </w:tcPr>
          <w:p w14:paraId="650211B6">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相关责任人</w:t>
            </w:r>
          </w:p>
        </w:tc>
        <w:tc>
          <w:tcPr>
            <w:tcW w:w="976" w:type="pct"/>
            <w:tcBorders>
              <w:top w:val="single" w:color="auto" w:sz="4" w:space="0"/>
              <w:left w:val="single" w:color="auto" w:sz="4" w:space="0"/>
              <w:bottom w:val="single" w:color="auto" w:sz="4" w:space="0"/>
              <w:right w:val="single" w:color="auto" w:sz="4" w:space="0"/>
            </w:tcBorders>
            <w:vAlign w:val="center"/>
          </w:tcPr>
          <w:p w14:paraId="1B6E64D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风险输入文件（如适用）</w:t>
            </w:r>
          </w:p>
        </w:tc>
      </w:tr>
      <w:tr w14:paraId="6710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BC8CD5B">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117B151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危害分析（</w:t>
            </w:r>
            <w:r>
              <w:rPr>
                <w:rFonts w:hint="default"/>
                <w:color w:val="0070BE"/>
                <w:szCs w:val="21"/>
              </w:rPr>
              <w:t>HA</w:t>
            </w:r>
            <w:r>
              <w:rPr>
                <w:rFonts w:hint="eastAsia"/>
                <w:color w:val="0070BE"/>
                <w:szCs w:val="21"/>
              </w:rPr>
              <w:t>）</w:t>
            </w:r>
          </w:p>
        </w:tc>
        <w:tc>
          <w:tcPr>
            <w:tcW w:w="1954" w:type="pct"/>
            <w:tcBorders>
              <w:top w:val="single" w:color="auto" w:sz="4" w:space="0"/>
              <w:left w:val="single" w:color="auto" w:sz="4" w:space="0"/>
              <w:bottom w:val="single" w:color="auto" w:sz="4" w:space="0"/>
              <w:right w:val="single" w:color="auto" w:sz="4" w:space="0"/>
            </w:tcBorders>
            <w:vAlign w:val="center"/>
          </w:tcPr>
          <w:p w14:paraId="39E41481">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更新危害分析（如适用）</w:t>
            </w:r>
          </w:p>
        </w:tc>
        <w:tc>
          <w:tcPr>
            <w:tcW w:w="824" w:type="pct"/>
            <w:tcBorders>
              <w:top w:val="single" w:color="auto" w:sz="4" w:space="0"/>
              <w:left w:val="single" w:color="auto" w:sz="4" w:space="0"/>
              <w:bottom w:val="single" w:color="auto" w:sz="4" w:space="0"/>
              <w:right w:val="single" w:color="auto" w:sz="4" w:space="0"/>
            </w:tcBorders>
            <w:vAlign w:val="center"/>
          </w:tcPr>
          <w:p w14:paraId="7DF35ED8">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质量（设计）工程师</w:t>
            </w:r>
          </w:p>
        </w:tc>
        <w:tc>
          <w:tcPr>
            <w:tcW w:w="976" w:type="pct"/>
            <w:tcBorders>
              <w:top w:val="single" w:color="auto" w:sz="4" w:space="0"/>
              <w:left w:val="single" w:color="auto" w:sz="4" w:space="0"/>
              <w:bottom w:val="single" w:color="auto" w:sz="4" w:space="0"/>
              <w:right w:val="single" w:color="auto" w:sz="4" w:space="0"/>
            </w:tcBorders>
            <w:vAlign w:val="center"/>
          </w:tcPr>
          <w:p w14:paraId="7C8A775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危害分析报告（如适用）</w:t>
            </w:r>
          </w:p>
        </w:tc>
      </w:tr>
      <w:tr w14:paraId="320C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A74D98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right w:val="single" w:color="auto" w:sz="4" w:space="0"/>
            </w:tcBorders>
            <w:vAlign w:val="center"/>
          </w:tcPr>
          <w:p w14:paraId="37E1A406">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val="en-US" w:eastAsia="zh-CN"/>
              </w:rPr>
              <w:t>产品风险分析</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58B9FA4C">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r>
              <w:rPr>
                <w:rFonts w:hint="eastAsia"/>
                <w:color w:val="0070BE"/>
                <w:szCs w:val="21"/>
                <w:lang w:val="en-US" w:eastAsia="zh-CN"/>
              </w:rPr>
              <w:t xml:space="preserve">   </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646F697">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研发工程师</w:t>
            </w:r>
          </w:p>
        </w:tc>
        <w:tc>
          <w:tcPr>
            <w:tcW w:w="976" w:type="pct"/>
            <w:vMerge w:val="restart"/>
            <w:tcBorders>
              <w:top w:val="single" w:color="auto" w:sz="4" w:space="0"/>
              <w:left w:val="single" w:color="auto" w:sz="4" w:space="0"/>
              <w:right w:val="single" w:color="auto" w:sz="4" w:space="0"/>
            </w:tcBorders>
            <w:vAlign w:val="center"/>
          </w:tcPr>
          <w:p w14:paraId="0B6EBB1A">
            <w:pPr>
              <w:keepNext w:val="0"/>
              <w:keepLines w:val="0"/>
              <w:widowControl/>
              <w:suppressLineNumbers w:val="0"/>
              <w:spacing w:before="0" w:beforeAutospacing="0" w:after="0" w:afterAutospacing="0"/>
              <w:ind w:left="0" w:right="0"/>
              <w:rPr>
                <w:rFonts w:hint="default"/>
                <w:color w:val="0070BE"/>
                <w:szCs w:val="21"/>
              </w:rPr>
            </w:pPr>
            <w:r>
              <w:rPr>
                <w:rFonts w:hint="eastAsia"/>
                <w:color w:val="0070BE"/>
                <w:szCs w:val="21"/>
                <w:lang w:val="en-US" w:eastAsia="zh-CN"/>
              </w:rPr>
              <w:t>风险</w:t>
            </w:r>
            <w:r>
              <w:rPr>
                <w:rFonts w:hint="eastAsia"/>
                <w:color w:val="0070BE"/>
                <w:szCs w:val="21"/>
              </w:rPr>
              <w:t>分析</w:t>
            </w:r>
            <w:r>
              <w:rPr>
                <w:rFonts w:hint="eastAsia"/>
                <w:color w:val="0070BE"/>
                <w:szCs w:val="21"/>
                <w:lang w:eastAsia="zh-CN"/>
              </w:rPr>
              <w:t>（</w:t>
            </w:r>
            <w:r>
              <w:rPr>
                <w:rFonts w:hint="eastAsia"/>
                <w:color w:val="0070BE"/>
                <w:szCs w:val="21"/>
                <w:lang w:val="en-US" w:eastAsia="zh-CN"/>
              </w:rPr>
              <w:t>PHA</w:t>
            </w:r>
            <w:r>
              <w:rPr>
                <w:rFonts w:hint="eastAsia"/>
                <w:color w:val="0070BE"/>
                <w:szCs w:val="21"/>
                <w:lang w:eastAsia="zh-CN"/>
              </w:rPr>
              <w:t>）</w:t>
            </w:r>
            <w:r>
              <w:rPr>
                <w:rFonts w:hint="eastAsia"/>
                <w:color w:val="0070BE"/>
                <w:szCs w:val="21"/>
              </w:rPr>
              <w:t>报告</w:t>
            </w:r>
          </w:p>
        </w:tc>
      </w:tr>
      <w:tr w14:paraId="08B9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600B7D2">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0498C6FD">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74168743">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PHA</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1F500DC0">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研发工程师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5D2C54B1">
            <w:pPr>
              <w:keepNext w:val="0"/>
              <w:keepLines w:val="0"/>
              <w:widowControl/>
              <w:suppressLineNumbers w:val="0"/>
              <w:spacing w:before="0" w:beforeAutospacing="0" w:after="0" w:afterAutospacing="0"/>
              <w:ind w:left="0" w:right="0"/>
              <w:rPr>
                <w:rFonts w:hint="default"/>
                <w:color w:val="0070BE"/>
                <w:szCs w:val="21"/>
              </w:rPr>
            </w:pPr>
          </w:p>
        </w:tc>
      </w:tr>
      <w:tr w14:paraId="693A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069141E">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41E7D53">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val="en-US" w:eastAsia="zh-CN"/>
              </w:rPr>
              <w:t>工艺风险分析</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1C8941C5">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095545AB">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工艺工程师</w:t>
            </w:r>
          </w:p>
        </w:tc>
        <w:tc>
          <w:tcPr>
            <w:tcW w:w="976" w:type="pct"/>
            <w:vMerge w:val="restart"/>
            <w:tcBorders>
              <w:top w:val="single" w:color="auto" w:sz="4" w:space="0"/>
              <w:left w:val="single" w:color="auto" w:sz="4" w:space="0"/>
              <w:bottom w:val="single" w:color="auto" w:sz="4" w:space="0"/>
              <w:right w:val="single" w:color="auto" w:sz="4" w:space="0"/>
            </w:tcBorders>
            <w:vAlign w:val="center"/>
          </w:tcPr>
          <w:p w14:paraId="275E56F6">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PFMEA</w:t>
            </w:r>
            <w:r>
              <w:rPr>
                <w:rFonts w:hint="eastAsia"/>
                <w:color w:val="0070BE"/>
                <w:szCs w:val="21"/>
              </w:rPr>
              <w:t>报告</w:t>
            </w:r>
          </w:p>
        </w:tc>
      </w:tr>
      <w:tr w14:paraId="47AB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036EC172">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4AFFECDC">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572E8179">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P</w:t>
            </w:r>
            <w:r>
              <w:rPr>
                <w:rFonts w:hint="default"/>
                <w:color w:val="0070BE"/>
                <w:szCs w:val="21"/>
              </w:rPr>
              <w:t>FMEA</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E29D8B9">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工艺工程师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166BFBEA">
            <w:pPr>
              <w:keepNext w:val="0"/>
              <w:keepLines w:val="0"/>
              <w:widowControl/>
              <w:suppressLineNumbers w:val="0"/>
              <w:spacing w:before="0" w:beforeAutospacing="0" w:after="0" w:afterAutospacing="0"/>
              <w:ind w:left="0" w:right="0"/>
              <w:rPr>
                <w:rFonts w:hint="default"/>
                <w:color w:val="0070BE"/>
                <w:szCs w:val="21"/>
              </w:rPr>
            </w:pPr>
          </w:p>
        </w:tc>
      </w:tr>
      <w:tr w14:paraId="3FD7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B358762">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C5372F3">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网络安全风险分析</w:t>
            </w:r>
          </w:p>
          <w:p w14:paraId="56DE1CC5">
            <w:pPr>
              <w:keepNext w:val="0"/>
              <w:keepLines w:val="0"/>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339136F5">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64F63403">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restart"/>
            <w:tcBorders>
              <w:top w:val="single" w:color="auto" w:sz="4" w:space="0"/>
              <w:left w:val="single" w:color="auto" w:sz="4" w:space="0"/>
              <w:bottom w:val="single" w:color="auto" w:sz="4" w:space="0"/>
              <w:right w:val="single" w:color="auto" w:sz="4" w:space="0"/>
            </w:tcBorders>
            <w:vAlign w:val="center"/>
          </w:tcPr>
          <w:p w14:paraId="54363D37">
            <w:pPr>
              <w:keepNext w:val="0"/>
              <w:keepLines w:val="0"/>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网络安全风险分析</w:t>
            </w:r>
          </w:p>
        </w:tc>
      </w:tr>
      <w:tr w14:paraId="7F3A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0DA990F4">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3D2A86DB">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23844B77">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网络安全风险分析</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54FC7C8">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00B01C4D">
            <w:pPr>
              <w:keepNext w:val="0"/>
              <w:keepLines w:val="0"/>
              <w:widowControl/>
              <w:suppressLineNumbers w:val="0"/>
              <w:spacing w:before="0" w:beforeAutospacing="0" w:after="0" w:afterAutospacing="0"/>
              <w:ind w:left="0" w:right="0"/>
              <w:rPr>
                <w:rFonts w:hint="default"/>
                <w:color w:val="0070BE"/>
                <w:szCs w:val="21"/>
              </w:rPr>
            </w:pPr>
          </w:p>
        </w:tc>
      </w:tr>
      <w:tr w14:paraId="5827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0A050B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right w:val="single" w:color="auto" w:sz="4" w:space="0"/>
            </w:tcBorders>
            <w:shd w:val="clear" w:color="auto" w:fill="auto"/>
            <w:vAlign w:val="center"/>
          </w:tcPr>
          <w:p w14:paraId="60DAE4E2">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可用性风险分析</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19911D76">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0E62F06B">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s="Times New Roman"/>
                <w:color w:val="0070BE"/>
                <w:kern w:val="2"/>
                <w:sz w:val="21"/>
                <w:szCs w:val="21"/>
                <w:lang w:val="en-US" w:eastAsia="zh-CN" w:bidi="ar-SA"/>
              </w:rPr>
              <w:t>研发工程师</w:t>
            </w:r>
          </w:p>
        </w:tc>
        <w:tc>
          <w:tcPr>
            <w:tcW w:w="976" w:type="pct"/>
            <w:vMerge w:val="restart"/>
            <w:tcBorders>
              <w:top w:val="single" w:color="auto" w:sz="4" w:space="0"/>
              <w:left w:val="single" w:color="auto" w:sz="4" w:space="0"/>
              <w:right w:val="single" w:color="auto" w:sz="4" w:space="0"/>
            </w:tcBorders>
            <w:vAlign w:val="center"/>
          </w:tcPr>
          <w:p w14:paraId="2EE76628">
            <w:pPr>
              <w:keepNext w:val="0"/>
              <w:keepLines w:val="0"/>
              <w:widowControl/>
              <w:suppressLineNumbers w:val="0"/>
              <w:spacing w:before="0" w:beforeAutospacing="0" w:after="0" w:afterAutospacing="0"/>
              <w:ind w:left="0" w:right="0"/>
              <w:rPr>
                <w:rFonts w:hint="default"/>
                <w:color w:val="0070BE"/>
                <w:szCs w:val="21"/>
              </w:rPr>
            </w:pPr>
            <w:r>
              <w:rPr>
                <w:rFonts w:hint="eastAsia"/>
                <w:color w:val="0070BE"/>
                <w:szCs w:val="21"/>
                <w:lang w:val="en-US" w:eastAsia="zh-CN"/>
              </w:rPr>
              <w:t>可用性风险分析</w:t>
            </w:r>
          </w:p>
        </w:tc>
      </w:tr>
      <w:tr w14:paraId="35AA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1D52EEC9">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left w:val="single" w:color="auto" w:sz="4" w:space="0"/>
              <w:bottom w:val="single" w:color="auto" w:sz="4" w:space="0"/>
              <w:right w:val="single" w:color="auto" w:sz="4" w:space="0"/>
            </w:tcBorders>
            <w:vAlign w:val="center"/>
          </w:tcPr>
          <w:p w14:paraId="3B94E416">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6A6F5520">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可用性风险分析</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7BA66B4">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s="Times New Roman"/>
                <w:color w:val="0070BE"/>
                <w:kern w:val="2"/>
                <w:sz w:val="21"/>
                <w:szCs w:val="21"/>
                <w:lang w:val="en-US" w:eastAsia="zh-CN" w:bidi="ar-SA"/>
              </w:rPr>
              <w:t>研发工程师</w:t>
            </w:r>
          </w:p>
        </w:tc>
        <w:tc>
          <w:tcPr>
            <w:tcW w:w="976" w:type="pct"/>
            <w:vMerge w:val="continue"/>
            <w:tcBorders>
              <w:left w:val="single" w:color="auto" w:sz="4" w:space="0"/>
              <w:bottom w:val="single" w:color="auto" w:sz="4" w:space="0"/>
              <w:right w:val="single" w:color="auto" w:sz="4" w:space="0"/>
            </w:tcBorders>
            <w:vAlign w:val="center"/>
          </w:tcPr>
          <w:p w14:paraId="104ED3C3">
            <w:pPr>
              <w:keepNext w:val="0"/>
              <w:keepLines w:val="0"/>
              <w:widowControl/>
              <w:suppressLineNumbers w:val="0"/>
              <w:spacing w:before="0" w:beforeAutospacing="0" w:after="0" w:afterAutospacing="0"/>
              <w:ind w:left="0" w:right="0"/>
              <w:rPr>
                <w:rFonts w:hint="default"/>
                <w:color w:val="0070BE"/>
                <w:szCs w:val="21"/>
              </w:rPr>
            </w:pPr>
          </w:p>
        </w:tc>
      </w:tr>
      <w:tr w14:paraId="3B5D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A709E14">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7F910F7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w:t>
            </w:r>
          </w:p>
        </w:tc>
        <w:tc>
          <w:tcPr>
            <w:tcW w:w="1954" w:type="pct"/>
            <w:tcBorders>
              <w:top w:val="single" w:color="auto" w:sz="4" w:space="0"/>
              <w:left w:val="single" w:color="auto" w:sz="4" w:space="0"/>
              <w:bottom w:val="single" w:color="auto" w:sz="4" w:space="0"/>
              <w:right w:val="single" w:color="auto" w:sz="4" w:space="0"/>
            </w:tcBorders>
            <w:vAlign w:val="center"/>
          </w:tcPr>
          <w:p w14:paraId="7B0A9281">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评审要点：</w:t>
            </w:r>
          </w:p>
          <w:p w14:paraId="5FA35613">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1</w:t>
            </w:r>
            <w:r>
              <w:rPr>
                <w:rFonts w:hint="eastAsia"/>
                <w:color w:val="0070BE"/>
                <w:szCs w:val="21"/>
              </w:rPr>
              <w:t>）风险管理计划已被适当更新和实施。</w:t>
            </w:r>
          </w:p>
          <w:p w14:paraId="1829F072">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2</w:t>
            </w:r>
            <w:r>
              <w:rPr>
                <w:rFonts w:hint="eastAsia"/>
                <w:color w:val="0070BE"/>
                <w:szCs w:val="21"/>
              </w:rPr>
              <w:t>）风险控制措施已得到适当的实施和实施的验证。</w:t>
            </w:r>
          </w:p>
          <w:p w14:paraId="1BF9FB37">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3</w:t>
            </w:r>
            <w:r>
              <w:rPr>
                <w:rFonts w:hint="eastAsia"/>
                <w:color w:val="0070BE"/>
                <w:szCs w:val="21"/>
              </w:rPr>
              <w:t>）风险控制措施的实施是否引入新的危害或危害处境？</w:t>
            </w:r>
          </w:p>
          <w:p w14:paraId="6027307D">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4</w:t>
            </w:r>
            <w:r>
              <w:rPr>
                <w:rFonts w:hint="eastAsia"/>
                <w:color w:val="0070BE"/>
                <w:szCs w:val="21"/>
              </w:rPr>
              <w:t>）是否由于风险控制措施的引入影响了之前的风险估计？</w:t>
            </w:r>
          </w:p>
          <w:p w14:paraId="5A7C1E80">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5</w:t>
            </w:r>
            <w:r>
              <w:rPr>
                <w:rFonts w:hint="eastAsia"/>
                <w:color w:val="0070BE"/>
                <w:szCs w:val="21"/>
              </w:rPr>
              <w:t>）变更是否引入新的风险？</w:t>
            </w:r>
          </w:p>
          <w:p w14:paraId="66AAEE56">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6</w:t>
            </w:r>
            <w:r>
              <w:rPr>
                <w:rFonts w:hint="eastAsia"/>
                <w:color w:val="0070BE"/>
                <w:szCs w:val="21"/>
              </w:rPr>
              <w:t>）变更是否影响了之前的风险估计？</w:t>
            </w:r>
          </w:p>
          <w:p w14:paraId="46865147">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7</w:t>
            </w:r>
            <w:r>
              <w:rPr>
                <w:rFonts w:hint="eastAsia"/>
                <w:color w:val="0070BE"/>
                <w:szCs w:val="21"/>
              </w:rPr>
              <w:t>）单个剩余风险已得到适当的评价。</w:t>
            </w:r>
          </w:p>
          <w:p w14:paraId="29E8EA2F">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8</w:t>
            </w:r>
            <w:r>
              <w:rPr>
                <w:rFonts w:hint="eastAsia"/>
                <w:color w:val="0070BE"/>
                <w:szCs w:val="21"/>
              </w:rPr>
              <w:t>）是否有新的风险输入？</w:t>
            </w:r>
          </w:p>
        </w:tc>
        <w:tc>
          <w:tcPr>
            <w:tcW w:w="824" w:type="pct"/>
            <w:tcBorders>
              <w:top w:val="single" w:color="auto" w:sz="4" w:space="0"/>
              <w:left w:val="single" w:color="auto" w:sz="4" w:space="0"/>
              <w:bottom w:val="single" w:color="auto" w:sz="4" w:space="0"/>
              <w:right w:val="single" w:color="auto" w:sz="4" w:space="0"/>
            </w:tcBorders>
            <w:vAlign w:val="center"/>
          </w:tcPr>
          <w:p w14:paraId="676CDB4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eastAsia="zh-CN"/>
              </w:rPr>
              <w:t>风险经理主导</w:t>
            </w:r>
          </w:p>
          <w:p w14:paraId="5625E4B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风险管理团队参与</w:t>
            </w:r>
          </w:p>
        </w:tc>
        <w:tc>
          <w:tcPr>
            <w:tcW w:w="976" w:type="pct"/>
            <w:tcBorders>
              <w:top w:val="single" w:color="auto" w:sz="4" w:space="0"/>
              <w:left w:val="single" w:color="auto" w:sz="4" w:space="0"/>
              <w:bottom w:val="single" w:color="auto" w:sz="4" w:space="0"/>
              <w:right w:val="single" w:color="auto" w:sz="4" w:space="0"/>
            </w:tcBorders>
            <w:vAlign w:val="center"/>
          </w:tcPr>
          <w:p w14:paraId="06C47F8D">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风险管理评审报告</w:t>
            </w:r>
          </w:p>
        </w:tc>
      </w:tr>
      <w:tr w14:paraId="56DF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restart"/>
            <w:tcBorders>
              <w:top w:val="single" w:color="auto" w:sz="4" w:space="0"/>
              <w:left w:val="single" w:color="auto" w:sz="4" w:space="0"/>
              <w:bottom w:val="single" w:color="auto" w:sz="4" w:space="0"/>
              <w:right w:val="single" w:color="auto" w:sz="4" w:space="0"/>
            </w:tcBorders>
            <w:vAlign w:val="center"/>
          </w:tcPr>
          <w:p w14:paraId="2002938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设计确认</w:t>
            </w:r>
            <w:r>
              <w:rPr>
                <w:rFonts w:hint="default"/>
                <w:color w:val="0070BE"/>
                <w:szCs w:val="21"/>
              </w:rPr>
              <w:t>&amp;</w:t>
            </w:r>
            <w:r>
              <w:rPr>
                <w:rFonts w:hint="eastAsia"/>
                <w:color w:val="0070BE"/>
                <w:szCs w:val="21"/>
              </w:rPr>
              <w:t>设计转移</w:t>
            </w:r>
          </w:p>
        </w:tc>
        <w:tc>
          <w:tcPr>
            <w:tcW w:w="775" w:type="pct"/>
            <w:tcBorders>
              <w:top w:val="single" w:color="auto" w:sz="4" w:space="0"/>
              <w:left w:val="single" w:color="auto" w:sz="4" w:space="0"/>
              <w:bottom w:val="single" w:color="auto" w:sz="4" w:space="0"/>
              <w:right w:val="single" w:color="auto" w:sz="4" w:space="0"/>
            </w:tcBorders>
            <w:vAlign w:val="center"/>
          </w:tcPr>
          <w:p w14:paraId="1DE31124">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风险管理计划</w:t>
            </w:r>
          </w:p>
        </w:tc>
        <w:tc>
          <w:tcPr>
            <w:tcW w:w="1954" w:type="pct"/>
            <w:tcBorders>
              <w:top w:val="single" w:color="auto" w:sz="4" w:space="0"/>
              <w:left w:val="single" w:color="auto" w:sz="4" w:space="0"/>
              <w:bottom w:val="single" w:color="auto" w:sz="4" w:space="0"/>
              <w:right w:val="single" w:color="auto" w:sz="4" w:space="0"/>
            </w:tcBorders>
            <w:vAlign w:val="center"/>
          </w:tcPr>
          <w:p w14:paraId="2B155D28">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更新风险管理计划（如适用）</w:t>
            </w:r>
          </w:p>
        </w:tc>
        <w:tc>
          <w:tcPr>
            <w:tcW w:w="824" w:type="pct"/>
            <w:tcBorders>
              <w:top w:val="single" w:color="auto" w:sz="4" w:space="0"/>
              <w:left w:val="single" w:color="auto" w:sz="4" w:space="0"/>
              <w:bottom w:val="single" w:color="auto" w:sz="4" w:space="0"/>
              <w:right w:val="single" w:color="auto" w:sz="4" w:space="0"/>
            </w:tcBorders>
            <w:vAlign w:val="center"/>
          </w:tcPr>
          <w:p w14:paraId="6DA3A185">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tcBorders>
              <w:top w:val="single" w:color="auto" w:sz="4" w:space="0"/>
              <w:left w:val="single" w:color="auto" w:sz="4" w:space="0"/>
              <w:bottom w:val="single" w:color="auto" w:sz="4" w:space="0"/>
              <w:right w:val="single" w:color="auto" w:sz="4" w:space="0"/>
            </w:tcBorders>
            <w:vAlign w:val="center"/>
          </w:tcPr>
          <w:p w14:paraId="39784AED">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风险管理计划</w:t>
            </w:r>
          </w:p>
        </w:tc>
      </w:tr>
      <w:tr w14:paraId="3DD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C573ADC">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4979F4FF">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w:t>
            </w:r>
          </w:p>
        </w:tc>
        <w:tc>
          <w:tcPr>
            <w:tcW w:w="1954" w:type="pct"/>
            <w:tcBorders>
              <w:top w:val="single" w:color="auto" w:sz="4" w:space="0"/>
              <w:left w:val="single" w:color="auto" w:sz="4" w:space="0"/>
              <w:bottom w:val="single" w:color="auto" w:sz="4" w:space="0"/>
              <w:right w:val="single" w:color="auto" w:sz="4" w:space="0"/>
            </w:tcBorders>
            <w:vAlign w:val="center"/>
          </w:tcPr>
          <w:p w14:paraId="66B8A3C4">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更新风险输入（如适用）</w:t>
            </w:r>
          </w:p>
        </w:tc>
        <w:tc>
          <w:tcPr>
            <w:tcW w:w="824" w:type="pct"/>
            <w:tcBorders>
              <w:top w:val="single" w:color="auto" w:sz="4" w:space="0"/>
              <w:left w:val="single" w:color="auto" w:sz="4" w:space="0"/>
              <w:bottom w:val="single" w:color="auto" w:sz="4" w:space="0"/>
              <w:right w:val="single" w:color="auto" w:sz="4" w:space="0"/>
            </w:tcBorders>
            <w:vAlign w:val="center"/>
          </w:tcPr>
          <w:p w14:paraId="546F7AD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相关责任人</w:t>
            </w:r>
          </w:p>
        </w:tc>
        <w:tc>
          <w:tcPr>
            <w:tcW w:w="976" w:type="pct"/>
            <w:tcBorders>
              <w:top w:val="single" w:color="auto" w:sz="4" w:space="0"/>
              <w:left w:val="single" w:color="auto" w:sz="4" w:space="0"/>
              <w:bottom w:val="single" w:color="auto" w:sz="4" w:space="0"/>
              <w:right w:val="single" w:color="auto" w:sz="4" w:space="0"/>
            </w:tcBorders>
            <w:vAlign w:val="center"/>
          </w:tcPr>
          <w:p w14:paraId="53C8150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风险输入文件</w:t>
            </w:r>
          </w:p>
        </w:tc>
      </w:tr>
      <w:tr w14:paraId="0BBD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3E12103">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2EBC59D1">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危害分析（</w:t>
            </w:r>
            <w:r>
              <w:rPr>
                <w:rFonts w:hint="default"/>
                <w:color w:val="0070BE"/>
                <w:szCs w:val="21"/>
              </w:rPr>
              <w:t>HA</w:t>
            </w:r>
            <w:r>
              <w:rPr>
                <w:rFonts w:hint="eastAsia"/>
                <w:color w:val="0070BE"/>
                <w:szCs w:val="21"/>
              </w:rPr>
              <w:t>）</w:t>
            </w:r>
          </w:p>
        </w:tc>
        <w:tc>
          <w:tcPr>
            <w:tcW w:w="1954" w:type="pct"/>
            <w:tcBorders>
              <w:top w:val="single" w:color="auto" w:sz="4" w:space="0"/>
              <w:left w:val="single" w:color="auto" w:sz="4" w:space="0"/>
              <w:bottom w:val="single" w:color="auto" w:sz="4" w:space="0"/>
              <w:right w:val="single" w:color="auto" w:sz="4" w:space="0"/>
            </w:tcBorders>
            <w:vAlign w:val="center"/>
          </w:tcPr>
          <w:p w14:paraId="0ACE65B8">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更新危害分析（如适用）</w:t>
            </w:r>
          </w:p>
        </w:tc>
        <w:tc>
          <w:tcPr>
            <w:tcW w:w="824" w:type="pct"/>
            <w:tcBorders>
              <w:top w:val="single" w:color="auto" w:sz="4" w:space="0"/>
              <w:left w:val="single" w:color="auto" w:sz="4" w:space="0"/>
              <w:bottom w:val="single" w:color="auto" w:sz="4" w:space="0"/>
              <w:right w:val="single" w:color="auto" w:sz="4" w:space="0"/>
            </w:tcBorders>
            <w:vAlign w:val="center"/>
          </w:tcPr>
          <w:p w14:paraId="2B20FF90">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质量（设计）工程师</w:t>
            </w:r>
          </w:p>
        </w:tc>
        <w:tc>
          <w:tcPr>
            <w:tcW w:w="976" w:type="pct"/>
            <w:tcBorders>
              <w:top w:val="single" w:color="auto" w:sz="4" w:space="0"/>
              <w:left w:val="single" w:color="auto" w:sz="4" w:space="0"/>
              <w:bottom w:val="single" w:color="auto" w:sz="4" w:space="0"/>
              <w:right w:val="single" w:color="auto" w:sz="4" w:space="0"/>
            </w:tcBorders>
            <w:vAlign w:val="center"/>
          </w:tcPr>
          <w:p w14:paraId="2BF9083D">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危害分析报告</w:t>
            </w:r>
          </w:p>
        </w:tc>
      </w:tr>
      <w:tr w14:paraId="3FE0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0A6A9682">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9EE4230">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产品风险分析</w:t>
            </w:r>
          </w:p>
          <w:p w14:paraId="63F69921">
            <w:pPr>
              <w:keepNext w:val="0"/>
              <w:keepLines w:val="0"/>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082DE3A2">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r>
              <w:rPr>
                <w:rFonts w:hint="eastAsia"/>
                <w:color w:val="0070BE"/>
                <w:szCs w:val="21"/>
                <w:lang w:val="en-US" w:eastAsia="zh-CN"/>
              </w:rPr>
              <w:t xml:space="preserve">   </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6382603E">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研发工程师</w:t>
            </w:r>
          </w:p>
        </w:tc>
        <w:tc>
          <w:tcPr>
            <w:tcW w:w="97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505D9C9">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风险</w:t>
            </w:r>
            <w:r>
              <w:rPr>
                <w:rFonts w:hint="eastAsia"/>
                <w:color w:val="0070BE"/>
                <w:szCs w:val="21"/>
              </w:rPr>
              <w:t>分析</w:t>
            </w:r>
            <w:r>
              <w:rPr>
                <w:rFonts w:hint="eastAsia"/>
                <w:color w:val="0070BE"/>
                <w:szCs w:val="21"/>
                <w:lang w:eastAsia="zh-CN"/>
              </w:rPr>
              <w:t>（</w:t>
            </w:r>
            <w:r>
              <w:rPr>
                <w:rFonts w:hint="eastAsia"/>
                <w:color w:val="0070BE"/>
                <w:szCs w:val="21"/>
                <w:lang w:val="en-US" w:eastAsia="zh-CN"/>
              </w:rPr>
              <w:t>PHA</w:t>
            </w:r>
            <w:r>
              <w:rPr>
                <w:rFonts w:hint="eastAsia"/>
                <w:color w:val="0070BE"/>
                <w:szCs w:val="21"/>
                <w:lang w:eastAsia="zh-CN"/>
              </w:rPr>
              <w:t>）</w:t>
            </w:r>
            <w:r>
              <w:rPr>
                <w:rFonts w:hint="eastAsia"/>
                <w:color w:val="0070BE"/>
                <w:szCs w:val="21"/>
              </w:rPr>
              <w:t>报告</w:t>
            </w:r>
          </w:p>
          <w:p w14:paraId="0C0CEB0A">
            <w:pPr>
              <w:keepNext w:val="0"/>
              <w:keepLines w:val="0"/>
              <w:suppressLineNumbers w:val="0"/>
              <w:spacing w:before="0" w:beforeAutospacing="0" w:after="0" w:afterAutospacing="0"/>
              <w:ind w:left="0" w:right="0"/>
              <w:rPr>
                <w:rFonts w:hint="default"/>
                <w:color w:val="0070BE"/>
                <w:szCs w:val="21"/>
              </w:rPr>
            </w:pPr>
          </w:p>
        </w:tc>
      </w:tr>
      <w:tr w14:paraId="722A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1887A403">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26ABD026">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285CF91B">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PHA</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11CD363C">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研发工程师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08A662D5">
            <w:pPr>
              <w:keepNext w:val="0"/>
              <w:keepLines w:val="0"/>
              <w:widowControl/>
              <w:suppressLineNumbers w:val="0"/>
              <w:spacing w:before="0" w:beforeAutospacing="0" w:after="0" w:afterAutospacing="0"/>
              <w:ind w:left="0" w:right="0"/>
              <w:rPr>
                <w:rFonts w:hint="default"/>
                <w:color w:val="0070BE"/>
                <w:szCs w:val="21"/>
              </w:rPr>
            </w:pPr>
          </w:p>
        </w:tc>
      </w:tr>
      <w:tr w14:paraId="2BD7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9F36E4C">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D5E6AC5">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工艺风险分析</w:t>
            </w:r>
          </w:p>
          <w:p w14:paraId="0A0CE93D">
            <w:pPr>
              <w:keepNext w:val="0"/>
              <w:keepLines w:val="0"/>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77C183E4">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55EDCB52">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工艺工程师</w:t>
            </w:r>
          </w:p>
        </w:tc>
        <w:tc>
          <w:tcPr>
            <w:tcW w:w="97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05A7399">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default"/>
                <w:color w:val="0070BE"/>
                <w:szCs w:val="21"/>
              </w:rPr>
              <w:t>PFMEA</w:t>
            </w:r>
            <w:r>
              <w:rPr>
                <w:rFonts w:hint="eastAsia"/>
                <w:color w:val="0070BE"/>
                <w:szCs w:val="21"/>
              </w:rPr>
              <w:t>报告</w:t>
            </w:r>
          </w:p>
          <w:p w14:paraId="5993507F">
            <w:pPr>
              <w:keepNext w:val="0"/>
              <w:keepLines w:val="0"/>
              <w:suppressLineNumbers w:val="0"/>
              <w:spacing w:before="0" w:beforeAutospacing="0" w:after="0" w:afterAutospacing="0"/>
              <w:ind w:left="0" w:right="0"/>
              <w:rPr>
                <w:rFonts w:hint="default"/>
                <w:color w:val="0070BE"/>
                <w:szCs w:val="21"/>
              </w:rPr>
            </w:pPr>
          </w:p>
        </w:tc>
      </w:tr>
      <w:tr w14:paraId="191F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173D88CB">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2EB59130">
            <w:pPr>
              <w:keepNext w:val="0"/>
              <w:keepLines w:val="0"/>
              <w:widowControl/>
              <w:suppressLineNumbers w:val="0"/>
              <w:spacing w:before="0" w:beforeAutospacing="0" w:after="0" w:afterAutospacing="0"/>
              <w:ind w:left="0" w:right="0"/>
              <w:jc w:val="left"/>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068FB62F">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P</w:t>
            </w:r>
            <w:r>
              <w:rPr>
                <w:rFonts w:hint="default"/>
                <w:color w:val="0070BE"/>
                <w:szCs w:val="21"/>
              </w:rPr>
              <w:t>FMEA</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524CD116">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rPr>
              <w:t>工艺工程师</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67FE12AE">
            <w:pPr>
              <w:keepNext w:val="0"/>
              <w:keepLines w:val="0"/>
              <w:widowControl/>
              <w:suppressLineNumbers w:val="0"/>
              <w:spacing w:before="0" w:beforeAutospacing="0" w:after="0" w:afterAutospacing="0"/>
              <w:ind w:left="0" w:right="0"/>
              <w:rPr>
                <w:rFonts w:hint="default"/>
                <w:color w:val="0070BE"/>
                <w:szCs w:val="21"/>
              </w:rPr>
            </w:pPr>
          </w:p>
        </w:tc>
      </w:tr>
      <w:tr w14:paraId="3AF8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996C354">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0FEA051">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网络安全风险分析</w:t>
            </w:r>
          </w:p>
          <w:p w14:paraId="42AAD3AA">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p>
          <w:p w14:paraId="32826114">
            <w:pPr>
              <w:keepNext w:val="0"/>
              <w:keepLines w:val="0"/>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7033B2DA">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0A614A63">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227EA62">
            <w:pPr>
              <w:keepNext w:val="0"/>
              <w:keepLines w:val="0"/>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网络安全风险分析报告</w:t>
            </w:r>
          </w:p>
          <w:p w14:paraId="0B9EEC4D">
            <w:pPr>
              <w:keepNext w:val="0"/>
              <w:keepLines w:val="0"/>
              <w:suppressLineNumbers w:val="0"/>
              <w:spacing w:before="0" w:beforeAutospacing="0" w:after="0" w:afterAutospacing="0"/>
              <w:ind w:left="0" w:right="0"/>
              <w:rPr>
                <w:rFonts w:hint="default"/>
                <w:color w:val="0070BE"/>
                <w:szCs w:val="21"/>
              </w:rPr>
            </w:pPr>
          </w:p>
        </w:tc>
      </w:tr>
      <w:tr w14:paraId="226D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B0B88C9">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648B65BA">
            <w:pPr>
              <w:keepNext w:val="0"/>
              <w:keepLines w:val="0"/>
              <w:widowControl/>
              <w:suppressLineNumbers w:val="0"/>
              <w:spacing w:before="0" w:beforeAutospacing="0" w:after="0" w:afterAutospacing="0"/>
              <w:ind w:left="0" w:right="0"/>
              <w:rPr>
                <w:rFonts w:hint="default"/>
                <w:color w:val="0070BE"/>
                <w:szCs w:val="21"/>
              </w:rPr>
            </w:pP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52CA8130">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更新</w:t>
            </w:r>
            <w:r>
              <w:rPr>
                <w:rFonts w:hint="eastAsia"/>
                <w:color w:val="0070BE"/>
                <w:szCs w:val="21"/>
                <w:lang w:val="en-US" w:eastAsia="zh-CN"/>
              </w:rPr>
              <w:t>网络安全风险分析</w:t>
            </w:r>
            <w:r>
              <w:rPr>
                <w:rFonts w:hint="eastAsia"/>
                <w:color w:val="0070BE"/>
                <w:szCs w:val="21"/>
              </w:rPr>
              <w:t>（如适用）</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3DCAE880">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软件研发</w:t>
            </w:r>
          </w:p>
        </w:tc>
        <w:tc>
          <w:tcPr>
            <w:tcW w:w="976" w:type="pct"/>
            <w:vMerge w:val="continue"/>
            <w:tcBorders>
              <w:top w:val="single" w:color="auto" w:sz="4" w:space="0"/>
              <w:left w:val="single" w:color="auto" w:sz="4" w:space="0"/>
              <w:bottom w:val="single" w:color="auto" w:sz="4" w:space="0"/>
              <w:right w:val="single" w:color="auto" w:sz="4" w:space="0"/>
            </w:tcBorders>
            <w:vAlign w:val="center"/>
          </w:tcPr>
          <w:p w14:paraId="2C465D14">
            <w:pPr>
              <w:keepNext w:val="0"/>
              <w:keepLines w:val="0"/>
              <w:widowControl/>
              <w:suppressLineNumbers w:val="0"/>
              <w:spacing w:before="0" w:beforeAutospacing="0" w:after="0" w:afterAutospacing="0"/>
              <w:ind w:left="0" w:right="0"/>
              <w:rPr>
                <w:rFonts w:hint="default"/>
                <w:color w:val="0070BE"/>
                <w:szCs w:val="21"/>
              </w:rPr>
            </w:pPr>
          </w:p>
        </w:tc>
      </w:tr>
      <w:tr w14:paraId="2168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1052D98">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vMerge w:val="restart"/>
            <w:tcBorders>
              <w:top w:val="single" w:color="auto" w:sz="4" w:space="0"/>
              <w:left w:val="single" w:color="auto" w:sz="4" w:space="0"/>
              <w:right w:val="single" w:color="auto" w:sz="4" w:space="0"/>
            </w:tcBorders>
            <w:shd w:val="clear" w:color="auto" w:fill="auto"/>
            <w:vAlign w:val="center"/>
          </w:tcPr>
          <w:p w14:paraId="1EB307C6">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可用性风险分析</w:t>
            </w:r>
          </w:p>
        </w:tc>
        <w:tc>
          <w:tcPr>
            <w:tcW w:w="1954" w:type="pct"/>
            <w:tcBorders>
              <w:top w:val="single" w:color="auto" w:sz="4" w:space="0"/>
              <w:left w:val="single" w:color="auto" w:sz="4" w:space="0"/>
              <w:bottom w:val="single" w:color="auto" w:sz="4" w:space="0"/>
              <w:right w:val="single" w:color="auto" w:sz="4" w:space="0"/>
            </w:tcBorders>
            <w:shd w:val="clear" w:color="auto" w:fill="auto"/>
            <w:vAlign w:val="center"/>
          </w:tcPr>
          <w:p w14:paraId="553DEB74">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olor w:val="0070BE"/>
                <w:szCs w:val="21"/>
              </w:rPr>
              <w:t>风险</w:t>
            </w:r>
            <w:r>
              <w:rPr>
                <w:rFonts w:hint="default"/>
                <w:color w:val="0070BE"/>
                <w:szCs w:val="21"/>
              </w:rPr>
              <w:t>/</w:t>
            </w:r>
            <w:r>
              <w:rPr>
                <w:rFonts w:hint="eastAsia"/>
                <w:color w:val="0070BE"/>
                <w:szCs w:val="21"/>
              </w:rPr>
              <w:t>受益分析</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437EA7A5">
            <w:pPr>
              <w:keepNext w:val="0"/>
              <w:keepLines w:val="0"/>
              <w:suppressLineNumbers w:val="0"/>
              <w:spacing w:before="0" w:beforeAutospacing="0" w:after="0" w:afterAutospacing="0"/>
              <w:ind w:left="0" w:right="0"/>
              <w:rPr>
                <w:rFonts w:hint="eastAsia" w:ascii="Times New Roman" w:hAnsi="Times New Roman" w:eastAsia="宋体" w:cs="Times New Roman"/>
                <w:color w:val="0070BE"/>
                <w:kern w:val="2"/>
                <w:sz w:val="21"/>
                <w:szCs w:val="21"/>
                <w:lang w:val="en-US" w:eastAsia="zh-CN" w:bidi="ar-SA"/>
              </w:rPr>
            </w:pPr>
            <w:r>
              <w:rPr>
                <w:rFonts w:hint="eastAsia" w:cs="Times New Roman"/>
                <w:color w:val="0070BE"/>
                <w:kern w:val="2"/>
                <w:sz w:val="21"/>
                <w:szCs w:val="21"/>
                <w:lang w:val="en-US" w:eastAsia="zh-CN" w:bidi="ar-SA"/>
              </w:rPr>
              <w:t>研发工程师</w:t>
            </w:r>
          </w:p>
        </w:tc>
        <w:tc>
          <w:tcPr>
            <w:tcW w:w="976" w:type="pct"/>
            <w:vMerge w:val="restart"/>
            <w:tcBorders>
              <w:top w:val="single" w:color="auto" w:sz="4" w:space="0"/>
              <w:left w:val="single" w:color="auto" w:sz="4" w:space="0"/>
              <w:right w:val="single" w:color="auto" w:sz="4" w:space="0"/>
            </w:tcBorders>
            <w:shd w:val="clear" w:color="auto" w:fill="auto"/>
            <w:vAlign w:val="center"/>
          </w:tcPr>
          <w:p w14:paraId="6CF22AFF">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0070BE"/>
                <w:kern w:val="2"/>
                <w:sz w:val="21"/>
                <w:szCs w:val="21"/>
                <w:lang w:val="en-US" w:eastAsia="zh-CN" w:bidi="ar-SA"/>
              </w:rPr>
            </w:pPr>
            <w:r>
              <w:rPr>
                <w:rFonts w:hint="eastAsia"/>
                <w:color w:val="0070BE"/>
                <w:szCs w:val="21"/>
                <w:lang w:val="en-US" w:eastAsia="zh-CN"/>
              </w:rPr>
              <w:t>可用性风险分析报告</w:t>
            </w:r>
          </w:p>
        </w:tc>
      </w:tr>
      <w:tr w14:paraId="29F3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3EFC4CEC">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vMerge w:val="continue"/>
            <w:tcBorders>
              <w:left w:val="single" w:color="auto" w:sz="4" w:space="0"/>
              <w:bottom w:val="single" w:color="auto" w:sz="4" w:space="0"/>
              <w:right w:val="single" w:color="auto" w:sz="4" w:space="0"/>
            </w:tcBorders>
            <w:vAlign w:val="center"/>
          </w:tcPr>
          <w:p w14:paraId="23B8B700">
            <w:pPr>
              <w:keepNext w:val="0"/>
              <w:keepLines w:val="0"/>
              <w:suppressLineNumbers w:val="0"/>
              <w:spacing w:before="0" w:beforeAutospacing="0" w:after="0" w:afterAutospacing="0"/>
              <w:ind w:left="0" w:right="0"/>
              <w:rPr>
                <w:rFonts w:hint="eastAsia"/>
                <w:color w:val="0070BE"/>
                <w:szCs w:val="21"/>
              </w:rPr>
            </w:pPr>
          </w:p>
        </w:tc>
        <w:tc>
          <w:tcPr>
            <w:tcW w:w="1954" w:type="pct"/>
            <w:tcBorders>
              <w:top w:val="single" w:color="auto" w:sz="4" w:space="0"/>
              <w:left w:val="single" w:color="auto" w:sz="4" w:space="0"/>
              <w:bottom w:val="single" w:color="auto" w:sz="4" w:space="0"/>
              <w:right w:val="single" w:color="auto" w:sz="4" w:space="0"/>
            </w:tcBorders>
            <w:vAlign w:val="center"/>
          </w:tcPr>
          <w:p w14:paraId="4BA8F42A">
            <w:pPr>
              <w:keepNext w:val="0"/>
              <w:keepLines w:val="0"/>
              <w:suppressLineNumbers w:val="0"/>
              <w:spacing w:before="0" w:beforeAutospacing="0" w:after="0" w:afterAutospacing="0"/>
              <w:ind w:left="0" w:right="0"/>
              <w:rPr>
                <w:rFonts w:hint="default" w:eastAsia="宋体"/>
                <w:color w:val="0070BE"/>
                <w:szCs w:val="21"/>
                <w:lang w:val="en-US" w:eastAsia="zh-CN"/>
              </w:rPr>
            </w:pPr>
            <w:r>
              <w:rPr>
                <w:rFonts w:hint="eastAsia"/>
                <w:color w:val="0070BE"/>
                <w:szCs w:val="21"/>
                <w:lang w:val="en-US" w:eastAsia="zh-CN"/>
              </w:rPr>
              <w:t>更新可用性风险根系（如使用）</w:t>
            </w:r>
          </w:p>
        </w:tc>
        <w:tc>
          <w:tcPr>
            <w:tcW w:w="824" w:type="pct"/>
            <w:tcBorders>
              <w:top w:val="single" w:color="auto" w:sz="4" w:space="0"/>
              <w:left w:val="single" w:color="auto" w:sz="4" w:space="0"/>
              <w:bottom w:val="single" w:color="auto" w:sz="4" w:space="0"/>
              <w:right w:val="single" w:color="auto" w:sz="4" w:space="0"/>
            </w:tcBorders>
            <w:vAlign w:val="center"/>
          </w:tcPr>
          <w:p w14:paraId="1D9DE67E">
            <w:pPr>
              <w:keepNext w:val="0"/>
              <w:keepLines w:val="0"/>
              <w:suppressLineNumbers w:val="0"/>
              <w:spacing w:before="0" w:beforeAutospacing="0" w:after="0" w:afterAutospacing="0"/>
              <w:ind w:left="0" w:right="0"/>
              <w:rPr>
                <w:rFonts w:hint="eastAsia"/>
                <w:color w:val="0070BE"/>
                <w:szCs w:val="21"/>
                <w:lang w:eastAsia="zh-CN"/>
              </w:rPr>
            </w:pPr>
            <w:r>
              <w:rPr>
                <w:rFonts w:hint="eastAsia" w:cs="Times New Roman"/>
                <w:color w:val="0070BE"/>
                <w:kern w:val="2"/>
                <w:sz w:val="21"/>
                <w:szCs w:val="21"/>
                <w:lang w:val="en-US" w:eastAsia="zh-CN" w:bidi="ar-SA"/>
              </w:rPr>
              <w:t>研发工程师</w:t>
            </w:r>
          </w:p>
        </w:tc>
        <w:tc>
          <w:tcPr>
            <w:tcW w:w="976" w:type="pct"/>
            <w:vMerge w:val="continue"/>
            <w:tcBorders>
              <w:left w:val="single" w:color="auto" w:sz="4" w:space="0"/>
              <w:bottom w:val="single" w:color="auto" w:sz="4" w:space="0"/>
              <w:right w:val="single" w:color="auto" w:sz="4" w:space="0"/>
            </w:tcBorders>
            <w:vAlign w:val="center"/>
          </w:tcPr>
          <w:p w14:paraId="21F4C144">
            <w:pPr>
              <w:keepNext w:val="0"/>
              <w:keepLines w:val="0"/>
              <w:suppressLineNumbers w:val="0"/>
              <w:spacing w:before="0" w:beforeAutospacing="0" w:after="0" w:afterAutospacing="0"/>
              <w:ind w:left="0" w:right="0"/>
              <w:rPr>
                <w:rFonts w:hint="eastAsia"/>
                <w:color w:val="0070BE"/>
                <w:szCs w:val="21"/>
              </w:rPr>
            </w:pPr>
          </w:p>
        </w:tc>
      </w:tr>
      <w:tr w14:paraId="0E17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24F1FA5">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701FBFB7">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上市后风险管理计划</w:t>
            </w:r>
          </w:p>
        </w:tc>
        <w:tc>
          <w:tcPr>
            <w:tcW w:w="1954" w:type="pct"/>
            <w:tcBorders>
              <w:top w:val="single" w:color="auto" w:sz="4" w:space="0"/>
              <w:left w:val="single" w:color="auto" w:sz="4" w:space="0"/>
              <w:bottom w:val="single" w:color="auto" w:sz="4" w:space="0"/>
              <w:right w:val="single" w:color="auto" w:sz="4" w:space="0"/>
            </w:tcBorders>
            <w:vAlign w:val="center"/>
          </w:tcPr>
          <w:p w14:paraId="0D0AC259">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主导上市后风险管理计划</w:t>
            </w:r>
          </w:p>
        </w:tc>
        <w:tc>
          <w:tcPr>
            <w:tcW w:w="824" w:type="pct"/>
            <w:tcBorders>
              <w:top w:val="single" w:color="auto" w:sz="4" w:space="0"/>
              <w:left w:val="single" w:color="auto" w:sz="4" w:space="0"/>
              <w:bottom w:val="single" w:color="auto" w:sz="4" w:space="0"/>
              <w:right w:val="single" w:color="auto" w:sz="4" w:space="0"/>
            </w:tcBorders>
            <w:vAlign w:val="center"/>
          </w:tcPr>
          <w:p w14:paraId="70CE9557">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tcBorders>
              <w:top w:val="single" w:color="auto" w:sz="4" w:space="0"/>
              <w:left w:val="single" w:color="auto" w:sz="4" w:space="0"/>
              <w:bottom w:val="single" w:color="auto" w:sz="4" w:space="0"/>
              <w:right w:val="single" w:color="auto" w:sz="4" w:space="0"/>
            </w:tcBorders>
            <w:vAlign w:val="center"/>
          </w:tcPr>
          <w:p w14:paraId="40440F9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上市后风险管理计划</w:t>
            </w:r>
          </w:p>
        </w:tc>
      </w:tr>
      <w:tr w14:paraId="3D7C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3C8DD617">
            <w:pPr>
              <w:keepNext w:val="0"/>
              <w:keepLines w:val="0"/>
              <w:widowControl/>
              <w:suppressLineNumbers w:val="0"/>
              <w:spacing w:before="0" w:beforeAutospacing="0" w:after="0" w:afterAutospacing="0"/>
              <w:ind w:left="0" w:right="0"/>
              <w:jc w:val="left"/>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285B100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w:t>
            </w:r>
          </w:p>
        </w:tc>
        <w:tc>
          <w:tcPr>
            <w:tcW w:w="1954" w:type="pct"/>
            <w:tcBorders>
              <w:top w:val="single" w:color="auto" w:sz="4" w:space="0"/>
              <w:left w:val="single" w:color="auto" w:sz="4" w:space="0"/>
              <w:bottom w:val="single" w:color="auto" w:sz="4" w:space="0"/>
              <w:right w:val="single" w:color="auto" w:sz="4" w:space="0"/>
            </w:tcBorders>
            <w:vAlign w:val="center"/>
          </w:tcPr>
          <w:p w14:paraId="488327C0">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1</w:t>
            </w:r>
            <w:r>
              <w:rPr>
                <w:rFonts w:hint="eastAsia"/>
                <w:color w:val="0070BE"/>
                <w:szCs w:val="21"/>
              </w:rPr>
              <w:t>）风险管理计划已被适当更新和实施；</w:t>
            </w:r>
          </w:p>
          <w:p w14:paraId="6A98BB9A">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2</w:t>
            </w:r>
            <w:r>
              <w:rPr>
                <w:rFonts w:hint="eastAsia"/>
                <w:color w:val="0070BE"/>
                <w:szCs w:val="21"/>
              </w:rPr>
              <w:t>）综合剩余风险是可接受的；</w:t>
            </w:r>
          </w:p>
          <w:p w14:paraId="0061EE66">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3</w:t>
            </w:r>
            <w:r>
              <w:rPr>
                <w:rFonts w:hint="eastAsia"/>
                <w:color w:val="0070BE"/>
                <w:szCs w:val="21"/>
              </w:rPr>
              <w:t>）需要时，已进行适当的风险</w:t>
            </w:r>
            <w:r>
              <w:rPr>
                <w:rFonts w:hint="default"/>
                <w:color w:val="0070BE"/>
                <w:szCs w:val="21"/>
              </w:rPr>
              <w:t>/</w:t>
            </w:r>
            <w:r>
              <w:rPr>
                <w:rFonts w:hint="eastAsia"/>
                <w:color w:val="0070BE"/>
                <w:szCs w:val="21"/>
              </w:rPr>
              <w:t>受益分析；</w:t>
            </w:r>
          </w:p>
          <w:p w14:paraId="48035E4D">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4</w:t>
            </w:r>
            <w:r>
              <w:rPr>
                <w:rFonts w:hint="eastAsia"/>
                <w:color w:val="0070BE"/>
                <w:szCs w:val="21"/>
              </w:rPr>
              <w:t>）已有适当方法获得相关生产和生产后信息。</w:t>
            </w:r>
          </w:p>
        </w:tc>
        <w:tc>
          <w:tcPr>
            <w:tcW w:w="824" w:type="pct"/>
            <w:tcBorders>
              <w:top w:val="single" w:color="auto" w:sz="4" w:space="0"/>
              <w:left w:val="single" w:color="auto" w:sz="4" w:space="0"/>
              <w:bottom w:val="single" w:color="auto" w:sz="4" w:space="0"/>
              <w:right w:val="single" w:color="auto" w:sz="4" w:space="0"/>
            </w:tcBorders>
            <w:vAlign w:val="center"/>
          </w:tcPr>
          <w:p w14:paraId="44457FFF">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tcBorders>
              <w:top w:val="single" w:color="auto" w:sz="4" w:space="0"/>
              <w:left w:val="single" w:color="auto" w:sz="4" w:space="0"/>
              <w:bottom w:val="single" w:color="auto" w:sz="4" w:space="0"/>
              <w:right w:val="single" w:color="auto" w:sz="4" w:space="0"/>
            </w:tcBorders>
            <w:vAlign w:val="center"/>
          </w:tcPr>
          <w:p w14:paraId="394C4190">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风险管理评审报告</w:t>
            </w:r>
          </w:p>
        </w:tc>
      </w:tr>
      <w:tr w14:paraId="7796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restart"/>
            <w:tcBorders>
              <w:top w:val="single" w:color="auto" w:sz="4" w:space="0"/>
              <w:left w:val="single" w:color="auto" w:sz="4" w:space="0"/>
              <w:bottom w:val="single" w:color="auto" w:sz="4" w:space="0"/>
              <w:right w:val="single" w:color="auto" w:sz="4" w:space="0"/>
            </w:tcBorders>
            <w:vAlign w:val="center"/>
          </w:tcPr>
          <w:p w14:paraId="5A65CD1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上市后评价和监控</w:t>
            </w:r>
          </w:p>
        </w:tc>
        <w:tc>
          <w:tcPr>
            <w:tcW w:w="775" w:type="pct"/>
            <w:vMerge w:val="restart"/>
            <w:tcBorders>
              <w:top w:val="single" w:color="auto" w:sz="4" w:space="0"/>
              <w:left w:val="single" w:color="auto" w:sz="4" w:space="0"/>
              <w:bottom w:val="single" w:color="auto" w:sz="4" w:space="0"/>
              <w:right w:val="single" w:color="auto" w:sz="4" w:space="0"/>
            </w:tcBorders>
            <w:vAlign w:val="center"/>
          </w:tcPr>
          <w:p w14:paraId="0E7A731B">
            <w:pPr>
              <w:keepNext w:val="0"/>
              <w:keepLines w:val="0"/>
              <w:suppressLineNumbers w:val="0"/>
              <w:spacing w:before="0" w:beforeAutospacing="0" w:after="0" w:afterAutospacing="0"/>
              <w:ind w:left="0" w:right="0"/>
              <w:rPr>
                <w:rFonts w:hint="default" w:ascii="宋体" w:hAnsi="宋体"/>
                <w:color w:val="0070BE"/>
                <w:szCs w:val="24"/>
              </w:rPr>
            </w:pPr>
            <w:r>
              <w:rPr>
                <w:rFonts w:hint="eastAsia" w:ascii="宋体" w:hAnsi="宋体"/>
                <w:color w:val="0070BE"/>
              </w:rPr>
              <w:t>收集产品风险相关生产和生产后信息</w:t>
            </w:r>
          </w:p>
        </w:tc>
        <w:tc>
          <w:tcPr>
            <w:tcW w:w="1954" w:type="pct"/>
            <w:tcBorders>
              <w:top w:val="single" w:color="auto" w:sz="4" w:space="0"/>
              <w:left w:val="single" w:color="auto" w:sz="4" w:space="0"/>
              <w:bottom w:val="single" w:color="auto" w:sz="4" w:space="0"/>
              <w:right w:val="single" w:color="auto" w:sz="4" w:space="0"/>
            </w:tcBorders>
            <w:vAlign w:val="center"/>
          </w:tcPr>
          <w:p w14:paraId="0A9E94AD">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不合格评审、CAPA、环境控制、产品物理相关标准变更信息收集和评价。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00BA575D">
            <w:pPr>
              <w:keepNext w:val="0"/>
              <w:keepLines w:val="0"/>
              <w:suppressLineNumbers w:val="0"/>
              <w:spacing w:before="0" w:beforeAutospacing="0" w:after="0" w:afterAutospacing="0"/>
              <w:ind w:left="0" w:right="0"/>
              <w:rPr>
                <w:rFonts w:hint="eastAsia" w:ascii="宋体" w:hAnsi="宋体"/>
                <w:color w:val="0070BE"/>
                <w:lang w:eastAsia="zh-CN"/>
              </w:rPr>
            </w:pPr>
            <w:r>
              <w:rPr>
                <w:rFonts w:hint="eastAsia" w:ascii="宋体" w:hAnsi="宋体"/>
                <w:color w:val="0070BE"/>
                <w:lang w:eastAsia="zh-CN"/>
              </w:rPr>
              <w:t>质量（设计）工程师</w:t>
            </w:r>
          </w:p>
        </w:tc>
        <w:tc>
          <w:tcPr>
            <w:tcW w:w="976" w:type="pct"/>
            <w:tcBorders>
              <w:top w:val="single" w:color="auto" w:sz="4" w:space="0"/>
              <w:left w:val="single" w:color="auto" w:sz="4" w:space="0"/>
              <w:bottom w:val="single" w:color="auto" w:sz="4" w:space="0"/>
              <w:right w:val="single" w:color="auto" w:sz="4" w:space="0"/>
            </w:tcBorders>
            <w:vAlign w:val="center"/>
          </w:tcPr>
          <w:p w14:paraId="07B64C34">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数据分析报告</w:t>
            </w:r>
          </w:p>
        </w:tc>
      </w:tr>
      <w:tr w14:paraId="123F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208E1A5">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39C54CE3">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6123610D">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产品设计变更信息收集和评价。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254F1F98">
            <w:pPr>
              <w:keepNext w:val="0"/>
              <w:keepLines w:val="0"/>
              <w:suppressLineNumbers w:val="0"/>
              <w:spacing w:before="0" w:beforeAutospacing="0" w:after="0" w:afterAutospacing="0"/>
              <w:ind w:left="0" w:right="0"/>
              <w:rPr>
                <w:rFonts w:hint="default" w:ascii="宋体" w:hAnsi="宋体"/>
                <w:color w:val="0070BE"/>
                <w:lang w:val="en-US" w:eastAsia="zh-CN"/>
              </w:rPr>
            </w:pPr>
            <w:r>
              <w:rPr>
                <w:rFonts w:hint="eastAsia" w:ascii="宋体" w:hAnsi="宋体"/>
                <w:color w:val="0070BE"/>
                <w:lang w:val="en-US" w:eastAsia="zh-CN"/>
              </w:rPr>
              <w:t>研发工程师</w:t>
            </w:r>
          </w:p>
        </w:tc>
        <w:tc>
          <w:tcPr>
            <w:tcW w:w="976" w:type="pct"/>
            <w:tcBorders>
              <w:top w:val="single" w:color="auto" w:sz="4" w:space="0"/>
              <w:left w:val="single" w:color="auto" w:sz="4" w:space="0"/>
              <w:bottom w:val="single" w:color="auto" w:sz="4" w:space="0"/>
              <w:right w:val="single" w:color="auto" w:sz="4" w:space="0"/>
            </w:tcBorders>
            <w:vAlign w:val="center"/>
          </w:tcPr>
          <w:p w14:paraId="677BC4F6">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数据分析报告</w:t>
            </w:r>
          </w:p>
        </w:tc>
      </w:tr>
      <w:tr w14:paraId="5291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3B85070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796B63BE">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27DE65D0">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产品工艺变更信息收集和评价。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19F4A4B9">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工艺工程师</w:t>
            </w:r>
          </w:p>
        </w:tc>
        <w:tc>
          <w:tcPr>
            <w:tcW w:w="976" w:type="pct"/>
            <w:tcBorders>
              <w:top w:val="single" w:color="auto" w:sz="4" w:space="0"/>
              <w:left w:val="single" w:color="auto" w:sz="4" w:space="0"/>
              <w:bottom w:val="single" w:color="auto" w:sz="4" w:space="0"/>
              <w:right w:val="single" w:color="auto" w:sz="4" w:space="0"/>
            </w:tcBorders>
            <w:vAlign w:val="center"/>
          </w:tcPr>
          <w:p w14:paraId="595FFD9C">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数据分析报告</w:t>
            </w:r>
          </w:p>
        </w:tc>
      </w:tr>
      <w:tr w14:paraId="2806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70053C3">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529A1EB4">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7D98C870">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法规变更信息收集和评价。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694E63DA">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注册工程师</w:t>
            </w:r>
          </w:p>
        </w:tc>
        <w:tc>
          <w:tcPr>
            <w:tcW w:w="976" w:type="pct"/>
            <w:tcBorders>
              <w:top w:val="single" w:color="auto" w:sz="4" w:space="0"/>
              <w:left w:val="single" w:color="auto" w:sz="4" w:space="0"/>
              <w:bottom w:val="single" w:color="auto" w:sz="4" w:space="0"/>
              <w:right w:val="single" w:color="auto" w:sz="4" w:space="0"/>
            </w:tcBorders>
            <w:vAlign w:val="center"/>
          </w:tcPr>
          <w:p w14:paraId="7F598313">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数据分析报告</w:t>
            </w:r>
          </w:p>
        </w:tc>
      </w:tr>
      <w:tr w14:paraId="6ECF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193B76AA">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194422D7">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65F945BB">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产品相关的内审、外审信息收集和评价。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26F4F68B">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体系工程师</w:t>
            </w:r>
          </w:p>
        </w:tc>
        <w:tc>
          <w:tcPr>
            <w:tcW w:w="976" w:type="pct"/>
            <w:tcBorders>
              <w:top w:val="single" w:color="auto" w:sz="4" w:space="0"/>
              <w:left w:val="single" w:color="auto" w:sz="4" w:space="0"/>
              <w:bottom w:val="single" w:color="auto" w:sz="4" w:space="0"/>
              <w:right w:val="single" w:color="auto" w:sz="4" w:space="0"/>
            </w:tcBorders>
            <w:vAlign w:val="center"/>
          </w:tcPr>
          <w:p w14:paraId="1EA303A5">
            <w:pPr>
              <w:keepNext w:val="0"/>
              <w:keepLines w:val="0"/>
              <w:suppressLineNumbers w:val="0"/>
              <w:spacing w:before="0" w:beforeAutospacing="0" w:after="0" w:afterAutospacing="0"/>
              <w:ind w:left="0" w:right="0"/>
              <w:rPr>
                <w:rFonts w:hint="eastAsia" w:ascii="宋体" w:hAnsi="宋体"/>
                <w:color w:val="0070BE"/>
              </w:rPr>
            </w:pPr>
            <w:r>
              <w:rPr>
                <w:rFonts w:hint="eastAsia" w:ascii="宋体" w:hAnsi="宋体"/>
                <w:color w:val="0070BE"/>
              </w:rPr>
              <w:t>数据分析报告</w:t>
            </w:r>
          </w:p>
        </w:tc>
      </w:tr>
      <w:tr w14:paraId="22A5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2E36BF15">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054D51D6">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024943FB">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关键设备变更信息收集和评价。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4FC1A15D">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设备工程师</w:t>
            </w:r>
          </w:p>
        </w:tc>
        <w:tc>
          <w:tcPr>
            <w:tcW w:w="976" w:type="pct"/>
            <w:tcBorders>
              <w:top w:val="single" w:color="auto" w:sz="4" w:space="0"/>
              <w:left w:val="single" w:color="auto" w:sz="4" w:space="0"/>
              <w:bottom w:val="single" w:color="auto" w:sz="4" w:space="0"/>
              <w:right w:val="single" w:color="auto" w:sz="4" w:space="0"/>
            </w:tcBorders>
            <w:vAlign w:val="center"/>
          </w:tcPr>
          <w:p w14:paraId="52585AEE">
            <w:pPr>
              <w:keepNext w:val="0"/>
              <w:keepLines w:val="0"/>
              <w:suppressLineNumbers w:val="0"/>
              <w:spacing w:before="0" w:beforeAutospacing="0" w:after="0" w:afterAutospacing="0"/>
              <w:ind w:left="0" w:right="0"/>
              <w:rPr>
                <w:rFonts w:hint="default"/>
                <w:color w:val="0070BE"/>
                <w:szCs w:val="21"/>
                <w:highlight w:val="yellow"/>
              </w:rPr>
            </w:pPr>
            <w:r>
              <w:rPr>
                <w:rFonts w:hint="eastAsia"/>
                <w:color w:val="0070BE"/>
                <w:szCs w:val="21"/>
              </w:rPr>
              <w:t>数据分析报告</w:t>
            </w:r>
          </w:p>
        </w:tc>
      </w:tr>
      <w:tr w14:paraId="5873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3AA4B12B">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5B2D801B">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7B988291">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同类产品临床使用信息收集和评价。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24D5F10F">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临床工程师</w:t>
            </w:r>
          </w:p>
        </w:tc>
        <w:tc>
          <w:tcPr>
            <w:tcW w:w="976" w:type="pct"/>
            <w:tcBorders>
              <w:top w:val="single" w:color="auto" w:sz="4" w:space="0"/>
              <w:left w:val="single" w:color="auto" w:sz="4" w:space="0"/>
              <w:bottom w:val="single" w:color="auto" w:sz="4" w:space="0"/>
              <w:right w:val="single" w:color="auto" w:sz="4" w:space="0"/>
            </w:tcBorders>
            <w:vAlign w:val="center"/>
          </w:tcPr>
          <w:p w14:paraId="3E8D9402">
            <w:pPr>
              <w:keepNext w:val="0"/>
              <w:keepLines w:val="0"/>
              <w:suppressLineNumbers w:val="0"/>
              <w:spacing w:before="0" w:beforeAutospacing="0" w:after="0" w:afterAutospacing="0"/>
              <w:ind w:left="0" w:right="0"/>
              <w:rPr>
                <w:rFonts w:hint="default"/>
                <w:color w:val="0070BE"/>
                <w:szCs w:val="21"/>
                <w:highlight w:val="yellow"/>
              </w:rPr>
            </w:pPr>
            <w:r>
              <w:rPr>
                <w:rFonts w:hint="eastAsia"/>
                <w:color w:val="0070BE"/>
                <w:szCs w:val="21"/>
              </w:rPr>
              <w:t>数据分析报告</w:t>
            </w:r>
          </w:p>
        </w:tc>
      </w:tr>
      <w:tr w14:paraId="25EE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6EE9D1A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1B1CD993">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3CD39114">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原材料进货检验、半成品、成品检验信息收集。</w:t>
            </w:r>
          </w:p>
        </w:tc>
        <w:tc>
          <w:tcPr>
            <w:tcW w:w="824" w:type="pct"/>
            <w:tcBorders>
              <w:top w:val="single" w:color="auto" w:sz="4" w:space="0"/>
              <w:left w:val="single" w:color="auto" w:sz="4" w:space="0"/>
              <w:bottom w:val="single" w:color="auto" w:sz="4" w:space="0"/>
              <w:right w:val="single" w:color="auto" w:sz="4" w:space="0"/>
            </w:tcBorders>
            <w:vAlign w:val="center"/>
          </w:tcPr>
          <w:p w14:paraId="1B717A58">
            <w:pPr>
              <w:keepNext w:val="0"/>
              <w:keepLines w:val="0"/>
              <w:suppressLineNumbers w:val="0"/>
              <w:spacing w:before="0" w:beforeAutospacing="0" w:after="0" w:afterAutospacing="0"/>
              <w:ind w:left="0" w:right="0"/>
              <w:rPr>
                <w:rFonts w:hint="default"/>
                <w:color w:val="0070BE"/>
                <w:szCs w:val="21"/>
                <w:highlight w:val="yellow"/>
              </w:rPr>
            </w:pPr>
            <w:r>
              <w:rPr>
                <w:rFonts w:hint="default"/>
                <w:color w:val="0070BE"/>
              </w:rPr>
              <w:t>QC</w:t>
            </w:r>
            <w:r>
              <w:rPr>
                <w:rFonts w:hint="eastAsia" w:ascii="宋体" w:hAnsi="宋体"/>
                <w:color w:val="0070BE"/>
              </w:rPr>
              <w:t>负责人</w:t>
            </w:r>
          </w:p>
        </w:tc>
        <w:tc>
          <w:tcPr>
            <w:tcW w:w="976" w:type="pct"/>
            <w:tcBorders>
              <w:top w:val="single" w:color="auto" w:sz="4" w:space="0"/>
              <w:left w:val="single" w:color="auto" w:sz="4" w:space="0"/>
              <w:bottom w:val="single" w:color="auto" w:sz="4" w:space="0"/>
              <w:right w:val="single" w:color="auto" w:sz="4" w:space="0"/>
            </w:tcBorders>
            <w:vAlign w:val="center"/>
          </w:tcPr>
          <w:p w14:paraId="6B6F3FC8">
            <w:pPr>
              <w:keepNext w:val="0"/>
              <w:keepLines w:val="0"/>
              <w:suppressLineNumbers w:val="0"/>
              <w:spacing w:before="0" w:beforeAutospacing="0" w:after="0" w:afterAutospacing="0"/>
              <w:ind w:left="0" w:right="0"/>
              <w:rPr>
                <w:rFonts w:hint="default"/>
                <w:color w:val="0070BE"/>
                <w:szCs w:val="21"/>
                <w:highlight w:val="yellow"/>
              </w:rPr>
            </w:pPr>
            <w:r>
              <w:rPr>
                <w:rFonts w:hint="eastAsia"/>
                <w:color w:val="0070BE"/>
                <w:szCs w:val="21"/>
              </w:rPr>
              <w:t>数据分析报告</w:t>
            </w:r>
          </w:p>
        </w:tc>
      </w:tr>
      <w:tr w14:paraId="5B47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69DC24B">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7D3392CE">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3E93E7B1">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生物、化学、灭菌信息收集和评价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4B2C38B5">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相关测试工程师</w:t>
            </w:r>
          </w:p>
        </w:tc>
        <w:tc>
          <w:tcPr>
            <w:tcW w:w="976" w:type="pct"/>
            <w:tcBorders>
              <w:top w:val="single" w:color="auto" w:sz="4" w:space="0"/>
              <w:left w:val="single" w:color="auto" w:sz="4" w:space="0"/>
              <w:bottom w:val="single" w:color="auto" w:sz="4" w:space="0"/>
              <w:right w:val="single" w:color="auto" w:sz="4" w:space="0"/>
            </w:tcBorders>
            <w:vAlign w:val="center"/>
          </w:tcPr>
          <w:p w14:paraId="7A885590">
            <w:pPr>
              <w:keepNext w:val="0"/>
              <w:keepLines w:val="0"/>
              <w:suppressLineNumbers w:val="0"/>
              <w:spacing w:before="0" w:beforeAutospacing="0" w:after="0" w:afterAutospacing="0"/>
              <w:ind w:left="0" w:right="0"/>
              <w:rPr>
                <w:rFonts w:hint="default"/>
                <w:color w:val="0070BE"/>
                <w:szCs w:val="21"/>
                <w:highlight w:val="yellow"/>
              </w:rPr>
            </w:pPr>
            <w:r>
              <w:rPr>
                <w:rFonts w:hint="eastAsia"/>
                <w:color w:val="0070BE"/>
                <w:szCs w:val="21"/>
              </w:rPr>
              <w:t>数据分析报告</w:t>
            </w:r>
          </w:p>
        </w:tc>
      </w:tr>
      <w:tr w14:paraId="6EF1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5C15C17F">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49AD0E30">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0F06143E">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产品投诉信息收集</w:t>
            </w:r>
          </w:p>
        </w:tc>
        <w:tc>
          <w:tcPr>
            <w:tcW w:w="824" w:type="pct"/>
            <w:tcBorders>
              <w:top w:val="single" w:color="auto" w:sz="4" w:space="0"/>
              <w:left w:val="single" w:color="auto" w:sz="4" w:space="0"/>
              <w:bottom w:val="single" w:color="auto" w:sz="4" w:space="0"/>
              <w:right w:val="single" w:color="auto" w:sz="4" w:space="0"/>
            </w:tcBorders>
            <w:vAlign w:val="center"/>
          </w:tcPr>
          <w:p w14:paraId="774348F7">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客投受理人员</w:t>
            </w:r>
          </w:p>
        </w:tc>
        <w:tc>
          <w:tcPr>
            <w:tcW w:w="976" w:type="pct"/>
            <w:tcBorders>
              <w:top w:val="single" w:color="auto" w:sz="4" w:space="0"/>
              <w:left w:val="single" w:color="auto" w:sz="4" w:space="0"/>
              <w:bottom w:val="single" w:color="auto" w:sz="4" w:space="0"/>
              <w:right w:val="single" w:color="auto" w:sz="4" w:space="0"/>
            </w:tcBorders>
            <w:vAlign w:val="center"/>
          </w:tcPr>
          <w:p w14:paraId="6B531FA4">
            <w:pPr>
              <w:keepNext w:val="0"/>
              <w:keepLines w:val="0"/>
              <w:suppressLineNumbers w:val="0"/>
              <w:spacing w:before="0" w:beforeAutospacing="0" w:after="0" w:afterAutospacing="0"/>
              <w:ind w:left="0" w:right="0"/>
              <w:rPr>
                <w:rFonts w:hint="default"/>
                <w:color w:val="0070BE"/>
                <w:szCs w:val="21"/>
                <w:highlight w:val="yellow"/>
              </w:rPr>
            </w:pPr>
            <w:r>
              <w:rPr>
                <w:rFonts w:hint="eastAsia"/>
                <w:color w:val="0070BE"/>
                <w:szCs w:val="21"/>
              </w:rPr>
              <w:t>数据分析报告</w:t>
            </w:r>
          </w:p>
        </w:tc>
      </w:tr>
      <w:tr w14:paraId="44E2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EC98867">
            <w:pPr>
              <w:keepNext w:val="0"/>
              <w:keepLines w:val="0"/>
              <w:widowControl/>
              <w:suppressLineNumbers w:val="0"/>
              <w:spacing w:before="0" w:beforeAutospacing="0" w:after="0" w:afterAutospacing="0"/>
              <w:ind w:left="0" w:right="0"/>
              <w:rPr>
                <w:rFonts w:hint="default"/>
                <w:color w:val="0070BE"/>
                <w:szCs w:val="21"/>
              </w:rPr>
            </w:pPr>
          </w:p>
        </w:tc>
        <w:tc>
          <w:tcPr>
            <w:tcW w:w="775" w:type="pct"/>
            <w:vMerge w:val="continue"/>
            <w:tcBorders>
              <w:top w:val="single" w:color="auto" w:sz="4" w:space="0"/>
              <w:left w:val="single" w:color="auto" w:sz="4" w:space="0"/>
              <w:bottom w:val="single" w:color="auto" w:sz="4" w:space="0"/>
              <w:right w:val="single" w:color="auto" w:sz="4" w:space="0"/>
            </w:tcBorders>
            <w:vAlign w:val="center"/>
          </w:tcPr>
          <w:p w14:paraId="2482B7DA">
            <w:pPr>
              <w:keepNext w:val="0"/>
              <w:keepLines w:val="0"/>
              <w:widowControl/>
              <w:suppressLineNumbers w:val="0"/>
              <w:spacing w:before="0" w:beforeAutospacing="0" w:after="0" w:afterAutospacing="0"/>
              <w:ind w:left="0" w:right="0"/>
              <w:rPr>
                <w:rFonts w:hint="default" w:ascii="宋体" w:hAnsi="宋体"/>
                <w:color w:val="0070BE"/>
                <w:szCs w:val="24"/>
              </w:rPr>
            </w:pPr>
          </w:p>
        </w:tc>
        <w:tc>
          <w:tcPr>
            <w:tcW w:w="1954" w:type="pct"/>
            <w:tcBorders>
              <w:top w:val="single" w:color="auto" w:sz="4" w:space="0"/>
              <w:left w:val="single" w:color="auto" w:sz="4" w:space="0"/>
              <w:bottom w:val="single" w:color="auto" w:sz="4" w:space="0"/>
              <w:right w:val="single" w:color="auto" w:sz="4" w:space="0"/>
            </w:tcBorders>
            <w:vAlign w:val="center"/>
          </w:tcPr>
          <w:p w14:paraId="45D3F745">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市场反馈信息收集和评价</w:t>
            </w:r>
          </w:p>
        </w:tc>
        <w:tc>
          <w:tcPr>
            <w:tcW w:w="824" w:type="pct"/>
            <w:tcBorders>
              <w:top w:val="single" w:color="auto" w:sz="4" w:space="0"/>
              <w:left w:val="single" w:color="auto" w:sz="4" w:space="0"/>
              <w:bottom w:val="single" w:color="auto" w:sz="4" w:space="0"/>
              <w:right w:val="single" w:color="auto" w:sz="4" w:space="0"/>
            </w:tcBorders>
            <w:vAlign w:val="center"/>
          </w:tcPr>
          <w:p w14:paraId="6FC1DA12">
            <w:pPr>
              <w:keepNext w:val="0"/>
              <w:keepLines w:val="0"/>
              <w:suppressLineNumbers w:val="0"/>
              <w:spacing w:before="0" w:beforeAutospacing="0" w:after="0" w:afterAutospacing="0"/>
              <w:ind w:left="0" w:right="0"/>
              <w:rPr>
                <w:rFonts w:hint="default"/>
                <w:color w:val="0070BE"/>
                <w:szCs w:val="21"/>
                <w:highlight w:val="yellow"/>
              </w:rPr>
            </w:pPr>
            <w:r>
              <w:rPr>
                <w:rFonts w:hint="eastAsia" w:ascii="宋体" w:hAnsi="宋体"/>
                <w:color w:val="0070BE"/>
              </w:rPr>
              <w:t>销售</w:t>
            </w:r>
          </w:p>
        </w:tc>
        <w:tc>
          <w:tcPr>
            <w:tcW w:w="976" w:type="pct"/>
            <w:tcBorders>
              <w:top w:val="single" w:color="auto" w:sz="4" w:space="0"/>
              <w:left w:val="single" w:color="auto" w:sz="4" w:space="0"/>
              <w:bottom w:val="single" w:color="auto" w:sz="4" w:space="0"/>
              <w:right w:val="single" w:color="auto" w:sz="4" w:space="0"/>
            </w:tcBorders>
            <w:vAlign w:val="center"/>
          </w:tcPr>
          <w:p w14:paraId="7AD7D3BB">
            <w:pPr>
              <w:keepNext w:val="0"/>
              <w:keepLines w:val="0"/>
              <w:suppressLineNumbers w:val="0"/>
              <w:spacing w:before="0" w:beforeAutospacing="0" w:after="0" w:afterAutospacing="0"/>
              <w:ind w:left="0" w:right="0"/>
              <w:rPr>
                <w:rFonts w:hint="default"/>
                <w:color w:val="0070BE"/>
                <w:szCs w:val="21"/>
                <w:highlight w:val="yellow"/>
              </w:rPr>
            </w:pPr>
            <w:r>
              <w:rPr>
                <w:rFonts w:hint="eastAsia"/>
                <w:color w:val="0070BE"/>
                <w:szCs w:val="21"/>
              </w:rPr>
              <w:t>数据分析报告</w:t>
            </w:r>
          </w:p>
        </w:tc>
      </w:tr>
      <w:tr w14:paraId="0202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48986F3">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6B0AE527">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年度风险管理</w:t>
            </w:r>
          </w:p>
        </w:tc>
        <w:tc>
          <w:tcPr>
            <w:tcW w:w="1954" w:type="pct"/>
            <w:tcBorders>
              <w:top w:val="single" w:color="auto" w:sz="4" w:space="0"/>
              <w:left w:val="single" w:color="auto" w:sz="4" w:space="0"/>
              <w:bottom w:val="single" w:color="auto" w:sz="4" w:space="0"/>
              <w:right w:val="single" w:color="auto" w:sz="4" w:space="0"/>
            </w:tcBorders>
            <w:vAlign w:val="center"/>
          </w:tcPr>
          <w:p w14:paraId="1C05F0F2">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主导年度风险管理</w:t>
            </w:r>
          </w:p>
        </w:tc>
        <w:tc>
          <w:tcPr>
            <w:tcW w:w="824" w:type="pct"/>
            <w:tcBorders>
              <w:top w:val="single" w:color="auto" w:sz="4" w:space="0"/>
              <w:left w:val="single" w:color="auto" w:sz="4" w:space="0"/>
              <w:bottom w:val="single" w:color="auto" w:sz="4" w:space="0"/>
              <w:right w:val="single" w:color="auto" w:sz="4" w:space="0"/>
            </w:tcBorders>
            <w:vAlign w:val="center"/>
          </w:tcPr>
          <w:p w14:paraId="2AF93D6C">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tcBorders>
              <w:top w:val="single" w:color="auto" w:sz="4" w:space="0"/>
              <w:left w:val="single" w:color="auto" w:sz="4" w:space="0"/>
              <w:bottom w:val="single" w:color="auto" w:sz="4" w:space="0"/>
              <w:right w:val="single" w:color="auto" w:sz="4" w:space="0"/>
            </w:tcBorders>
            <w:vAlign w:val="center"/>
          </w:tcPr>
          <w:p w14:paraId="36B612F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年度风险管理报告</w:t>
            </w:r>
          </w:p>
        </w:tc>
      </w:tr>
      <w:tr w14:paraId="239D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jc w:val="center"/>
        </w:trPr>
        <w:tc>
          <w:tcPr>
            <w:tcW w:w="469" w:type="pct"/>
            <w:vMerge w:val="continue"/>
            <w:tcBorders>
              <w:top w:val="single" w:color="auto" w:sz="4" w:space="0"/>
              <w:left w:val="single" w:color="auto" w:sz="4" w:space="0"/>
              <w:bottom w:val="single" w:color="auto" w:sz="4" w:space="0"/>
              <w:right w:val="single" w:color="auto" w:sz="4" w:space="0"/>
            </w:tcBorders>
            <w:vAlign w:val="center"/>
          </w:tcPr>
          <w:p w14:paraId="44E13C2B">
            <w:pPr>
              <w:keepNext w:val="0"/>
              <w:keepLines w:val="0"/>
              <w:widowControl/>
              <w:suppressLineNumbers w:val="0"/>
              <w:spacing w:before="0" w:beforeAutospacing="0" w:after="0" w:afterAutospacing="0"/>
              <w:ind w:left="0" w:right="0"/>
              <w:rPr>
                <w:rFonts w:hint="default"/>
                <w:color w:val="0070BE"/>
                <w:szCs w:val="21"/>
              </w:rPr>
            </w:pPr>
          </w:p>
        </w:tc>
        <w:tc>
          <w:tcPr>
            <w:tcW w:w="775" w:type="pct"/>
            <w:tcBorders>
              <w:top w:val="single" w:color="auto" w:sz="4" w:space="0"/>
              <w:left w:val="single" w:color="auto" w:sz="4" w:space="0"/>
              <w:bottom w:val="single" w:color="auto" w:sz="4" w:space="0"/>
              <w:right w:val="single" w:color="auto" w:sz="4" w:space="0"/>
            </w:tcBorders>
            <w:vAlign w:val="center"/>
          </w:tcPr>
          <w:p w14:paraId="0FCE09D4">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年度风险管理评审</w:t>
            </w:r>
          </w:p>
        </w:tc>
        <w:tc>
          <w:tcPr>
            <w:tcW w:w="1954" w:type="pct"/>
            <w:tcBorders>
              <w:top w:val="single" w:color="auto" w:sz="4" w:space="0"/>
              <w:left w:val="single" w:color="auto" w:sz="4" w:space="0"/>
              <w:bottom w:val="single" w:color="auto" w:sz="4" w:space="0"/>
              <w:right w:val="single" w:color="auto" w:sz="4" w:space="0"/>
            </w:tcBorders>
            <w:vAlign w:val="center"/>
          </w:tcPr>
          <w:p w14:paraId="6E5BCA14">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评审要点：</w:t>
            </w:r>
          </w:p>
          <w:p w14:paraId="526446B8">
            <w:pPr>
              <w:keepNext w:val="0"/>
              <w:keepLines w:val="0"/>
              <w:suppressLineNumbers w:val="0"/>
              <w:spacing w:before="0" w:beforeAutospacing="0" w:after="0" w:afterAutospacing="0"/>
              <w:ind w:left="0" w:right="0"/>
              <w:rPr>
                <w:rFonts w:hint="default"/>
                <w:color w:val="0070BE"/>
                <w:szCs w:val="21"/>
              </w:rPr>
            </w:pPr>
            <w:r>
              <w:rPr>
                <w:rFonts w:hint="default"/>
                <w:color w:val="0070BE"/>
                <w:szCs w:val="21"/>
              </w:rPr>
              <w:t>1</w:t>
            </w:r>
            <w:r>
              <w:rPr>
                <w:rFonts w:hint="eastAsia"/>
                <w:color w:val="0070BE"/>
                <w:szCs w:val="21"/>
              </w:rPr>
              <w:t>）对风险管理计划和方法的评审要点包括：</w:t>
            </w:r>
          </w:p>
          <w:p w14:paraId="6BF9D895">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风险管理计划已被适当更新和实施；</w:t>
            </w:r>
          </w:p>
          <w:p w14:paraId="6AF6C0DD">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可获得充分的资源用于风险管理；</w:t>
            </w:r>
          </w:p>
          <w:p w14:paraId="1751DE7E">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可获得有资格的人员进行风险管理；</w:t>
            </w:r>
          </w:p>
          <w:p w14:paraId="3AD13328">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风险可接受性的评价准则是适当的；</w:t>
            </w:r>
          </w:p>
          <w:p w14:paraId="06A465E5">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风险管理过程是有效的；</w:t>
            </w:r>
          </w:p>
          <w:p w14:paraId="6BE5A5EE">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获得相关生产和生产后信息的方法是适当的。</w:t>
            </w:r>
            <w:r>
              <w:rPr>
                <w:rFonts w:hint="default"/>
                <w:color w:val="0070BE"/>
                <w:szCs w:val="21"/>
              </w:rPr>
              <w:t xml:space="preserve"> </w:t>
            </w:r>
          </w:p>
          <w:p w14:paraId="641B8DF3">
            <w:pPr>
              <w:keepNext w:val="0"/>
              <w:keepLines w:val="0"/>
              <w:numPr>
                <w:ilvl w:val="0"/>
                <w:numId w:val="8"/>
              </w:numPr>
              <w:suppressLineNumbers w:val="0"/>
              <w:spacing w:before="0" w:beforeAutospacing="0" w:after="0" w:afterAutospacing="0"/>
              <w:ind w:right="0"/>
              <w:rPr>
                <w:rFonts w:hint="default"/>
                <w:color w:val="0070BE"/>
                <w:szCs w:val="21"/>
              </w:rPr>
            </w:pPr>
            <w:r>
              <w:rPr>
                <w:rFonts w:hint="eastAsia"/>
                <w:color w:val="0070BE"/>
                <w:szCs w:val="21"/>
              </w:rPr>
              <w:t>对产品风险相关的生产和生产后信息的分析和风险管理文档更新的评审要点包括：</w:t>
            </w:r>
            <w:r>
              <w:rPr>
                <w:rFonts w:hint="default"/>
                <w:color w:val="0070BE"/>
                <w:szCs w:val="21"/>
              </w:rPr>
              <w:t xml:space="preserve"> </w:t>
            </w:r>
          </w:p>
          <w:p w14:paraId="10219219">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是否有先前没有认识的危害或危害处境出现？</w:t>
            </w:r>
          </w:p>
          <w:p w14:paraId="72EE955B">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是否有一个或多个风险估计不再是可以接受的？</w:t>
            </w:r>
          </w:p>
          <w:p w14:paraId="3E891CCB">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如果需要实施新的风险控制措施时，应分析：</w:t>
            </w:r>
          </w:p>
          <w:p w14:paraId="21795B9A">
            <w:pPr>
              <w:pStyle w:val="29"/>
              <w:keepNext w:val="0"/>
              <w:keepLines w:val="0"/>
              <w:numPr>
                <w:ilvl w:val="0"/>
                <w:numId w:val="9"/>
              </w:numPr>
              <w:suppressLineNumbers w:val="0"/>
              <w:spacing w:before="0" w:beforeAutospacing="0" w:after="0" w:afterAutospacing="0"/>
              <w:ind w:left="0" w:leftChars="0" w:right="0" w:rightChars="0"/>
              <w:rPr>
                <w:rFonts w:hint="eastAsia"/>
                <w:color w:val="0070BE"/>
                <w:szCs w:val="21"/>
              </w:rPr>
            </w:pPr>
            <w:r>
              <w:rPr>
                <w:rFonts w:hint="eastAsia"/>
                <w:color w:val="0070BE"/>
                <w:szCs w:val="21"/>
              </w:rPr>
              <w:t>风险控制措施的实施是否引入新的危害或危害处境？</w:t>
            </w:r>
          </w:p>
          <w:p w14:paraId="3E31E6C1">
            <w:pPr>
              <w:pStyle w:val="29"/>
              <w:keepNext w:val="0"/>
              <w:keepLines w:val="0"/>
              <w:numPr>
                <w:ilvl w:val="0"/>
                <w:numId w:val="9"/>
              </w:numPr>
              <w:suppressLineNumbers w:val="0"/>
              <w:spacing w:before="0" w:beforeAutospacing="0" w:after="0" w:afterAutospacing="0"/>
              <w:ind w:left="0" w:leftChars="0" w:right="0" w:rightChars="0" w:firstLine="420" w:firstLineChars="200"/>
              <w:rPr>
                <w:rFonts w:hint="eastAsia"/>
                <w:color w:val="0070BE"/>
                <w:szCs w:val="21"/>
              </w:rPr>
            </w:pPr>
            <w:r>
              <w:rPr>
                <w:rFonts w:hint="eastAsia"/>
                <w:color w:val="0070BE"/>
                <w:szCs w:val="21"/>
              </w:rPr>
              <w:t>是否由于风险控制措施的引入影响了之前的风险估计？</w:t>
            </w:r>
          </w:p>
          <w:p w14:paraId="45E4C0D0">
            <w:pPr>
              <w:pStyle w:val="29"/>
              <w:keepNext w:val="0"/>
              <w:keepLines w:val="0"/>
              <w:numPr>
                <w:ilvl w:val="0"/>
                <w:numId w:val="9"/>
              </w:numPr>
              <w:suppressLineNumbers w:val="0"/>
              <w:spacing w:before="0" w:beforeAutospacing="0" w:after="0" w:afterAutospacing="0"/>
              <w:ind w:left="0" w:leftChars="0" w:right="0" w:rightChars="0" w:firstLine="420" w:firstLineChars="200"/>
              <w:rPr>
                <w:rFonts w:hint="default"/>
                <w:color w:val="0070BE"/>
                <w:szCs w:val="21"/>
              </w:rPr>
            </w:pPr>
            <w:r>
              <w:rPr>
                <w:rFonts w:hint="eastAsia"/>
                <w:color w:val="0070BE"/>
                <w:szCs w:val="21"/>
              </w:rPr>
              <w:t>风险控制措施已得到适当的实施和验证，风险控制措施的有效性已得验证。</w:t>
            </w:r>
          </w:p>
          <w:p w14:paraId="73C5D608">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剩余风险已得到适当的评价。</w:t>
            </w:r>
          </w:p>
          <w:p w14:paraId="07B0F562">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需要时，已进行适当的风险</w:t>
            </w:r>
            <w:r>
              <w:rPr>
                <w:rFonts w:hint="default"/>
                <w:color w:val="0070BE"/>
                <w:szCs w:val="21"/>
              </w:rPr>
              <w:t>/</w:t>
            </w:r>
            <w:r>
              <w:rPr>
                <w:rFonts w:hint="eastAsia"/>
                <w:color w:val="0070BE"/>
                <w:szCs w:val="21"/>
              </w:rPr>
              <w:t>受益分析；</w:t>
            </w:r>
          </w:p>
          <w:p w14:paraId="2AC26979">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已进行完整的风险控制；</w:t>
            </w:r>
          </w:p>
          <w:p w14:paraId="7F551B9F">
            <w:pPr>
              <w:pStyle w:val="29"/>
              <w:keepNext w:val="0"/>
              <w:keepLines w:val="0"/>
              <w:numPr>
                <w:ilvl w:val="0"/>
                <w:numId w:val="7"/>
              </w:numPr>
              <w:suppressLineNumbers w:val="0"/>
              <w:spacing w:before="0" w:beforeAutospacing="0" w:after="0" w:afterAutospacing="0"/>
              <w:ind w:right="0" w:firstLineChars="0"/>
              <w:rPr>
                <w:rFonts w:hint="default"/>
                <w:color w:val="0070BE"/>
                <w:szCs w:val="21"/>
              </w:rPr>
            </w:pPr>
            <w:r>
              <w:rPr>
                <w:rFonts w:hint="eastAsia"/>
                <w:color w:val="0070BE"/>
                <w:szCs w:val="21"/>
              </w:rPr>
              <w:t>综合剩余风险是可接受的。</w:t>
            </w:r>
          </w:p>
        </w:tc>
        <w:tc>
          <w:tcPr>
            <w:tcW w:w="824" w:type="pct"/>
            <w:tcBorders>
              <w:top w:val="single" w:color="auto" w:sz="4" w:space="0"/>
              <w:left w:val="single" w:color="auto" w:sz="4" w:space="0"/>
              <w:bottom w:val="single" w:color="auto" w:sz="4" w:space="0"/>
              <w:right w:val="single" w:color="auto" w:sz="4" w:space="0"/>
            </w:tcBorders>
            <w:vAlign w:val="center"/>
          </w:tcPr>
          <w:p w14:paraId="7F11ACB4">
            <w:pPr>
              <w:keepNext w:val="0"/>
              <w:keepLines w:val="0"/>
              <w:suppressLineNumbers w:val="0"/>
              <w:spacing w:before="0" w:beforeAutospacing="0" w:after="0" w:afterAutospacing="0"/>
              <w:ind w:left="0" w:right="0"/>
              <w:rPr>
                <w:rFonts w:hint="eastAsia" w:eastAsia="宋体"/>
                <w:color w:val="0070BE"/>
                <w:szCs w:val="21"/>
                <w:lang w:eastAsia="zh-CN"/>
              </w:rPr>
            </w:pPr>
            <w:r>
              <w:rPr>
                <w:rFonts w:hint="eastAsia"/>
                <w:color w:val="0070BE"/>
                <w:szCs w:val="21"/>
                <w:lang w:eastAsia="zh-CN"/>
              </w:rPr>
              <w:t>风险经理主导</w:t>
            </w:r>
          </w:p>
        </w:tc>
        <w:tc>
          <w:tcPr>
            <w:tcW w:w="976" w:type="pct"/>
            <w:tcBorders>
              <w:top w:val="single" w:color="auto" w:sz="4" w:space="0"/>
              <w:left w:val="single" w:color="auto" w:sz="4" w:space="0"/>
              <w:bottom w:val="single" w:color="auto" w:sz="4" w:space="0"/>
              <w:right w:val="single" w:color="auto" w:sz="4" w:space="0"/>
            </w:tcBorders>
            <w:vAlign w:val="center"/>
          </w:tcPr>
          <w:p w14:paraId="641B5EA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年度风险管理评审报告</w:t>
            </w:r>
          </w:p>
          <w:p w14:paraId="090B818B">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风险管理计划（如适用）</w:t>
            </w:r>
          </w:p>
          <w:p w14:paraId="1975668C">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rPr>
              <w:t>危害分析报告（如适用）</w:t>
            </w:r>
          </w:p>
          <w:p w14:paraId="47EBD36A">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val="en-US" w:eastAsia="zh-CN"/>
              </w:rPr>
              <w:t>PHA</w:t>
            </w:r>
            <w:r>
              <w:rPr>
                <w:rFonts w:hint="eastAsia"/>
                <w:color w:val="0070BE"/>
                <w:szCs w:val="21"/>
              </w:rPr>
              <w:t>（如适用）</w:t>
            </w:r>
          </w:p>
          <w:p w14:paraId="3D1A5915">
            <w:pPr>
              <w:keepNext w:val="0"/>
              <w:keepLines w:val="0"/>
              <w:suppressLineNumbers w:val="0"/>
              <w:spacing w:before="0" w:beforeAutospacing="0" w:after="0" w:afterAutospacing="0"/>
              <w:ind w:left="0" w:right="0"/>
              <w:rPr>
                <w:rFonts w:hint="default"/>
                <w:color w:val="0070BE"/>
                <w:szCs w:val="21"/>
              </w:rPr>
            </w:pPr>
            <w:r>
              <w:rPr>
                <w:rFonts w:hint="eastAsia"/>
                <w:color w:val="0070BE"/>
                <w:szCs w:val="21"/>
                <w:lang w:val="en-US" w:eastAsia="zh-CN"/>
              </w:rPr>
              <w:t>PFMEA</w:t>
            </w:r>
            <w:r>
              <w:rPr>
                <w:rFonts w:hint="eastAsia"/>
                <w:color w:val="0070BE"/>
                <w:szCs w:val="21"/>
              </w:rPr>
              <w:t>（如适用）</w:t>
            </w:r>
          </w:p>
          <w:p w14:paraId="36D850B9">
            <w:pPr>
              <w:keepNext w:val="0"/>
              <w:keepLines w:val="0"/>
              <w:suppressLineNumbers w:val="0"/>
              <w:spacing w:before="0" w:beforeAutospacing="0" w:after="0" w:afterAutospacing="0"/>
              <w:ind w:left="0" w:right="0"/>
              <w:rPr>
                <w:rFonts w:hint="eastAsia"/>
                <w:color w:val="0070BE"/>
                <w:szCs w:val="21"/>
              </w:rPr>
            </w:pPr>
            <w:r>
              <w:rPr>
                <w:rFonts w:hint="eastAsia"/>
                <w:color w:val="0070BE"/>
                <w:szCs w:val="21"/>
                <w:lang w:val="en-US" w:eastAsia="zh-CN"/>
              </w:rPr>
              <w:t>网络安全分线分析报告</w:t>
            </w:r>
            <w:r>
              <w:rPr>
                <w:rFonts w:hint="eastAsia"/>
                <w:color w:val="0070BE"/>
                <w:szCs w:val="21"/>
              </w:rPr>
              <w:t>（如适用）</w:t>
            </w:r>
          </w:p>
          <w:p w14:paraId="7B83FDDD">
            <w:pPr>
              <w:keepNext w:val="0"/>
              <w:keepLines w:val="0"/>
              <w:suppressLineNumbers w:val="0"/>
              <w:spacing w:before="0" w:beforeAutospacing="0" w:after="0" w:afterAutospacing="0"/>
              <w:ind w:left="0" w:right="0"/>
              <w:rPr>
                <w:rFonts w:hint="eastAsia"/>
                <w:color w:val="0070BE"/>
                <w:szCs w:val="21"/>
              </w:rPr>
            </w:pPr>
            <w:r>
              <w:rPr>
                <w:rFonts w:hint="eastAsia"/>
                <w:color w:val="0070BE"/>
                <w:szCs w:val="21"/>
                <w:lang w:val="en-US" w:eastAsia="zh-CN"/>
              </w:rPr>
              <w:t>可用性风险分析报告</w:t>
            </w:r>
            <w:r>
              <w:rPr>
                <w:rFonts w:hint="eastAsia"/>
                <w:color w:val="0070BE"/>
                <w:szCs w:val="21"/>
              </w:rPr>
              <w:t>（如适用）</w:t>
            </w:r>
          </w:p>
        </w:tc>
      </w:tr>
    </w:tbl>
    <w:p w14:paraId="075D764E">
      <w:pPr>
        <w:spacing w:line="440" w:lineRule="exact"/>
        <w:ind w:firstLine="420" w:firstLineChars="200"/>
        <w:rPr>
          <w:rFonts w:hint="eastAsia" w:ascii="Times New Roman" w:hAnsi="Times New Roman" w:cs="Times New Roman"/>
          <w:lang w:eastAsia="zh-CN"/>
        </w:rPr>
      </w:pPr>
    </w:p>
    <w:p w14:paraId="377AA9F2">
      <w:pPr>
        <w:pStyle w:val="2"/>
        <w:rPr>
          <w:rFonts w:hint="eastAsia" w:ascii="Times New Roman" w:hAnsi="Times New Roman" w:cs="Times New Roman"/>
          <w:lang w:eastAsia="zh-CN"/>
        </w:rPr>
      </w:pPr>
      <w:bookmarkStart w:id="67" w:name="_Toc28237"/>
      <w:r>
        <w:rPr>
          <w:rFonts w:hint="eastAsia" w:ascii="Times New Roman" w:hAnsi="Times New Roman" w:cs="Times New Roman"/>
          <w:lang w:eastAsia="zh-CN"/>
        </w:rPr>
        <w:t>风险管理的可追溯性</w:t>
      </w:r>
      <w:bookmarkEnd w:id="67"/>
    </w:p>
    <w:p w14:paraId="0113CD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风险控制措施是产品设计开发的风险需求，XX产品通过对已识别的风险需求进行编号，并在设计开发的输入中实现这些需求，通过建立风险控制措施的编号、设计开发输入项的编号和验证编号的对应关系实现风险需求的追溯性，以证明风险控制措施得以实施及其有效性的验证。</w:t>
      </w:r>
    </w:p>
    <w:p w14:paraId="00B7E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olor w:val="0070C0"/>
          <w:sz w:val="24"/>
          <w:szCs w:val="24"/>
        </w:rPr>
      </w:pPr>
    </w:p>
    <w:p w14:paraId="3AE37D9C">
      <w:pPr>
        <w:pStyle w:val="2"/>
        <w:rPr>
          <w:rFonts w:hint="eastAsia" w:ascii="Times New Roman" w:hAnsi="Times New Roman" w:cs="Times New Roman"/>
          <w:lang w:eastAsia="zh-CN"/>
        </w:rPr>
      </w:pPr>
      <w:bookmarkStart w:id="68" w:name="_Toc487994536"/>
      <w:bookmarkStart w:id="69" w:name="_Toc15570"/>
      <w:bookmarkStart w:id="70" w:name="_Toc16932"/>
      <w:r>
        <w:rPr>
          <w:rFonts w:hint="eastAsia" w:ascii="Times New Roman" w:hAnsi="Times New Roman" w:cs="Times New Roman"/>
          <w:lang w:eastAsia="zh-CN"/>
        </w:rPr>
        <w:t>风险控制措施实施和有效性的确认</w:t>
      </w:r>
      <w:bookmarkEnd w:id="68"/>
      <w:bookmarkEnd w:id="69"/>
      <w:bookmarkEnd w:id="70"/>
    </w:p>
    <w:p w14:paraId="72AF4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风险分析在产品立项之后就开始实施，具体措施都分解到相应的软件需求规范中，通过设计开发流程进行需求分解和传递, 并实施测试验证，整个过程中风险文件进行不断的实时更新。</w:t>
      </w:r>
    </w:p>
    <w:p w14:paraId="688F20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风险管理报告汇总所有风险控制措施和实施的情况，并保证风险控制措施的完整性。</w:t>
      </w:r>
      <w:bookmarkStart w:id="71" w:name="_Toc487994537"/>
      <w:bookmarkStart w:id="72" w:name="_Toc18215"/>
    </w:p>
    <w:p w14:paraId="6061D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p>
    <w:p w14:paraId="737E04CD">
      <w:pPr>
        <w:pStyle w:val="2"/>
        <w:rPr>
          <w:rFonts w:hint="eastAsia" w:ascii="Times New Roman" w:hAnsi="Times New Roman" w:cs="Times New Roman"/>
          <w:lang w:eastAsia="zh-CN"/>
        </w:rPr>
      </w:pPr>
      <w:bookmarkStart w:id="73" w:name="_Toc12808"/>
      <w:r>
        <w:rPr>
          <w:rFonts w:hint="eastAsia" w:ascii="Times New Roman" w:hAnsi="Times New Roman" w:cs="Times New Roman"/>
          <w:lang w:eastAsia="zh-CN"/>
        </w:rPr>
        <w:t>生产和生产后持续进行风险管理的方法</w:t>
      </w:r>
      <w:bookmarkEnd w:id="71"/>
      <w:bookmarkEnd w:id="72"/>
      <w:bookmarkEnd w:id="73"/>
    </w:p>
    <w:p w14:paraId="6278B387">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医疗器械投入市场后，与安全有关的信息应得到系统性的评估。风险管理小组成员应从以下几个方面收集信息：</w:t>
      </w:r>
    </w:p>
    <w:p w14:paraId="4F59D1F2">
      <w:pPr>
        <w:pStyle w:val="29"/>
        <w:widowControl/>
        <w:numPr>
          <w:ilvl w:val="0"/>
          <w:numId w:val="10"/>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法规（如标准）的变化</w:t>
      </w:r>
    </w:p>
    <w:p w14:paraId="3D96986F">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不良事件（内部、外部）</w:t>
      </w:r>
    </w:p>
    <w:p w14:paraId="74DC7E19">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通告/召回</w:t>
      </w:r>
    </w:p>
    <w:p w14:paraId="22197C0B">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监管部门监督抽查</w:t>
      </w:r>
    </w:p>
    <w:p w14:paraId="0CCDB6B3">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顾客投诉信息</w:t>
      </w:r>
    </w:p>
    <w:p w14:paraId="1575F29C">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产品的变更</w:t>
      </w:r>
    </w:p>
    <w:p w14:paraId="2F81915E">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制造过程的问题</w:t>
      </w:r>
    </w:p>
    <w:p w14:paraId="11C82145">
      <w:pPr>
        <w:pStyle w:val="29"/>
        <w:widowControl/>
        <w:numPr>
          <w:ilvl w:val="0"/>
          <w:numId w:val="10"/>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服务和维护记录</w:t>
      </w:r>
    </w:p>
    <w:p w14:paraId="79AFE76C">
      <w:pPr>
        <w:spacing w:line="440" w:lineRule="exact"/>
        <w:rPr>
          <w:rFonts w:hint="default" w:ascii="宋体" w:hAnsi="宋体" w:eastAsia="宋体"/>
          <w:color w:val="0070C0"/>
          <w:sz w:val="24"/>
          <w:szCs w:val="24"/>
          <w:lang w:val="en-US" w:eastAsia="zh-CN"/>
        </w:rPr>
      </w:pPr>
      <w:r>
        <w:rPr>
          <w:rFonts w:hint="eastAsia" w:ascii="宋体" w:hAnsi="宋体" w:eastAsia="宋体"/>
          <w:color w:val="0070C0"/>
          <w:sz w:val="24"/>
          <w:szCs w:val="24"/>
          <w:lang w:val="en-US" w:eastAsia="zh-CN"/>
        </w:rPr>
        <w:t xml:space="preserve">    9、其他</w:t>
      </w:r>
    </w:p>
    <w:p w14:paraId="42BE7477">
      <w:pPr>
        <w:adjustRightInd w:val="0"/>
        <w:snapToGrid w:val="0"/>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相关人员在收到信息后</w:t>
      </w:r>
      <w:r>
        <w:rPr>
          <w:rFonts w:ascii="宋体" w:hAnsi="宋体" w:eastAsia="宋体"/>
          <w:color w:val="0070C0"/>
          <w:sz w:val="24"/>
          <w:szCs w:val="24"/>
        </w:rPr>
        <w:t xml:space="preserve"> </w:t>
      </w:r>
      <w:r>
        <w:rPr>
          <w:rFonts w:hint="eastAsia" w:ascii="宋体" w:hAnsi="宋体" w:eastAsia="宋体"/>
          <w:color w:val="0070C0"/>
          <w:sz w:val="24"/>
          <w:szCs w:val="24"/>
        </w:rPr>
        <w:t>，应及时与风险管理负责人沟通，风险管理负责人将时具体情况召集风险管理小组，执行相关的风险管理活动。</w:t>
      </w:r>
    </w:p>
    <w:p w14:paraId="2A2654A6">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对分析结果可能涉及安全性的信息，应评价是否存在下列情况：</w:t>
      </w:r>
    </w:p>
    <w:p w14:paraId="49276C9E">
      <w:pPr>
        <w:pStyle w:val="29"/>
        <w:widowControl/>
        <w:numPr>
          <w:ilvl w:val="0"/>
          <w:numId w:val="11"/>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是否有先前没有认识的危害或危害处境出现</w:t>
      </w:r>
      <w:r>
        <w:rPr>
          <w:rFonts w:hint="eastAsia" w:ascii="宋体" w:hAnsi="宋体" w:eastAsia="宋体"/>
          <w:color w:val="0070C0"/>
          <w:sz w:val="24"/>
          <w:szCs w:val="24"/>
        </w:rPr>
        <w:t>。</w:t>
      </w:r>
    </w:p>
    <w:p w14:paraId="34909638">
      <w:pPr>
        <w:pStyle w:val="29"/>
        <w:widowControl/>
        <w:numPr>
          <w:ilvl w:val="0"/>
          <w:numId w:val="11"/>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是否由危害处境产生的一个或多个估计的风险不再是可接受的。</w:t>
      </w:r>
    </w:p>
    <w:p w14:paraId="64855556">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如果上述任何情况发生，一方面，应对先前实施的风险管理活动的影响进行评价，作为一项输入反馈到风险管理过程中，并且应对医疗器械的风险管理文档进行评审。如果评审的结果可能有一个或多个剩余风险或其可接受性已经改变，应对先前实施的风险控制措施的影响进行评价，必要时进一步采取措施以使风险可接受。</w:t>
      </w:r>
    </w:p>
    <w:p w14:paraId="23CEBF04">
      <w:pPr>
        <w:spacing w:line="440" w:lineRule="exact"/>
        <w:ind w:firstLine="480" w:firstLineChars="200"/>
        <w:rPr>
          <w:rFonts w:hint="eastAsia" w:ascii="宋体" w:hAnsi="宋体" w:eastAsia="宋体"/>
          <w:i/>
          <w:iCs/>
          <w:color w:val="0070C0"/>
          <w:sz w:val="24"/>
          <w:szCs w:val="24"/>
        </w:rPr>
      </w:pPr>
      <w:r>
        <w:rPr>
          <w:rFonts w:hint="eastAsia" w:ascii="宋体" w:hAnsi="宋体" w:eastAsia="宋体"/>
          <w:color w:val="0070C0"/>
          <w:sz w:val="24"/>
          <w:szCs w:val="24"/>
        </w:rPr>
        <w:t>应根据前面分析和评价结果，寻找产品改进方向，重复和完善适当的风险管理过程，执行《</w:t>
      </w:r>
      <w:r>
        <w:rPr>
          <w:rFonts w:hint="eastAsia" w:ascii="宋体" w:hAnsi="宋体" w:eastAsia="宋体"/>
          <w:color w:val="0070C0"/>
          <w:sz w:val="24"/>
          <w:szCs w:val="32"/>
        </w:rPr>
        <w:t>X</w:t>
      </w:r>
      <w:r>
        <w:rPr>
          <w:rFonts w:ascii="宋体" w:hAnsi="宋体" w:eastAsia="宋体"/>
          <w:color w:val="0070C0"/>
          <w:sz w:val="24"/>
          <w:szCs w:val="32"/>
        </w:rPr>
        <w:t>XXX</w:t>
      </w:r>
      <w:r>
        <w:rPr>
          <w:rFonts w:hint="eastAsia" w:ascii="宋体" w:hAnsi="宋体" w:eastAsia="宋体"/>
          <w:color w:val="0070C0"/>
          <w:sz w:val="24"/>
          <w:szCs w:val="24"/>
        </w:rPr>
        <w:t>风险管理控制程序》，修改相应的风险管理文档和风险管理报告</w:t>
      </w:r>
      <w:r>
        <w:rPr>
          <w:rFonts w:hint="eastAsia" w:ascii="宋体" w:hAnsi="宋体" w:eastAsia="宋体"/>
          <w:i/>
          <w:iCs/>
          <w:color w:val="0070C0"/>
          <w:sz w:val="24"/>
          <w:szCs w:val="24"/>
        </w:rPr>
        <w:t>。</w:t>
      </w:r>
    </w:p>
    <w:p w14:paraId="2389B835">
      <w:pPr>
        <w:spacing w:line="440" w:lineRule="exact"/>
        <w:ind w:firstLine="420" w:firstLineChars="200"/>
        <w:rPr>
          <w:rFonts w:hint="eastAsia" w:ascii="宋体" w:hAnsi="宋体" w:eastAsia="宋体"/>
          <w:i/>
          <w:iCs/>
          <w:color w:val="0070C0"/>
          <w:szCs w:val="21"/>
        </w:rPr>
      </w:pPr>
    </w:p>
    <w:p w14:paraId="7B4BFF58">
      <w:pPr>
        <w:pStyle w:val="2"/>
        <w:rPr>
          <w:rFonts w:hint="eastAsia" w:ascii="Times New Roman" w:hAnsi="Times New Roman" w:cs="Times New Roman"/>
          <w:lang w:eastAsia="zh-CN"/>
        </w:rPr>
      </w:pPr>
      <w:bookmarkStart w:id="74" w:name="_Toc1129"/>
      <w:bookmarkStart w:id="75" w:name="_Toc487994538"/>
      <w:bookmarkStart w:id="76" w:name="_Toc18448"/>
      <w:r>
        <w:rPr>
          <w:rFonts w:hint="eastAsia" w:ascii="Times New Roman" w:hAnsi="Times New Roman" w:cs="Times New Roman"/>
          <w:lang w:eastAsia="zh-CN"/>
        </w:rPr>
        <w:t>风险管理报告</w:t>
      </w:r>
      <w:bookmarkEnd w:id="74"/>
      <w:bookmarkEnd w:id="75"/>
      <w:bookmarkEnd w:id="76"/>
    </w:p>
    <w:p w14:paraId="064009C5">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最迟在产品放行前，风险负责人必须完成风险管理报告。</w:t>
      </w:r>
    </w:p>
    <w:p w14:paraId="560EDE93">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应在风险管理报告中包含：</w:t>
      </w:r>
    </w:p>
    <w:p w14:paraId="53275AC1">
      <w:pPr>
        <w:pStyle w:val="29"/>
        <w:widowControl/>
        <w:numPr>
          <w:ilvl w:val="0"/>
          <w:numId w:val="12"/>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风险降低措施的可追溯性</w:t>
      </w:r>
    </w:p>
    <w:p w14:paraId="04222043">
      <w:pPr>
        <w:pStyle w:val="29"/>
        <w:widowControl/>
        <w:numPr>
          <w:ilvl w:val="0"/>
          <w:numId w:val="12"/>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对每个危害的</w:t>
      </w:r>
      <w:r>
        <w:rPr>
          <w:rFonts w:hint="eastAsia" w:ascii="宋体" w:hAnsi="宋体" w:eastAsia="宋体"/>
          <w:color w:val="0070C0"/>
          <w:sz w:val="24"/>
          <w:szCs w:val="24"/>
        </w:rPr>
        <w:t>风险评审</w:t>
      </w:r>
    </w:p>
    <w:p w14:paraId="065AA361">
      <w:pPr>
        <w:pStyle w:val="29"/>
        <w:widowControl/>
        <w:numPr>
          <w:ilvl w:val="0"/>
          <w:numId w:val="12"/>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所有</w:t>
      </w:r>
      <w:r>
        <w:rPr>
          <w:rFonts w:hint="eastAsia" w:ascii="宋体" w:hAnsi="宋体" w:eastAsia="宋体"/>
          <w:color w:val="0070C0"/>
          <w:sz w:val="24"/>
          <w:szCs w:val="24"/>
        </w:rPr>
        <w:t>风险相关评审报告的总结</w:t>
      </w:r>
    </w:p>
    <w:p w14:paraId="4464449F">
      <w:pPr>
        <w:pStyle w:val="29"/>
        <w:widowControl/>
        <w:numPr>
          <w:ilvl w:val="0"/>
          <w:numId w:val="12"/>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所有</w:t>
      </w:r>
      <w:r>
        <w:rPr>
          <w:rFonts w:hint="eastAsia" w:ascii="宋体" w:hAnsi="宋体" w:eastAsia="宋体"/>
          <w:color w:val="0070C0"/>
          <w:sz w:val="24"/>
          <w:szCs w:val="24"/>
        </w:rPr>
        <w:t>风险相关测试结果的评审</w:t>
      </w:r>
    </w:p>
    <w:p w14:paraId="225F83D9">
      <w:pPr>
        <w:pStyle w:val="29"/>
        <w:widowControl/>
        <w:numPr>
          <w:ilvl w:val="0"/>
          <w:numId w:val="12"/>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所有剩余风险的评估</w:t>
      </w:r>
    </w:p>
    <w:p w14:paraId="5DDE4420">
      <w:pPr>
        <w:pStyle w:val="29"/>
        <w:widowControl/>
        <w:numPr>
          <w:ilvl w:val="0"/>
          <w:numId w:val="0"/>
        </w:numPr>
        <w:spacing w:line="440" w:lineRule="exact"/>
        <w:ind w:left="420" w:leftChars="0"/>
        <w:jc w:val="left"/>
        <w:rPr>
          <w:rFonts w:ascii="宋体" w:hAnsi="宋体" w:eastAsia="宋体"/>
          <w:color w:val="0070C0"/>
          <w:szCs w:val="21"/>
        </w:rPr>
      </w:pPr>
    </w:p>
    <w:p w14:paraId="3907E1B7">
      <w:pPr>
        <w:pStyle w:val="2"/>
        <w:rPr>
          <w:rFonts w:hint="eastAsia" w:ascii="Times New Roman" w:hAnsi="Times New Roman" w:cs="Times New Roman"/>
          <w:lang w:eastAsia="zh-CN"/>
        </w:rPr>
      </w:pPr>
      <w:bookmarkStart w:id="77" w:name="_Toc487994539"/>
      <w:bookmarkStart w:id="78" w:name="_Toc4945"/>
      <w:bookmarkStart w:id="79" w:name="_Toc7437"/>
      <w:r>
        <w:rPr>
          <w:rFonts w:hint="eastAsia" w:ascii="Times New Roman" w:hAnsi="Times New Roman" w:cs="Times New Roman"/>
          <w:lang w:eastAsia="zh-CN"/>
        </w:rPr>
        <w:t>未决事项</w:t>
      </w:r>
      <w:bookmarkEnd w:id="77"/>
      <w:bookmarkEnd w:id="78"/>
      <w:bookmarkEnd w:id="79"/>
    </w:p>
    <w:p w14:paraId="4DC78E54">
      <w:pPr>
        <w:spacing w:line="440" w:lineRule="exact"/>
        <w:ind w:firstLine="420" w:firstLineChars="200"/>
        <w:rPr>
          <w:rFonts w:hint="eastAsia"/>
          <w:sz w:val="24"/>
          <w:szCs w:val="24"/>
        </w:rPr>
      </w:pPr>
      <w:r>
        <w:rPr>
          <w:rFonts w:hint="eastAsia" w:ascii="宋体" w:hAnsi="宋体" w:eastAsia="宋体"/>
          <w:color w:val="0070C0"/>
          <w:szCs w:val="21"/>
        </w:rPr>
        <w:t>N/A</w:t>
      </w:r>
    </w:p>
    <w:p w14:paraId="0DBEBFDE">
      <w:pPr>
        <w:rPr>
          <w:rFonts w:hint="eastAsia"/>
          <w:color w:val="0070C0"/>
        </w:rPr>
      </w:pPr>
    </w:p>
    <w:sectPr>
      <w:headerReference r:id="rId6" w:type="default"/>
      <w:footerReference r:id="rId7" w:type="default"/>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Regular">
    <w:altName w:val="Arial"/>
    <w:panose1 w:val="00000000000000000000"/>
    <w:charset w:val="00"/>
    <w:family w:val="auto"/>
    <w:pitch w:val="default"/>
    <w:sig w:usb0="00000000" w:usb1="00000000" w:usb2="00000001" w:usb3="00000000" w:csb0="400001BF" w:csb1="DFF70000"/>
  </w:font>
  <w:font w:name="Wingdings 2">
    <w:panose1 w:val="05020102010507070707"/>
    <w:charset w:val="00"/>
    <w:family w:val="auto"/>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729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520C238E">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F3C1D6F">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8C63369">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BDD9EE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2CF4F496">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49B4157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27BBE6F0">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风险管理计划</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08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3414BA8F">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C8EA641">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风险管理计划</w:t>
          </w:r>
        </w:p>
      </w:tc>
      <w:tc>
        <w:tcPr>
          <w:tcW w:w="1417" w:type="dxa"/>
          <w:vAlign w:val="center"/>
        </w:tcPr>
        <w:p w14:paraId="41B11B8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D4E0FF7">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1E7D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F6ABD4C">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45190481">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607F6F65">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6153A46">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657F26FA">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D2506"/>
    <w:multiLevelType w:val="singleLevel"/>
    <w:tmpl w:val="D17D2506"/>
    <w:lvl w:ilvl="0" w:tentative="0">
      <w:start w:val="1"/>
      <w:numFmt w:val="decimal"/>
      <w:suff w:val="nothing"/>
      <w:lvlText w:val="%1、"/>
      <w:lvlJc w:val="left"/>
    </w:lvl>
  </w:abstractNum>
  <w:abstractNum w:abstractNumId="1">
    <w:nsid w:val="ED7F0A40"/>
    <w:multiLevelType w:val="multilevel"/>
    <w:tmpl w:val="ED7F0A40"/>
    <w:lvl w:ilvl="0" w:tentative="0">
      <w:start w:val="1"/>
      <w:numFmt w:val="decimal"/>
      <w:lvlText w:val="图%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D1A5457"/>
    <w:multiLevelType w:val="multilevel"/>
    <w:tmpl w:val="0D1A54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5CD14D2"/>
    <w:multiLevelType w:val="multilevel"/>
    <w:tmpl w:val="15CD14D2"/>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1AC5277D"/>
    <w:multiLevelType w:val="multilevel"/>
    <w:tmpl w:val="1AC5277D"/>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1F693909"/>
    <w:multiLevelType w:val="multilevel"/>
    <w:tmpl w:val="1F6939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4F67A07"/>
    <w:multiLevelType w:val="multilevel"/>
    <w:tmpl w:val="34F67A07"/>
    <w:lvl w:ilvl="0" w:tentative="0">
      <w:start w:val="1"/>
      <w:numFmt w:val="decimal"/>
      <w:lvlText w:val="%1)"/>
      <w:lvlJc w:val="left"/>
      <w:pPr>
        <w:tabs>
          <w:tab w:val="left" w:pos="420"/>
        </w:tabs>
        <w:ind w:left="860" w:hanging="440"/>
      </w:pPr>
    </w:lvl>
    <w:lvl w:ilvl="1" w:tentative="0">
      <w:start w:val="1"/>
      <w:numFmt w:val="lowerLetter"/>
      <w:lvlText w:val="%2)"/>
      <w:lvlJc w:val="left"/>
      <w:pPr>
        <w:tabs>
          <w:tab w:val="left" w:pos="420"/>
        </w:tabs>
        <w:ind w:left="1300" w:hanging="440"/>
      </w:pPr>
    </w:lvl>
    <w:lvl w:ilvl="2" w:tentative="0">
      <w:start w:val="1"/>
      <w:numFmt w:val="lowerRoman"/>
      <w:lvlText w:val="%3."/>
      <w:lvlJc w:val="right"/>
      <w:pPr>
        <w:tabs>
          <w:tab w:val="left" w:pos="420"/>
        </w:tabs>
        <w:ind w:left="1740" w:hanging="440"/>
      </w:pPr>
    </w:lvl>
    <w:lvl w:ilvl="3" w:tentative="0">
      <w:start w:val="1"/>
      <w:numFmt w:val="decimal"/>
      <w:lvlText w:val="%4."/>
      <w:lvlJc w:val="left"/>
      <w:pPr>
        <w:tabs>
          <w:tab w:val="left" w:pos="420"/>
        </w:tabs>
        <w:ind w:left="2180" w:hanging="440"/>
      </w:pPr>
    </w:lvl>
    <w:lvl w:ilvl="4" w:tentative="0">
      <w:start w:val="1"/>
      <w:numFmt w:val="lowerLetter"/>
      <w:lvlText w:val="%5)"/>
      <w:lvlJc w:val="left"/>
      <w:pPr>
        <w:tabs>
          <w:tab w:val="left" w:pos="420"/>
        </w:tabs>
        <w:ind w:left="2620" w:hanging="440"/>
      </w:pPr>
    </w:lvl>
    <w:lvl w:ilvl="5" w:tentative="0">
      <w:start w:val="1"/>
      <w:numFmt w:val="lowerRoman"/>
      <w:lvlText w:val="%6."/>
      <w:lvlJc w:val="right"/>
      <w:pPr>
        <w:tabs>
          <w:tab w:val="left" w:pos="420"/>
        </w:tabs>
        <w:ind w:left="3060" w:hanging="440"/>
      </w:pPr>
    </w:lvl>
    <w:lvl w:ilvl="6" w:tentative="0">
      <w:start w:val="1"/>
      <w:numFmt w:val="decimal"/>
      <w:lvlText w:val="%7."/>
      <w:lvlJc w:val="left"/>
      <w:pPr>
        <w:tabs>
          <w:tab w:val="left" w:pos="420"/>
        </w:tabs>
        <w:ind w:left="3500" w:hanging="440"/>
      </w:pPr>
    </w:lvl>
    <w:lvl w:ilvl="7" w:tentative="0">
      <w:start w:val="1"/>
      <w:numFmt w:val="lowerLetter"/>
      <w:lvlText w:val="%8)"/>
      <w:lvlJc w:val="left"/>
      <w:pPr>
        <w:tabs>
          <w:tab w:val="left" w:pos="420"/>
        </w:tabs>
        <w:ind w:left="3940" w:hanging="440"/>
      </w:pPr>
    </w:lvl>
    <w:lvl w:ilvl="8" w:tentative="0">
      <w:start w:val="1"/>
      <w:numFmt w:val="lowerRoman"/>
      <w:lvlText w:val="%9."/>
      <w:lvlJc w:val="right"/>
      <w:pPr>
        <w:tabs>
          <w:tab w:val="left" w:pos="420"/>
        </w:tabs>
        <w:ind w:left="4380" w:hanging="440"/>
      </w:pPr>
    </w:lvl>
  </w:abstractNum>
  <w:abstractNum w:abstractNumId="7">
    <w:nsid w:val="3ADE190A"/>
    <w:multiLevelType w:val="multilevel"/>
    <w:tmpl w:val="3ADE190A"/>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6F79E50"/>
    <w:multiLevelType w:val="singleLevel"/>
    <w:tmpl w:val="46F79E50"/>
    <w:lvl w:ilvl="0" w:tentative="0">
      <w:start w:val="1"/>
      <w:numFmt w:val="decimal"/>
      <w:lvlText w:val="[%1]"/>
      <w:lvlJc w:val="left"/>
      <w:pPr>
        <w:tabs>
          <w:tab w:val="left" w:pos="840"/>
        </w:tabs>
        <w:ind w:left="845" w:leftChars="0" w:hanging="425" w:firstLineChars="0"/>
      </w:pPr>
      <w:rPr>
        <w:rFonts w:hint="default"/>
      </w:rPr>
    </w:lvl>
  </w:abstractNum>
  <w:abstractNum w:abstractNumId="9">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0">
    <w:nsid w:val="5EE24B4C"/>
    <w:multiLevelType w:val="multilevel"/>
    <w:tmpl w:val="5EE24B4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
    <w:nsid w:val="67090D4B"/>
    <w:multiLevelType w:val="multilevel"/>
    <w:tmpl w:val="67090D4B"/>
    <w:lvl w:ilvl="0" w:tentative="0">
      <w:start w:val="2"/>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8"/>
  </w:num>
  <w:num w:numId="3">
    <w:abstractNumId w:val="1"/>
  </w:num>
  <w:num w:numId="4">
    <w:abstractNumId w:val="10"/>
  </w:num>
  <w:num w:numId="5">
    <w:abstractNumId w:val="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3"/>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2DE7C7D"/>
    <w:rsid w:val="038720C2"/>
    <w:rsid w:val="06D82C35"/>
    <w:rsid w:val="07D86FDF"/>
    <w:rsid w:val="07DC6755"/>
    <w:rsid w:val="080A1514"/>
    <w:rsid w:val="093200E5"/>
    <w:rsid w:val="094822F4"/>
    <w:rsid w:val="099C619C"/>
    <w:rsid w:val="0A173A74"/>
    <w:rsid w:val="0A2148F3"/>
    <w:rsid w:val="0B2E72C7"/>
    <w:rsid w:val="0B7F73A1"/>
    <w:rsid w:val="0CE33FBB"/>
    <w:rsid w:val="0D3F756A"/>
    <w:rsid w:val="0F7FD01B"/>
    <w:rsid w:val="116F1852"/>
    <w:rsid w:val="12863E8D"/>
    <w:rsid w:val="1731204F"/>
    <w:rsid w:val="190778F3"/>
    <w:rsid w:val="1A6C1BBA"/>
    <w:rsid w:val="1B724FAE"/>
    <w:rsid w:val="1D3544E5"/>
    <w:rsid w:val="1D5C4168"/>
    <w:rsid w:val="1E7DDD8D"/>
    <w:rsid w:val="1FEF31D1"/>
    <w:rsid w:val="20032247"/>
    <w:rsid w:val="20340A84"/>
    <w:rsid w:val="20BD6CCC"/>
    <w:rsid w:val="221E379A"/>
    <w:rsid w:val="24E76A0D"/>
    <w:rsid w:val="266320C3"/>
    <w:rsid w:val="26CF1507"/>
    <w:rsid w:val="27D112AE"/>
    <w:rsid w:val="29CA2459"/>
    <w:rsid w:val="2A16744D"/>
    <w:rsid w:val="2C7A1122"/>
    <w:rsid w:val="2EB931C8"/>
    <w:rsid w:val="2FFF3020"/>
    <w:rsid w:val="3010152E"/>
    <w:rsid w:val="30BD6874"/>
    <w:rsid w:val="31FE5396"/>
    <w:rsid w:val="33ED56C2"/>
    <w:rsid w:val="35466F4B"/>
    <w:rsid w:val="36097A13"/>
    <w:rsid w:val="37441A9D"/>
    <w:rsid w:val="37DD3CC5"/>
    <w:rsid w:val="39755F3E"/>
    <w:rsid w:val="3A555D6F"/>
    <w:rsid w:val="3AEC0481"/>
    <w:rsid w:val="3B7B5A2D"/>
    <w:rsid w:val="3C2B6D87"/>
    <w:rsid w:val="3DE713D4"/>
    <w:rsid w:val="3E5A3954"/>
    <w:rsid w:val="3F7F40FC"/>
    <w:rsid w:val="3FF786F5"/>
    <w:rsid w:val="3FFE7CC7"/>
    <w:rsid w:val="40994C08"/>
    <w:rsid w:val="4269685C"/>
    <w:rsid w:val="42C85E7D"/>
    <w:rsid w:val="446217B4"/>
    <w:rsid w:val="45576E3F"/>
    <w:rsid w:val="45D87F80"/>
    <w:rsid w:val="47A10846"/>
    <w:rsid w:val="47F65935"/>
    <w:rsid w:val="48401E0D"/>
    <w:rsid w:val="4AFF5FAF"/>
    <w:rsid w:val="4BB46D99"/>
    <w:rsid w:val="4D7752CE"/>
    <w:rsid w:val="4E375A60"/>
    <w:rsid w:val="4FFD7496"/>
    <w:rsid w:val="5221680B"/>
    <w:rsid w:val="52976ACD"/>
    <w:rsid w:val="529C2335"/>
    <w:rsid w:val="52F27808"/>
    <w:rsid w:val="530D6D8F"/>
    <w:rsid w:val="53C438F2"/>
    <w:rsid w:val="53D63625"/>
    <w:rsid w:val="53EDEF4C"/>
    <w:rsid w:val="573B7247"/>
    <w:rsid w:val="584D65AC"/>
    <w:rsid w:val="58913FBE"/>
    <w:rsid w:val="58FC58DC"/>
    <w:rsid w:val="59575208"/>
    <w:rsid w:val="59C56616"/>
    <w:rsid w:val="5A6E7BFA"/>
    <w:rsid w:val="5B914A01"/>
    <w:rsid w:val="5BBC2845"/>
    <w:rsid w:val="5BD40D92"/>
    <w:rsid w:val="5E2751A9"/>
    <w:rsid w:val="5E5E2B95"/>
    <w:rsid w:val="5E84084D"/>
    <w:rsid w:val="5FF75E37"/>
    <w:rsid w:val="63691DC0"/>
    <w:rsid w:val="63B948B0"/>
    <w:rsid w:val="663F14FE"/>
    <w:rsid w:val="667E2026"/>
    <w:rsid w:val="67AC4971"/>
    <w:rsid w:val="67E939AC"/>
    <w:rsid w:val="6888718C"/>
    <w:rsid w:val="6A0C7949"/>
    <w:rsid w:val="6AC36259"/>
    <w:rsid w:val="6C8B724B"/>
    <w:rsid w:val="6DA16F26"/>
    <w:rsid w:val="6DBEEE08"/>
    <w:rsid w:val="6E1F5E9D"/>
    <w:rsid w:val="6FEBE292"/>
    <w:rsid w:val="705F6A24"/>
    <w:rsid w:val="71B75A5B"/>
    <w:rsid w:val="71EDDD5C"/>
    <w:rsid w:val="73C66DBA"/>
    <w:rsid w:val="7522503C"/>
    <w:rsid w:val="75232716"/>
    <w:rsid w:val="764240E2"/>
    <w:rsid w:val="78A23952"/>
    <w:rsid w:val="7AD4000F"/>
    <w:rsid w:val="7AE83ABA"/>
    <w:rsid w:val="7AEEF96C"/>
    <w:rsid w:val="7B7E72C5"/>
    <w:rsid w:val="7BDF90D9"/>
    <w:rsid w:val="7BF56C2E"/>
    <w:rsid w:val="7BF87D2D"/>
    <w:rsid w:val="7C3E1792"/>
    <w:rsid w:val="7CEFE15A"/>
    <w:rsid w:val="7D2E7EAA"/>
    <w:rsid w:val="7D6E9FCB"/>
    <w:rsid w:val="7DF4246F"/>
    <w:rsid w:val="7F313C82"/>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15</Pages>
  <Words>2441</Words>
  <Characters>2596</Characters>
  <Lines>547</Lines>
  <Paragraphs>559</Paragraphs>
  <TotalTime>0</TotalTime>
  <ScaleCrop>false</ScaleCrop>
  <LinksUpToDate>false</LinksUpToDate>
  <CharactersWithSpaces>2655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2026-03-23T03:01:32Z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