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055DC">
      <w:pPr>
        <w:rPr>
          <w:rFonts w:hint="eastAsia" w:ascii="宋体" w:hAnsi="宋体"/>
        </w:rPr>
      </w:pPr>
    </w:p>
    <w:p w14:paraId="62D11179">
      <w:pPr>
        <w:rPr>
          <w:rFonts w:hint="eastAsia" w:ascii="宋体" w:hAnsi="宋体"/>
        </w:rPr>
      </w:pPr>
    </w:p>
    <w:p w14:paraId="7DD4FCE7">
      <w:pPr>
        <w:rPr>
          <w:rFonts w:hint="eastAsia" w:ascii="宋体" w:hAnsi="宋体"/>
        </w:rPr>
      </w:pPr>
    </w:p>
    <w:p w14:paraId="01DEB766">
      <w:pPr>
        <w:rPr>
          <w:rFonts w:hint="eastAsia" w:ascii="宋体" w:hAnsi="宋体"/>
        </w:rPr>
      </w:pPr>
    </w:p>
    <w:p w14:paraId="30FFEFF7">
      <w:pPr>
        <w:rPr>
          <w:rFonts w:hint="eastAsia" w:ascii="宋体" w:hAnsi="宋体"/>
        </w:rPr>
      </w:pPr>
    </w:p>
    <w:p w14:paraId="4007A427">
      <w:pPr>
        <w:rPr>
          <w:rFonts w:hint="eastAsia" w:ascii="宋体" w:hAnsi="宋体"/>
        </w:rPr>
      </w:pPr>
    </w:p>
    <w:p w14:paraId="2312DCB7">
      <w:pPr>
        <w:jc w:val="center"/>
        <w:rPr>
          <w:rFonts w:hint="default" w:ascii="黑体" w:hAnsi="黑体" w:eastAsia="黑体" w:cs="宋体"/>
          <w:b/>
          <w:sz w:val="52"/>
          <w:szCs w:val="52"/>
          <w:lang w:val="en-US" w:eastAsia="zh-CN"/>
        </w:rPr>
      </w:pPr>
      <w:r>
        <w:rPr>
          <w:rFonts w:hint="eastAsia" w:ascii="黑体" w:hAnsi="黑体" w:eastAsia="黑体" w:cs="宋体"/>
          <w:b/>
          <w:color w:val="0079BF"/>
          <w:sz w:val="52"/>
          <w:szCs w:val="52"/>
          <w:lang w:val="en-US" w:eastAsia="zh-CN"/>
        </w:rPr>
        <w:t>XXX</w:t>
      </w:r>
      <w:r>
        <w:rPr>
          <w:rFonts w:hint="eastAsia" w:ascii="黑体" w:hAnsi="黑体" w:eastAsia="黑体" w:cs="宋体"/>
          <w:b/>
          <w:sz w:val="52"/>
          <w:szCs w:val="52"/>
          <w:lang w:val="en-US" w:eastAsia="zh-CN"/>
        </w:rPr>
        <w:t>法规需求</w:t>
      </w:r>
    </w:p>
    <w:p w14:paraId="07339125">
      <w:pPr>
        <w:jc w:val="center"/>
        <w:rPr>
          <w:rFonts w:hint="default" w:ascii="黑体" w:hAnsi="黑体" w:eastAsia="黑体" w:cs="宋体"/>
          <w:b/>
          <w:color w:val="0079BF"/>
          <w:sz w:val="52"/>
          <w:szCs w:val="52"/>
          <w:lang w:val="en-US" w:eastAsia="zh-CN"/>
        </w:rPr>
      </w:pPr>
      <w:r>
        <w:rPr>
          <w:rFonts w:hint="eastAsia" w:ascii="黑体" w:hAnsi="黑体" w:eastAsia="黑体" w:cs="宋体"/>
          <w:b/>
          <w:color w:val="0079BF"/>
          <w:sz w:val="52"/>
          <w:szCs w:val="52"/>
          <w:lang w:val="en-US" w:eastAsia="zh-CN"/>
        </w:rPr>
        <w:t>DHF-OPT-20X3</w:t>
      </w:r>
    </w:p>
    <w:p w14:paraId="0E400A66">
      <w:pPr>
        <w:rPr>
          <w:rFonts w:hint="eastAsia" w:ascii="宋体" w:hAnsi="宋体"/>
        </w:rPr>
      </w:pPr>
    </w:p>
    <w:p w14:paraId="06C34082">
      <w:pPr>
        <w:rPr>
          <w:rFonts w:hint="eastAsia" w:ascii="宋体" w:hAnsi="宋体"/>
        </w:rPr>
      </w:pPr>
    </w:p>
    <w:p w14:paraId="35AA3A61">
      <w:pPr>
        <w:rPr>
          <w:rFonts w:hint="eastAsia" w:ascii="宋体" w:hAnsi="宋体"/>
        </w:rPr>
      </w:pPr>
    </w:p>
    <w:p w14:paraId="08A43974">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148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A2FB3AE">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4BF9D86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0AAE6A58">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347392D6">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527F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6A464D13">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0E76AFE4">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07878BAD">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20EE449">
            <w:pPr>
              <w:keepNext w:val="0"/>
              <w:keepLines w:val="0"/>
              <w:suppressLineNumbers w:val="0"/>
              <w:spacing w:before="0" w:beforeAutospacing="0" w:after="0" w:afterAutospacing="0"/>
              <w:ind w:left="0" w:right="0"/>
              <w:jc w:val="center"/>
              <w:rPr>
                <w:rFonts w:hint="default"/>
                <w:b/>
                <w:sz w:val="28"/>
                <w:szCs w:val="28"/>
              </w:rPr>
            </w:pPr>
          </w:p>
        </w:tc>
      </w:tr>
      <w:tr w14:paraId="1248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5E64041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39A0CD3A">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1A9494AA">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76300548">
            <w:pPr>
              <w:keepNext w:val="0"/>
              <w:keepLines w:val="0"/>
              <w:suppressLineNumbers w:val="0"/>
              <w:spacing w:before="0" w:beforeAutospacing="0" w:after="0" w:afterAutospacing="0"/>
              <w:ind w:left="0" w:right="0"/>
              <w:jc w:val="center"/>
              <w:rPr>
                <w:rFonts w:hint="default"/>
                <w:b/>
                <w:sz w:val="28"/>
                <w:szCs w:val="28"/>
              </w:rPr>
            </w:pPr>
          </w:p>
        </w:tc>
      </w:tr>
      <w:tr w14:paraId="71EF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50C50A3">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075C4BB8">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34748CC">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C952B09">
            <w:pPr>
              <w:keepNext w:val="0"/>
              <w:keepLines w:val="0"/>
              <w:suppressLineNumbers w:val="0"/>
              <w:spacing w:before="0" w:beforeAutospacing="0" w:after="0" w:afterAutospacing="0"/>
              <w:ind w:left="0" w:right="0"/>
              <w:jc w:val="center"/>
              <w:rPr>
                <w:rFonts w:hint="default"/>
                <w:b/>
                <w:sz w:val="28"/>
                <w:szCs w:val="28"/>
              </w:rPr>
            </w:pPr>
          </w:p>
        </w:tc>
      </w:tr>
    </w:tbl>
    <w:p w14:paraId="13FC041D">
      <w:pPr>
        <w:rPr>
          <w:rFonts w:hint="eastAsia" w:ascii="宋体" w:hAnsi="宋体"/>
        </w:rPr>
      </w:pPr>
    </w:p>
    <w:p w14:paraId="6EFCF5D0">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4D0FAD27">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7DB7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50BC1CFF">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5A5B513C">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3A55008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453005C3">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30A55C8D">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FE2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1D3586AA">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787FC42">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4D1546CA">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C220681">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A90AA48">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首次编制</w:t>
            </w:r>
          </w:p>
        </w:tc>
      </w:tr>
      <w:tr w14:paraId="3E9E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1115F9EF">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3F50D83">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05A72AB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2C791A45">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52713F6D">
            <w:pPr>
              <w:keepNext w:val="0"/>
              <w:keepLines w:val="0"/>
              <w:suppressLineNumbers w:val="0"/>
              <w:spacing w:before="0" w:beforeAutospacing="0" w:after="0" w:afterAutospacing="0"/>
              <w:ind w:left="0" w:right="0"/>
              <w:jc w:val="center"/>
              <w:rPr>
                <w:rFonts w:hint="eastAsia" w:ascii="宋体" w:hAnsi="宋体" w:cs="宋体"/>
                <w:szCs w:val="21"/>
              </w:rPr>
            </w:pPr>
          </w:p>
        </w:tc>
      </w:tr>
      <w:tr w14:paraId="7CDA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48945C3">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645FC503">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66E7A008">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6BFFE86C">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2D0C2EC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571A0AD">
      <w:pPr>
        <w:widowControl/>
        <w:jc w:val="left"/>
        <w:rPr>
          <w:sz w:val="28"/>
          <w:szCs w:val="28"/>
        </w:rPr>
        <w:sectPr>
          <w:pgSz w:w="11906" w:h="16838"/>
          <w:pgMar w:top="1418" w:right="1134" w:bottom="1418" w:left="1134" w:header="851" w:footer="851" w:gutter="0"/>
          <w:cols w:space="425" w:num="1"/>
          <w:docGrid w:type="lines" w:linePitch="312" w:charSpace="0"/>
        </w:sectPr>
      </w:pPr>
    </w:p>
    <w:p w14:paraId="2DDE8F45">
      <w:pPr>
        <w:spacing w:line="360" w:lineRule="auto"/>
        <w:jc w:val="center"/>
        <w:rPr>
          <w:b/>
          <w:bCs/>
          <w:sz w:val="52"/>
          <w:szCs w:val="52"/>
        </w:rPr>
      </w:pPr>
      <w:bookmarkStart w:id="0" w:name="_Toc8726470"/>
      <w:r>
        <w:rPr>
          <w:rFonts w:hint="eastAsia"/>
          <w:b/>
          <w:bCs/>
          <w:sz w:val="52"/>
          <w:szCs w:val="52"/>
        </w:rPr>
        <w:t>目录</w:t>
      </w:r>
    </w:p>
    <w:p w14:paraId="08FEF461">
      <w:pPr>
        <w:pStyle w:val="16"/>
        <w:tabs>
          <w:tab w:val="right" w:leader="dot" w:pos="9638"/>
        </w:tabs>
        <w:rPr>
          <w:color w:val="0079BF"/>
        </w:rPr>
      </w:pPr>
      <w:bookmarkStart w:id="8" w:name="_GoBack"/>
      <w:r>
        <w:rPr>
          <w:rFonts w:hint="eastAsia" w:asciiTheme="minorEastAsia" w:hAnsiTheme="minorEastAsia" w:eastAsiaTheme="minorEastAsia"/>
          <w:color w:val="0079BF"/>
          <w:sz w:val="24"/>
        </w:rPr>
        <w:fldChar w:fldCharType="begin"/>
      </w:r>
      <w:r>
        <w:rPr>
          <w:rFonts w:hint="eastAsia" w:asciiTheme="minorEastAsia" w:hAnsiTheme="minorEastAsia" w:eastAsiaTheme="minorEastAsia"/>
          <w:color w:val="0079BF"/>
          <w:sz w:val="24"/>
        </w:rPr>
        <w:instrText xml:space="preserve"> TOC \o "1-3" \h \z \u </w:instrText>
      </w:r>
      <w:r>
        <w:rPr>
          <w:rFonts w:hint="eastAsia" w:asciiTheme="minorEastAsia" w:hAnsiTheme="minorEastAsia" w:eastAsiaTheme="minorEastAsia"/>
          <w:color w:val="0079BF"/>
          <w:sz w:val="24"/>
        </w:rPr>
        <w:fldChar w:fldCharType="separate"/>
      </w:r>
      <w:r>
        <w:rPr>
          <w:rFonts w:hint="eastAsia" w:asciiTheme="minorEastAsia" w:hAnsiTheme="minorEastAsia" w:eastAsiaTheme="minorEastAsia"/>
          <w:color w:val="0079BF"/>
        </w:rPr>
        <w:fldChar w:fldCharType="begin"/>
      </w:r>
      <w:r>
        <w:rPr>
          <w:rFonts w:hint="eastAsia" w:asciiTheme="minorEastAsia" w:hAnsiTheme="minorEastAsia" w:eastAsiaTheme="minorEastAsia"/>
          <w:color w:val="0079BF"/>
        </w:rPr>
        <w:instrText xml:space="preserve"> HYPERLINK \l _Toc32184 </w:instrText>
      </w:r>
      <w:r>
        <w:rPr>
          <w:rFonts w:hint="eastAsia" w:asciiTheme="minorEastAsia" w:hAnsiTheme="minorEastAsia" w:eastAsiaTheme="minorEastAsia"/>
          <w:color w:val="0079BF"/>
        </w:rPr>
        <w:fldChar w:fldCharType="separate"/>
      </w:r>
      <w:r>
        <w:rPr>
          <w:color w:val="0079BF"/>
        </w:rPr>
        <w:t>1 ISO14708-3：2017 产品专标</w:t>
      </w:r>
      <w:r>
        <w:rPr>
          <w:color w:val="0079BF"/>
        </w:rPr>
        <w:tab/>
      </w:r>
      <w:r>
        <w:rPr>
          <w:color w:val="0079BF"/>
        </w:rPr>
        <w:fldChar w:fldCharType="begin"/>
      </w:r>
      <w:r>
        <w:rPr>
          <w:color w:val="0079BF"/>
        </w:rPr>
        <w:instrText xml:space="preserve"> PAGEREF _Toc32184 \h </w:instrText>
      </w:r>
      <w:r>
        <w:rPr>
          <w:color w:val="0079BF"/>
        </w:rPr>
        <w:fldChar w:fldCharType="separate"/>
      </w:r>
      <w:r>
        <w:rPr>
          <w:color w:val="0079BF"/>
        </w:rPr>
        <w:t>4</w:t>
      </w:r>
      <w:r>
        <w:rPr>
          <w:color w:val="0079BF"/>
        </w:rPr>
        <w:fldChar w:fldCharType="end"/>
      </w:r>
      <w:r>
        <w:rPr>
          <w:rFonts w:hint="eastAsia" w:asciiTheme="minorEastAsia" w:hAnsiTheme="minorEastAsia" w:eastAsiaTheme="minorEastAsia"/>
          <w:color w:val="0079BF"/>
        </w:rPr>
        <w:fldChar w:fldCharType="end"/>
      </w:r>
    </w:p>
    <w:p w14:paraId="4C175584">
      <w:pPr>
        <w:pStyle w:val="17"/>
        <w:tabs>
          <w:tab w:val="right" w:leader="dot" w:pos="9638"/>
        </w:tabs>
        <w:rPr>
          <w:color w:val="0079BF"/>
        </w:rPr>
      </w:pPr>
      <w:r>
        <w:rPr>
          <w:rFonts w:hint="eastAsia" w:asciiTheme="minorEastAsia" w:hAnsiTheme="minorEastAsia" w:eastAsiaTheme="minorEastAsia"/>
          <w:color w:val="0079BF"/>
        </w:rPr>
        <w:fldChar w:fldCharType="begin"/>
      </w:r>
      <w:r>
        <w:rPr>
          <w:rFonts w:hint="eastAsia" w:asciiTheme="minorEastAsia" w:hAnsiTheme="minorEastAsia" w:eastAsiaTheme="minorEastAsia"/>
          <w:color w:val="0079BF"/>
        </w:rPr>
        <w:instrText xml:space="preserve"> HYPERLINK \l _Toc18672 </w:instrText>
      </w:r>
      <w:r>
        <w:rPr>
          <w:rFonts w:hint="eastAsia" w:asciiTheme="minorEastAsia" w:hAnsiTheme="minorEastAsia" w:eastAsiaTheme="minorEastAsia"/>
          <w:color w:val="0079BF"/>
        </w:rPr>
        <w:fldChar w:fldCharType="separate"/>
      </w:r>
      <w:r>
        <w:rPr>
          <w:color w:val="0079BF"/>
        </w:rPr>
        <w:t>1.1 ISO 14708-3:2017_5 有源植入式医疗器械的一般要求</w:t>
      </w:r>
      <w:r>
        <w:rPr>
          <w:color w:val="0079BF"/>
        </w:rPr>
        <w:tab/>
      </w:r>
      <w:r>
        <w:rPr>
          <w:color w:val="0079BF"/>
        </w:rPr>
        <w:fldChar w:fldCharType="begin"/>
      </w:r>
      <w:r>
        <w:rPr>
          <w:color w:val="0079BF"/>
        </w:rPr>
        <w:instrText xml:space="preserve"> PAGEREF _Toc18672 \h </w:instrText>
      </w:r>
      <w:r>
        <w:rPr>
          <w:color w:val="0079BF"/>
        </w:rPr>
        <w:fldChar w:fldCharType="separate"/>
      </w:r>
      <w:r>
        <w:rPr>
          <w:color w:val="0079BF"/>
        </w:rPr>
        <w:t>4</w:t>
      </w:r>
      <w:r>
        <w:rPr>
          <w:color w:val="0079BF"/>
        </w:rPr>
        <w:fldChar w:fldCharType="end"/>
      </w:r>
      <w:r>
        <w:rPr>
          <w:rFonts w:hint="eastAsia" w:asciiTheme="minorEastAsia" w:hAnsiTheme="minorEastAsia" w:eastAsiaTheme="minorEastAsia"/>
          <w:color w:val="0079BF"/>
        </w:rPr>
        <w:fldChar w:fldCharType="end"/>
      </w:r>
    </w:p>
    <w:p w14:paraId="796CA1F1">
      <w:pPr>
        <w:pStyle w:val="13"/>
        <w:tabs>
          <w:tab w:val="right" w:leader="dot" w:pos="9638"/>
        </w:tabs>
        <w:rPr>
          <w:color w:val="0079BF"/>
        </w:rPr>
      </w:pPr>
      <w:r>
        <w:rPr>
          <w:rFonts w:hint="eastAsia" w:asciiTheme="minorEastAsia" w:hAnsiTheme="minorEastAsia" w:eastAsiaTheme="minorEastAsia"/>
          <w:color w:val="0079BF"/>
        </w:rPr>
        <w:fldChar w:fldCharType="begin"/>
      </w:r>
      <w:r>
        <w:rPr>
          <w:rFonts w:hint="eastAsia" w:asciiTheme="minorEastAsia" w:hAnsiTheme="minorEastAsia" w:eastAsiaTheme="minorEastAsia"/>
          <w:color w:val="0079BF"/>
        </w:rPr>
        <w:instrText xml:space="preserve"> HYPERLINK \l _Toc8589 </w:instrText>
      </w:r>
      <w:r>
        <w:rPr>
          <w:rFonts w:hint="eastAsia" w:asciiTheme="minorEastAsia" w:hAnsiTheme="minorEastAsia" w:eastAsiaTheme="minorEastAsia"/>
          <w:color w:val="0079BF"/>
        </w:rPr>
        <w:fldChar w:fldCharType="separate"/>
      </w:r>
      <w:r>
        <w:rPr>
          <w:color w:val="0079BF"/>
        </w:rPr>
        <w:t>1.1.1 ISO14708-3 2017_5.1 非植入部分的通用要求</w:t>
      </w:r>
      <w:r>
        <w:rPr>
          <w:color w:val="0079BF"/>
        </w:rPr>
        <w:tab/>
      </w:r>
      <w:r>
        <w:rPr>
          <w:color w:val="0079BF"/>
        </w:rPr>
        <w:fldChar w:fldCharType="begin"/>
      </w:r>
      <w:r>
        <w:rPr>
          <w:color w:val="0079BF"/>
        </w:rPr>
        <w:instrText xml:space="preserve"> PAGEREF _Toc8589 \h </w:instrText>
      </w:r>
      <w:r>
        <w:rPr>
          <w:color w:val="0079BF"/>
        </w:rPr>
        <w:fldChar w:fldCharType="separate"/>
      </w:r>
      <w:r>
        <w:rPr>
          <w:color w:val="0079BF"/>
        </w:rPr>
        <w:t>4</w:t>
      </w:r>
      <w:r>
        <w:rPr>
          <w:color w:val="0079BF"/>
        </w:rPr>
        <w:fldChar w:fldCharType="end"/>
      </w:r>
      <w:r>
        <w:rPr>
          <w:rFonts w:hint="eastAsia" w:asciiTheme="minorEastAsia" w:hAnsiTheme="minorEastAsia" w:eastAsiaTheme="minorEastAsia"/>
          <w:color w:val="0079BF"/>
        </w:rPr>
        <w:fldChar w:fldCharType="end"/>
      </w:r>
    </w:p>
    <w:p w14:paraId="2F6A8295">
      <w:pPr>
        <w:pStyle w:val="13"/>
        <w:tabs>
          <w:tab w:val="right" w:leader="dot" w:pos="9638"/>
        </w:tabs>
        <w:rPr>
          <w:color w:val="0079BF"/>
        </w:rPr>
      </w:pPr>
      <w:r>
        <w:rPr>
          <w:rFonts w:hint="eastAsia" w:asciiTheme="minorEastAsia" w:hAnsiTheme="minorEastAsia" w:eastAsiaTheme="minorEastAsia"/>
          <w:color w:val="0079BF"/>
        </w:rPr>
        <w:fldChar w:fldCharType="begin"/>
      </w:r>
      <w:r>
        <w:rPr>
          <w:rFonts w:hint="eastAsia" w:asciiTheme="minorEastAsia" w:hAnsiTheme="minorEastAsia" w:eastAsiaTheme="minorEastAsia"/>
          <w:color w:val="0079BF"/>
        </w:rPr>
        <w:instrText xml:space="preserve"> HYPERLINK \l _Toc17565 </w:instrText>
      </w:r>
      <w:r>
        <w:rPr>
          <w:rFonts w:hint="eastAsia" w:asciiTheme="minorEastAsia" w:hAnsiTheme="minorEastAsia" w:eastAsiaTheme="minorEastAsia"/>
          <w:color w:val="0079BF"/>
        </w:rPr>
        <w:fldChar w:fldCharType="separate"/>
      </w:r>
      <w:r>
        <w:rPr>
          <w:color w:val="0079BF"/>
        </w:rPr>
        <w:t xml:space="preserve">1.1.2 </w:t>
      </w:r>
      <w:r>
        <w:rPr>
          <w:rFonts w:ascii="Arial" w:hAnsi="Arial" w:cs="Arial"/>
          <w:color w:val="0079BF"/>
        </w:rPr>
        <w:t xml:space="preserve">ISO14708-3 2017_5.2 </w:t>
      </w:r>
      <w:r>
        <w:rPr>
          <w:color w:val="0079BF"/>
        </w:rPr>
        <w:t>软件的一般要求</w:t>
      </w:r>
      <w:r>
        <w:rPr>
          <w:color w:val="0079BF"/>
        </w:rPr>
        <w:tab/>
      </w:r>
      <w:r>
        <w:rPr>
          <w:color w:val="0079BF"/>
        </w:rPr>
        <w:fldChar w:fldCharType="begin"/>
      </w:r>
      <w:r>
        <w:rPr>
          <w:color w:val="0079BF"/>
        </w:rPr>
        <w:instrText xml:space="preserve"> PAGEREF _Toc17565 \h </w:instrText>
      </w:r>
      <w:r>
        <w:rPr>
          <w:color w:val="0079BF"/>
        </w:rPr>
        <w:fldChar w:fldCharType="separate"/>
      </w:r>
      <w:r>
        <w:rPr>
          <w:color w:val="0079BF"/>
        </w:rPr>
        <w:t>4</w:t>
      </w:r>
      <w:r>
        <w:rPr>
          <w:color w:val="0079BF"/>
        </w:rPr>
        <w:fldChar w:fldCharType="end"/>
      </w:r>
      <w:r>
        <w:rPr>
          <w:rFonts w:hint="eastAsia" w:asciiTheme="minorEastAsia" w:hAnsiTheme="minorEastAsia" w:eastAsiaTheme="minorEastAsia"/>
          <w:color w:val="0079BF"/>
        </w:rPr>
        <w:fldChar w:fldCharType="end"/>
      </w:r>
    </w:p>
    <w:p w14:paraId="6BFA155B">
      <w:pPr>
        <w:pStyle w:val="13"/>
        <w:tabs>
          <w:tab w:val="right" w:leader="dot" w:pos="9638"/>
        </w:tabs>
        <w:rPr>
          <w:color w:val="0079BF"/>
        </w:rPr>
      </w:pPr>
      <w:r>
        <w:rPr>
          <w:rFonts w:hint="eastAsia" w:asciiTheme="minorEastAsia" w:hAnsiTheme="minorEastAsia" w:eastAsiaTheme="minorEastAsia"/>
          <w:color w:val="0079BF"/>
        </w:rPr>
        <w:fldChar w:fldCharType="begin"/>
      </w:r>
      <w:r>
        <w:rPr>
          <w:rFonts w:hint="eastAsia" w:asciiTheme="minorEastAsia" w:hAnsiTheme="minorEastAsia" w:eastAsiaTheme="minorEastAsia"/>
          <w:color w:val="0079BF"/>
        </w:rPr>
        <w:instrText xml:space="preserve"> HYPERLINK \l _Toc424 </w:instrText>
      </w:r>
      <w:r>
        <w:rPr>
          <w:rFonts w:hint="eastAsia" w:asciiTheme="minorEastAsia" w:hAnsiTheme="minorEastAsia" w:eastAsiaTheme="minorEastAsia"/>
          <w:color w:val="0079BF"/>
        </w:rPr>
        <w:fldChar w:fldCharType="separate"/>
      </w:r>
      <w:r>
        <w:rPr>
          <w:color w:val="0079BF"/>
        </w:rPr>
        <w:t xml:space="preserve">1.1.3 </w:t>
      </w:r>
      <w:r>
        <w:rPr>
          <w:rFonts w:ascii="Arial" w:hAnsi="Arial" w:cs="Arial"/>
          <w:color w:val="0079BF"/>
        </w:rPr>
        <w:t>ISO14708-3 2017_5.3.1 </w:t>
      </w:r>
      <w:r>
        <w:rPr>
          <w:color w:val="0079BF"/>
        </w:rPr>
        <w:t>与电源相连或配备电源的非植入部件的可用性:</w:t>
      </w:r>
      <w:r>
        <w:rPr>
          <w:color w:val="0079BF"/>
        </w:rPr>
        <w:tab/>
      </w:r>
      <w:r>
        <w:rPr>
          <w:color w:val="0079BF"/>
        </w:rPr>
        <w:fldChar w:fldCharType="begin"/>
      </w:r>
      <w:r>
        <w:rPr>
          <w:color w:val="0079BF"/>
        </w:rPr>
        <w:instrText xml:space="preserve"> PAGEREF _Toc424 \h </w:instrText>
      </w:r>
      <w:r>
        <w:rPr>
          <w:color w:val="0079BF"/>
        </w:rPr>
        <w:fldChar w:fldCharType="separate"/>
      </w:r>
      <w:r>
        <w:rPr>
          <w:color w:val="0079BF"/>
        </w:rPr>
        <w:t>4</w:t>
      </w:r>
      <w:r>
        <w:rPr>
          <w:color w:val="0079BF"/>
        </w:rPr>
        <w:fldChar w:fldCharType="end"/>
      </w:r>
      <w:r>
        <w:rPr>
          <w:rFonts w:hint="eastAsia" w:asciiTheme="minorEastAsia" w:hAnsiTheme="minorEastAsia" w:eastAsiaTheme="minorEastAsia"/>
          <w:color w:val="0079BF"/>
        </w:rPr>
        <w:fldChar w:fldCharType="end"/>
      </w:r>
    </w:p>
    <w:p w14:paraId="7139BCDE">
      <w:pPr>
        <w:pStyle w:val="13"/>
        <w:tabs>
          <w:tab w:val="right" w:leader="dot" w:pos="9638"/>
        </w:tabs>
        <w:rPr>
          <w:color w:val="0079BF"/>
        </w:rPr>
      </w:pPr>
      <w:r>
        <w:rPr>
          <w:rFonts w:hint="eastAsia" w:asciiTheme="minorEastAsia" w:hAnsiTheme="minorEastAsia" w:eastAsiaTheme="minorEastAsia"/>
          <w:color w:val="0079BF"/>
        </w:rPr>
        <w:fldChar w:fldCharType="begin"/>
      </w:r>
      <w:r>
        <w:rPr>
          <w:rFonts w:hint="eastAsia" w:asciiTheme="minorEastAsia" w:hAnsiTheme="minorEastAsia" w:eastAsiaTheme="minorEastAsia"/>
          <w:color w:val="0079BF"/>
        </w:rPr>
        <w:instrText xml:space="preserve"> HYPERLINK \l _Toc4353 </w:instrText>
      </w:r>
      <w:r>
        <w:rPr>
          <w:rFonts w:hint="eastAsia" w:asciiTheme="minorEastAsia" w:hAnsiTheme="minorEastAsia" w:eastAsiaTheme="minorEastAsia"/>
          <w:color w:val="0079BF"/>
        </w:rPr>
        <w:fldChar w:fldCharType="separate"/>
      </w:r>
      <w:r>
        <w:rPr>
          <w:color w:val="0079BF"/>
        </w:rPr>
        <w:t xml:space="preserve">1.1.4 </w:t>
      </w:r>
      <w:r>
        <w:rPr>
          <w:rFonts w:ascii="Arial" w:hAnsi="Arial" w:cs="Arial"/>
          <w:color w:val="0079BF"/>
        </w:rPr>
        <w:t>ISO14708-3 2017_5.4 </w:t>
      </w:r>
      <w:r>
        <w:rPr>
          <w:color w:val="0079BF"/>
        </w:rPr>
        <w:t>数据安全与防止未经授权的信息篡改所造成的危害:</w:t>
      </w:r>
      <w:r>
        <w:rPr>
          <w:color w:val="0079BF"/>
        </w:rPr>
        <w:tab/>
      </w:r>
      <w:r>
        <w:rPr>
          <w:color w:val="0079BF"/>
        </w:rPr>
        <w:fldChar w:fldCharType="begin"/>
      </w:r>
      <w:r>
        <w:rPr>
          <w:color w:val="0079BF"/>
        </w:rPr>
        <w:instrText xml:space="preserve"> PAGEREF _Toc4353 \h </w:instrText>
      </w:r>
      <w:r>
        <w:rPr>
          <w:color w:val="0079BF"/>
        </w:rPr>
        <w:fldChar w:fldCharType="separate"/>
      </w:r>
      <w:r>
        <w:rPr>
          <w:color w:val="0079BF"/>
        </w:rPr>
        <w:t>4</w:t>
      </w:r>
      <w:r>
        <w:rPr>
          <w:color w:val="0079BF"/>
        </w:rPr>
        <w:fldChar w:fldCharType="end"/>
      </w:r>
      <w:r>
        <w:rPr>
          <w:rFonts w:hint="eastAsia" w:asciiTheme="minorEastAsia" w:hAnsiTheme="minorEastAsia" w:eastAsiaTheme="minorEastAsia"/>
          <w:color w:val="0079BF"/>
        </w:rPr>
        <w:fldChar w:fldCharType="end"/>
      </w:r>
    </w:p>
    <w:p w14:paraId="2D309D31">
      <w:pPr>
        <w:pStyle w:val="13"/>
        <w:tabs>
          <w:tab w:val="right" w:leader="dot" w:pos="9638"/>
        </w:tabs>
        <w:rPr>
          <w:color w:val="0079BF"/>
        </w:rPr>
      </w:pPr>
      <w:r>
        <w:rPr>
          <w:rFonts w:hint="eastAsia" w:asciiTheme="minorEastAsia" w:hAnsiTheme="minorEastAsia" w:eastAsiaTheme="minorEastAsia"/>
          <w:color w:val="0079BF"/>
        </w:rPr>
        <w:fldChar w:fldCharType="begin"/>
      </w:r>
      <w:r>
        <w:rPr>
          <w:rFonts w:hint="eastAsia" w:asciiTheme="minorEastAsia" w:hAnsiTheme="minorEastAsia" w:eastAsiaTheme="minorEastAsia"/>
          <w:color w:val="0079BF"/>
        </w:rPr>
        <w:instrText xml:space="preserve"> HYPERLINK \l _Toc9208 </w:instrText>
      </w:r>
      <w:r>
        <w:rPr>
          <w:rFonts w:hint="eastAsia" w:asciiTheme="minorEastAsia" w:hAnsiTheme="minorEastAsia" w:eastAsiaTheme="minorEastAsia"/>
          <w:color w:val="0079BF"/>
        </w:rPr>
        <w:fldChar w:fldCharType="separate"/>
      </w:r>
      <w:r>
        <w:rPr>
          <w:rFonts w:ascii="Arial" w:hAnsi="Arial" w:cs="Arial"/>
          <w:color w:val="0079BF"/>
        </w:rPr>
        <w:t>1.1.5 ISO14708-3 2017_5.5</w:t>
      </w:r>
      <w:r>
        <w:rPr>
          <w:color w:val="0079BF"/>
        </w:rPr>
        <w:tab/>
      </w:r>
      <w:r>
        <w:rPr>
          <w:color w:val="0079BF"/>
        </w:rPr>
        <w:fldChar w:fldCharType="begin"/>
      </w:r>
      <w:r>
        <w:rPr>
          <w:color w:val="0079BF"/>
        </w:rPr>
        <w:instrText xml:space="preserve"> PAGEREF _Toc9208 \h </w:instrText>
      </w:r>
      <w:r>
        <w:rPr>
          <w:color w:val="0079BF"/>
        </w:rPr>
        <w:fldChar w:fldCharType="separate"/>
      </w:r>
      <w:r>
        <w:rPr>
          <w:color w:val="0079BF"/>
        </w:rPr>
        <w:t>4</w:t>
      </w:r>
      <w:r>
        <w:rPr>
          <w:color w:val="0079BF"/>
        </w:rPr>
        <w:fldChar w:fldCharType="end"/>
      </w:r>
      <w:r>
        <w:rPr>
          <w:rFonts w:hint="eastAsia" w:asciiTheme="minorEastAsia" w:hAnsiTheme="minorEastAsia" w:eastAsiaTheme="minorEastAsia"/>
          <w:color w:val="0079BF"/>
        </w:rPr>
        <w:fldChar w:fldCharType="end"/>
      </w:r>
    </w:p>
    <w:p w14:paraId="67B4AD07">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color w:val="0079BF"/>
        </w:rPr>
        <w:fldChar w:fldCharType="end"/>
      </w:r>
      <w:bookmarkEnd w:id="8"/>
    </w:p>
    <w:bookmarkEnd w:id="0"/>
    <w:p w14:paraId="7F6DBF0C">
      <w:pPr>
        <w:pStyle w:val="2"/>
        <w:rPr>
          <w:color w:val="0079BF"/>
        </w:rPr>
      </w:pPr>
      <w:bookmarkStart w:id="1" w:name="_Toc32184"/>
      <w:r>
        <w:rPr>
          <w:color w:val="0079BF"/>
        </w:rPr>
        <w:t>ISO14708-3：2017 产品专标</w:t>
      </w:r>
      <w:bookmarkEnd w:id="1"/>
    </w:p>
    <w:p w14:paraId="30471916">
      <w:pPr>
        <w:pStyle w:val="3"/>
        <w:rPr>
          <w:color w:val="0079BF"/>
        </w:rPr>
      </w:pPr>
      <w:bookmarkStart w:id="2" w:name="_Toc18672"/>
      <w:r>
        <w:rPr>
          <w:color w:val="0079BF"/>
        </w:rPr>
        <w:t>ISO 14708-3:2017_5 有源植入式医疗器械的一般要求</w:t>
      </w:r>
      <w:bookmarkEnd w:id="2"/>
    </w:p>
    <w:p w14:paraId="329A1FDC">
      <w:pPr>
        <w:pStyle w:val="4"/>
        <w:rPr>
          <w:color w:val="0079BF"/>
        </w:rPr>
      </w:pPr>
      <w:bookmarkStart w:id="3" w:name="_Toc8589"/>
      <w:r>
        <w:rPr>
          <w:color w:val="0079BF"/>
        </w:rPr>
        <w:t>ISO14708-3 2017_5.1 非植入部分的通用要求</w:t>
      </w:r>
      <w:bookmarkEnd w:id="3"/>
    </w:p>
    <w:p w14:paraId="5DC4FD9B">
      <w:pPr>
        <w:ind w:firstLine="0" w:firstLineChars="0"/>
        <w:rPr>
          <w:color w:val="0079BF"/>
        </w:rPr>
      </w:pPr>
      <w:r>
        <w:rPr>
          <w:color w:val="0079BF"/>
        </w:rPr>
        <w:t>除那些没有被本部分取代的要求外，连接到电源或配有电源的有源植入医疗器械的非植入部件应符合IEC60601-1、IEC60601-1-1、IEC60601-1-2和IEC60601-1-4的要求。</w:t>
      </w:r>
    </w:p>
    <w:p w14:paraId="69421679">
      <w:pPr>
        <w:ind w:firstLine="480"/>
        <w:rPr>
          <w:color w:val="0079BF"/>
        </w:rPr>
      </w:pPr>
    </w:p>
    <w:p w14:paraId="276500C4">
      <w:pPr>
        <w:pStyle w:val="4"/>
        <w:rPr>
          <w:color w:val="0079BF"/>
        </w:rPr>
      </w:pPr>
      <w:bookmarkStart w:id="4" w:name="_Toc17565"/>
      <w:r>
        <w:rPr>
          <w:rFonts w:ascii="Arial" w:hAnsi="Arial" w:cs="Arial"/>
          <w:color w:val="0079BF"/>
        </w:rPr>
        <w:t xml:space="preserve">ISO14708-3 2017_5.2 </w:t>
      </w:r>
      <w:r>
        <w:rPr>
          <w:color w:val="0079BF"/>
        </w:rPr>
        <w:t>软件的一般要求</w:t>
      </w:r>
      <w:bookmarkEnd w:id="4"/>
    </w:p>
    <w:p w14:paraId="68DB2CC0">
      <w:pPr>
        <w:ind w:firstLine="0" w:firstLineChars="0"/>
        <w:rPr>
          <w:color w:val="0079BF"/>
        </w:rPr>
      </w:pPr>
      <w:r>
        <w:rPr>
          <w:color w:val="0079BF"/>
        </w:rPr>
        <w:t>有源植入式医疗器械的软件或者属于有源植入式医疗器械定义的软件，应当按照软件生命周期过程设计。 符合YY/T0664-2008并应进行验证</w:t>
      </w:r>
    </w:p>
    <w:p w14:paraId="3B50C1E1">
      <w:pPr>
        <w:ind w:firstLine="0" w:firstLineChars="0"/>
        <w:rPr>
          <w:color w:val="0079BF"/>
        </w:rPr>
      </w:pPr>
    </w:p>
    <w:p w14:paraId="242A9F72">
      <w:pPr>
        <w:pStyle w:val="4"/>
        <w:rPr>
          <w:color w:val="0079BF"/>
        </w:rPr>
      </w:pPr>
      <w:bookmarkStart w:id="5" w:name="_Toc424"/>
      <w:r>
        <w:rPr>
          <w:rFonts w:ascii="Arial" w:hAnsi="Arial" w:cs="Arial"/>
          <w:color w:val="0079BF"/>
        </w:rPr>
        <w:t>ISO14708-3 2017_5.3.1 </w:t>
      </w:r>
      <w:r>
        <w:rPr>
          <w:color w:val="0079BF"/>
        </w:rPr>
        <w:t>与电源相连或配备电源的非植入部件的可用性:</w:t>
      </w:r>
      <w:bookmarkEnd w:id="5"/>
    </w:p>
    <w:p w14:paraId="12338F90">
      <w:pPr>
        <w:ind w:firstLine="0" w:firstLineChars="0"/>
        <w:rPr>
          <w:color w:val="0079BF"/>
        </w:rPr>
      </w:pPr>
      <w:r>
        <w:rPr>
          <w:color w:val="0079BF"/>
        </w:rPr>
        <w:t>制造商应在可用性工程过程中解决可用性较差的风险，包括与标识、标记和文档相关的风险，可参考IEC62366-2007。</w:t>
      </w:r>
    </w:p>
    <w:p w14:paraId="5F175529">
      <w:pPr>
        <w:ind w:firstLine="0" w:firstLineChars="0"/>
        <w:rPr>
          <w:color w:val="0079BF"/>
        </w:rPr>
      </w:pPr>
    </w:p>
    <w:p w14:paraId="1D2AFB89">
      <w:pPr>
        <w:pStyle w:val="4"/>
        <w:rPr>
          <w:color w:val="0079BF"/>
        </w:rPr>
      </w:pPr>
      <w:bookmarkStart w:id="6" w:name="_Toc4353"/>
      <w:r>
        <w:rPr>
          <w:rFonts w:ascii="Arial" w:hAnsi="Arial" w:cs="Arial"/>
          <w:color w:val="0079BF"/>
        </w:rPr>
        <w:t>ISO14708-3 2017_5.4 </w:t>
      </w:r>
      <w:r>
        <w:rPr>
          <w:color w:val="0079BF"/>
        </w:rPr>
        <w:t>数据安全与防止未经授权的信息篡改所造成的危害:</w:t>
      </w:r>
      <w:bookmarkEnd w:id="6"/>
    </w:p>
    <w:p w14:paraId="150070FE">
      <w:pPr>
        <w:ind w:firstLine="0" w:firstLineChars="0"/>
        <w:rPr>
          <w:color w:val="0079BF"/>
        </w:rPr>
      </w:pPr>
      <w:r>
        <w:rPr>
          <w:color w:val="0079BF"/>
        </w:rPr>
        <w:t>当通过无线通信渠道与有源可植入医疗设备的可植入部分进行通信时，制造商应通过以下方式评估信息安全： 风险管理过程及采取适当的风险控制措施，以保护病人免受伤害。</w:t>
      </w:r>
    </w:p>
    <w:p w14:paraId="4CFB78EB">
      <w:pPr>
        <w:ind w:firstLine="0" w:firstLineChars="0"/>
        <w:rPr>
          <w:color w:val="0079BF"/>
        </w:rPr>
      </w:pPr>
    </w:p>
    <w:p w14:paraId="665AB57F">
      <w:pPr>
        <w:pStyle w:val="4"/>
        <w:rPr>
          <w:rFonts w:ascii="Arial" w:hAnsi="Arial" w:cs="Arial"/>
          <w:color w:val="0079BF"/>
        </w:rPr>
      </w:pPr>
      <w:bookmarkStart w:id="7" w:name="_Toc9208"/>
      <w:r>
        <w:rPr>
          <w:rFonts w:ascii="Arial" w:hAnsi="Arial" w:cs="Arial"/>
          <w:color w:val="0079BF"/>
        </w:rPr>
        <w:t>ISO14708-3 2017_5.5</w:t>
      </w:r>
      <w:bookmarkEnd w:id="7"/>
    </w:p>
    <w:p w14:paraId="40F1B914">
      <w:pPr>
        <w:pStyle w:val="5"/>
        <w:rPr>
          <w:color w:val="0079BF"/>
        </w:rPr>
      </w:pPr>
      <w:r>
        <w:rPr>
          <w:rFonts w:ascii="Arial" w:hAnsi="Arial" w:cs="Arial"/>
          <w:color w:val="0079BF"/>
        </w:rPr>
        <w:t>ISO14708-3 2017_5.5.1</w:t>
      </w:r>
      <w:r>
        <w:rPr>
          <w:color w:val="0079BF"/>
        </w:rPr>
        <w:t> </w:t>
      </w:r>
      <w:r>
        <w:rPr>
          <w:rFonts w:ascii="黑体" w:hAnsi="黑体" w:eastAsia="黑体"/>
          <w:color w:val="0079BF"/>
        </w:rPr>
        <w:t>可接受风险和剩余可接受风险的确定</w:t>
      </w:r>
    </w:p>
    <w:p w14:paraId="14561C58">
      <w:pPr>
        <w:ind w:firstLine="0" w:firstLineChars="0"/>
        <w:rPr>
          <w:color w:val="0079BF"/>
        </w:rPr>
      </w:pPr>
      <w:r>
        <w:rPr>
          <w:color w:val="0079BF"/>
        </w:rPr>
        <w:t>制造商应按照国际标准化组织14971（YY/T0316-2016的要求，定义并记录确定可接受风险和剩余风险可接受性的政策。</w:t>
      </w:r>
    </w:p>
    <w:p w14:paraId="468A1AE9">
      <w:pPr>
        <w:ind w:firstLine="0" w:firstLineChars="0"/>
        <w:rPr>
          <w:color w:val="0079BF"/>
        </w:rPr>
      </w:pPr>
    </w:p>
    <w:p w14:paraId="3B37264D">
      <w:pPr>
        <w:pStyle w:val="5"/>
        <w:rPr>
          <w:color w:val="0079BF"/>
        </w:rPr>
      </w:pPr>
      <w:r>
        <w:rPr>
          <w:rFonts w:ascii="Arial" w:hAnsi="Arial" w:cs="Arial"/>
          <w:color w:val="0079BF"/>
        </w:rPr>
        <w:t>ISO14708-3 2017_5.5.2 </w:t>
      </w:r>
      <w:r>
        <w:rPr>
          <w:rFonts w:ascii="黑体" w:hAnsi="黑体" w:eastAsia="黑体"/>
          <w:color w:val="0079BF"/>
        </w:rPr>
        <w:t xml:space="preserve">风险管理文件:  </w:t>
      </w:r>
      <w:r>
        <w:rPr>
          <w:color w:val="0079BF"/>
        </w:rPr>
        <w:t xml:space="preserve"> </w:t>
      </w:r>
    </w:p>
    <w:p w14:paraId="4DC520A7">
      <w:pPr>
        <w:ind w:firstLine="0" w:firstLineChars="0"/>
        <w:rPr>
          <w:color w:val="0079BF"/>
        </w:rPr>
      </w:pPr>
      <w:r>
        <w:rPr>
          <w:color w:val="0079BF"/>
        </w:rPr>
        <w:t>制造商应建立和维护符合ISO-14971（YY/T 0316-2016）要求的风险管理文件。</w:t>
      </w:r>
    </w:p>
    <w:p w14:paraId="1E8287DA">
      <w:pPr>
        <w:ind w:firstLine="0" w:firstLineChars="0"/>
        <w:rPr>
          <w:color w:val="0079BF"/>
        </w:rPr>
      </w:pPr>
    </w:p>
    <w:p w14:paraId="10A2803A">
      <w:pPr>
        <w:pStyle w:val="5"/>
        <w:rPr>
          <w:color w:val="0079BF"/>
        </w:rPr>
      </w:pPr>
      <w:r>
        <w:rPr>
          <w:rFonts w:ascii="Arial" w:hAnsi="Arial" w:cs="Arial"/>
          <w:color w:val="0079BF"/>
        </w:rPr>
        <w:t>ISO14708-3 2017_5.5.3 </w:t>
      </w:r>
      <w:r>
        <w:rPr>
          <w:rFonts w:ascii="黑体" w:hAnsi="黑体" w:eastAsia="黑体"/>
          <w:color w:val="0079BF"/>
        </w:rPr>
        <w:t>风险管理计划:</w:t>
      </w:r>
    </w:p>
    <w:p w14:paraId="451DF63B">
      <w:pPr>
        <w:ind w:firstLine="0" w:firstLineChars="0"/>
        <w:rPr>
          <w:color w:val="0079BF"/>
        </w:rPr>
      </w:pPr>
      <w:r>
        <w:rPr>
          <w:color w:val="0079BF"/>
        </w:rPr>
        <w:t>制造商应制定和维护符合iso 14971：2007(YY/T0316-2016）相关要求的风险管理计划</w:t>
      </w:r>
      <w:r>
        <w:rPr>
          <w:rFonts w:hint="eastAsia"/>
          <w:color w:val="0079BF"/>
        </w:rPr>
        <w:t>。</w:t>
      </w:r>
    </w:p>
    <w:p w14:paraId="0D0FE323">
      <w:pPr>
        <w:wordWrap w:val="0"/>
        <w:spacing w:line="360" w:lineRule="auto"/>
        <w:ind w:left="0" w:leftChars="0" w:firstLine="0" w:firstLineChars="0"/>
        <w:rPr>
          <w:rFonts w:hint="eastAsia"/>
          <w:szCs w:val="21"/>
        </w:rPr>
      </w:pPr>
    </w:p>
    <w:sectPr>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41EB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67D000F5">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68B385F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15CDB9EC">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309A6200">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472FD3DD">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71A05D0F">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65B1B2F">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1F2B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24850AFE">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4E0038CA">
          <w:pPr>
            <w:keepNext w:val="0"/>
            <w:keepLines w:val="0"/>
            <w:suppressLineNumbers w:val="0"/>
            <w:spacing w:before="0" w:beforeAutospacing="0" w:after="0" w:afterAutospacing="0"/>
            <w:ind w:left="0" w:right="0"/>
            <w:jc w:val="center"/>
            <w:rPr>
              <w:rFonts w:hint="default"/>
              <w:sz w:val="28"/>
              <w:szCs w:val="28"/>
              <w:lang w:val="en-US"/>
            </w:rPr>
          </w:pPr>
          <w:r>
            <w:rPr>
              <w:rFonts w:hint="eastAsia" w:ascii="宋体" w:hAnsi="宋体" w:cs="宋体"/>
              <w:b/>
              <w:sz w:val="28"/>
              <w:szCs w:val="28"/>
              <w:lang w:val="en-US" w:eastAsia="zh-CN"/>
            </w:rPr>
            <w:t>法规需求</w:t>
          </w:r>
        </w:p>
      </w:tc>
      <w:tc>
        <w:tcPr>
          <w:tcW w:w="1417" w:type="dxa"/>
          <w:vAlign w:val="center"/>
        </w:tcPr>
        <w:p w14:paraId="7E4CA241">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0ABE093F">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2</w:t>
          </w:r>
          <w:r>
            <w:rPr>
              <w:rFonts w:hint="eastAsia"/>
              <w:sz w:val="21"/>
              <w:szCs w:val="21"/>
            </w:rPr>
            <w:t>0</w:t>
          </w:r>
          <w:r>
            <w:rPr>
              <w:rFonts w:hint="eastAsia"/>
              <w:sz w:val="21"/>
              <w:szCs w:val="21"/>
              <w:lang w:val="en-US" w:eastAsia="zh-CN"/>
            </w:rPr>
            <w:t>X3</w:t>
          </w:r>
        </w:p>
      </w:tc>
    </w:tr>
    <w:tr w14:paraId="3398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6AF968E3">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200F8648">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06E1E892">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4F56DB89">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726C35B6">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CBB33">
    <w:pPr>
      <w:pStyle w:val="15"/>
    </w:pPr>
  </w:p>
  <w:p w14:paraId="455D380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doNotCompress"/>
  <w:compat>
    <w:balanceSingleByteDoubleByteWidth/>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7B57D9"/>
    <w:rsid w:val="0334789D"/>
    <w:rsid w:val="0B7F73A1"/>
    <w:rsid w:val="0CE33FBB"/>
    <w:rsid w:val="0F7FD01B"/>
    <w:rsid w:val="116F1852"/>
    <w:rsid w:val="1E7DDD8D"/>
    <w:rsid w:val="1FEF31D1"/>
    <w:rsid w:val="2BDE3F9A"/>
    <w:rsid w:val="2C7A1122"/>
    <w:rsid w:val="2FFF3020"/>
    <w:rsid w:val="3010152E"/>
    <w:rsid w:val="30A43A04"/>
    <w:rsid w:val="342C61EA"/>
    <w:rsid w:val="36F61454"/>
    <w:rsid w:val="37DD3CC5"/>
    <w:rsid w:val="3B7B5A2D"/>
    <w:rsid w:val="3D7F55DD"/>
    <w:rsid w:val="3F7F40FC"/>
    <w:rsid w:val="3FF786F5"/>
    <w:rsid w:val="3FFE7CC7"/>
    <w:rsid w:val="4118120E"/>
    <w:rsid w:val="445D419E"/>
    <w:rsid w:val="4D7752CE"/>
    <w:rsid w:val="4FFD7496"/>
    <w:rsid w:val="53EDEF4C"/>
    <w:rsid w:val="573B7247"/>
    <w:rsid w:val="57C245EC"/>
    <w:rsid w:val="5B966EC4"/>
    <w:rsid w:val="5BBC2845"/>
    <w:rsid w:val="5FF75E37"/>
    <w:rsid w:val="6501330D"/>
    <w:rsid w:val="6DBEEE08"/>
    <w:rsid w:val="6FEBE292"/>
    <w:rsid w:val="71B75A5B"/>
    <w:rsid w:val="71EDDD5C"/>
    <w:rsid w:val="764240E2"/>
    <w:rsid w:val="7AEEF96C"/>
    <w:rsid w:val="7B7E72C5"/>
    <w:rsid w:val="7BDF90D9"/>
    <w:rsid w:val="7BF56C2E"/>
    <w:rsid w:val="7CEFE15A"/>
    <w:rsid w:val="7D2C4132"/>
    <w:rsid w:val="7D6E9FCB"/>
    <w:rsid w:val="7DF4246F"/>
    <w:rsid w:val="7F3E5D0B"/>
    <w:rsid w:val="7F5D138A"/>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4</Pages>
  <Words>621</Words>
  <Characters>1052</Characters>
  <Lines>547</Lines>
  <Paragraphs>559</Paragraphs>
  <TotalTime>1</TotalTime>
  <ScaleCrop>false</ScaleCrop>
  <LinksUpToDate>false</LinksUpToDate>
  <CharactersWithSpaces>1103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2026-03-23T05:41:02Z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