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1383">
      <w:pPr>
        <w:rPr>
          <w:rFonts w:hint="eastAsia" w:ascii="宋体" w:hAnsi="宋体"/>
        </w:rPr>
      </w:pPr>
    </w:p>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p>
    <w:p w14:paraId="62142633">
      <w:pPr>
        <w:rPr>
          <w:rFonts w:hint="eastAsia" w:ascii="宋体" w:hAnsi="宋体"/>
        </w:rPr>
      </w:pPr>
    </w:p>
    <w:p w14:paraId="47C6285B">
      <w:pPr>
        <w:jc w:val="center"/>
        <w:rPr>
          <w:rFonts w:hint="default" w:ascii="黑体" w:hAnsi="黑体" w:eastAsia="黑体" w:cs="宋体"/>
          <w:b/>
          <w:color w:val="000000" w:themeColor="text1"/>
          <w:sz w:val="52"/>
          <w:szCs w:val="52"/>
          <w:lang w:val="en-US" w:eastAsia="zh-CN"/>
          <w14:textFill>
            <w14:solidFill>
              <w14:schemeClr w14:val="tx1"/>
            </w14:solidFill>
          </w14:textFill>
        </w:rPr>
      </w:pPr>
      <w:r>
        <w:rPr>
          <w:rFonts w:hint="eastAsia" w:ascii="黑体" w:hAnsi="黑体" w:eastAsia="黑体" w:cs="宋体"/>
          <w:b/>
          <w:color w:val="0000FF"/>
          <w:sz w:val="52"/>
          <w:szCs w:val="52"/>
          <w:lang w:val="en-US" w:eastAsia="zh-CN"/>
        </w:rPr>
        <w:t>产品名</w:t>
      </w:r>
      <w:r>
        <w:rPr>
          <w:rFonts w:hint="eastAsia" w:ascii="黑体" w:hAnsi="黑体" w:eastAsia="黑体" w:cs="宋体"/>
          <w:b/>
          <w:color w:val="000000" w:themeColor="text1"/>
          <w:sz w:val="52"/>
          <w:szCs w:val="52"/>
          <w:lang w:val="en-US" w:eastAsia="zh-CN"/>
          <w14:textFill>
            <w14:solidFill>
              <w14:schemeClr w14:val="tx1"/>
            </w14:solidFill>
          </w14:textFill>
        </w:rPr>
        <w:t>可用性使用规范</w:t>
      </w:r>
    </w:p>
    <w:p w14:paraId="0D04B36D">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20X4</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1B18176D">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_Toc10214 </w:instrText>
      </w:r>
      <w:r>
        <w:rPr>
          <w:rFonts w:hint="eastAsia" w:asciiTheme="minorEastAsia" w:hAnsiTheme="minorEastAsia" w:eastAsiaTheme="minorEastAsia"/>
        </w:rPr>
        <w:fldChar w:fldCharType="separate"/>
      </w:r>
      <w:r>
        <w:rPr>
          <w:rFonts w:hint="eastAsia" w:ascii="宋体" w:hAnsi="宋体"/>
          <w:szCs w:val="32"/>
          <w:lang w:val="en-US" w:eastAsia="zh-CN"/>
        </w:rPr>
        <w:t>1 简介</w:t>
      </w:r>
      <w:r>
        <w:tab/>
      </w:r>
      <w:r>
        <w:fldChar w:fldCharType="begin"/>
      </w:r>
      <w:r>
        <w:instrText xml:space="preserve"> PAGEREF _Toc10214 \h </w:instrText>
      </w:r>
      <w:r>
        <w:fldChar w:fldCharType="separate"/>
      </w:r>
      <w:r>
        <w:t>4</w:t>
      </w:r>
      <w:r>
        <w:fldChar w:fldCharType="end"/>
      </w:r>
      <w:r>
        <w:rPr>
          <w:rFonts w:hint="eastAsia" w:asciiTheme="minorEastAsia" w:hAnsiTheme="minorEastAsia" w:eastAsiaTheme="minorEastAsia"/>
        </w:rPr>
        <w:fldChar w:fldCharType="end"/>
      </w:r>
    </w:p>
    <w:p w14:paraId="48BCA433">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_Toc20260 </w:instrText>
      </w:r>
      <w:r>
        <w:rPr>
          <w:rFonts w:hint="eastAsia" w:asciiTheme="minorEastAsia" w:hAnsiTheme="minorEastAsia" w:eastAsiaTheme="minorEastAsia"/>
        </w:rPr>
        <w:fldChar w:fldCharType="separate"/>
      </w:r>
      <w:r>
        <w:rPr>
          <w:rFonts w:ascii="宋体" w:hAnsi="宋体" w:cstheme="minorBidi"/>
          <w:kern w:val="2"/>
          <w:szCs w:val="28"/>
          <w:lang w:eastAsia="zh-CN"/>
        </w:rPr>
        <w:t xml:space="preserve">1.1 </w:t>
      </w:r>
      <w:r>
        <w:rPr>
          <w:rFonts w:hint="eastAsia" w:ascii="宋体" w:hAnsi="宋体" w:cstheme="minorBidi"/>
          <w:kern w:val="2"/>
          <w:szCs w:val="28"/>
          <w:lang w:eastAsia="zh-CN"/>
        </w:rPr>
        <w:t>目的</w:t>
      </w:r>
      <w:r>
        <w:tab/>
      </w:r>
      <w:r>
        <w:fldChar w:fldCharType="begin"/>
      </w:r>
      <w:r>
        <w:instrText xml:space="preserve"> PAGEREF _Toc20260 \h </w:instrText>
      </w:r>
      <w:r>
        <w:fldChar w:fldCharType="separate"/>
      </w:r>
      <w:r>
        <w:t>4</w:t>
      </w:r>
      <w:r>
        <w:fldChar w:fldCharType="end"/>
      </w:r>
      <w:r>
        <w:rPr>
          <w:rFonts w:hint="eastAsia" w:asciiTheme="minorEastAsia" w:hAnsiTheme="minorEastAsia" w:eastAsiaTheme="minorEastAsia"/>
        </w:rPr>
        <w:fldChar w:fldCharType="end"/>
      </w:r>
    </w:p>
    <w:p w14:paraId="783A86D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_Toc30903 </w:instrText>
      </w:r>
      <w:r>
        <w:rPr>
          <w:rFonts w:hint="eastAsia" w:asciiTheme="minorEastAsia" w:hAnsiTheme="minorEastAsia" w:eastAsiaTheme="minorEastAsia"/>
        </w:rPr>
        <w:fldChar w:fldCharType="separate"/>
      </w:r>
      <w:r>
        <w:rPr>
          <w:rFonts w:hint="eastAsia" w:ascii="宋体" w:hAnsi="宋体" w:cstheme="minorBidi"/>
          <w:kern w:val="2"/>
          <w:szCs w:val="28"/>
          <w:lang w:eastAsia="zh-CN"/>
        </w:rPr>
        <w:t>1.2 范围</w:t>
      </w:r>
      <w:r>
        <w:tab/>
      </w:r>
      <w:r>
        <w:fldChar w:fldCharType="begin"/>
      </w:r>
      <w:r>
        <w:instrText xml:space="preserve"> PAGEREF _Toc30903 \h </w:instrText>
      </w:r>
      <w:r>
        <w:fldChar w:fldCharType="separate"/>
      </w:r>
      <w:r>
        <w:t>4</w:t>
      </w:r>
      <w:r>
        <w:fldChar w:fldCharType="end"/>
      </w:r>
      <w:r>
        <w:rPr>
          <w:rFonts w:hint="eastAsia" w:asciiTheme="minorEastAsia" w:hAnsiTheme="minorEastAsia" w:eastAsiaTheme="minorEastAsia"/>
        </w:rPr>
        <w:fldChar w:fldCharType="end"/>
      </w:r>
    </w:p>
    <w:p w14:paraId="6ADD51B7">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_Toc6603 </w:instrText>
      </w:r>
      <w:r>
        <w:rPr>
          <w:rFonts w:hint="eastAsia" w:asciiTheme="minorEastAsia" w:hAnsiTheme="minorEastAsia" w:eastAsiaTheme="minorEastAsia"/>
        </w:rPr>
        <w:fldChar w:fldCharType="separate"/>
      </w:r>
      <w:r>
        <w:rPr>
          <w:rFonts w:hint="eastAsia" w:ascii="宋体" w:hAnsi="宋体" w:cstheme="minorBidi"/>
          <w:kern w:val="2"/>
          <w:szCs w:val="28"/>
          <w:lang w:eastAsia="zh-CN"/>
        </w:rPr>
        <w:t>1.3 名词定义与缩略语</w:t>
      </w:r>
      <w:r>
        <w:tab/>
      </w:r>
      <w:r>
        <w:fldChar w:fldCharType="begin"/>
      </w:r>
      <w:r>
        <w:instrText xml:space="preserve"> PAGEREF _Toc6603 \h </w:instrText>
      </w:r>
      <w:r>
        <w:fldChar w:fldCharType="separate"/>
      </w:r>
      <w:r>
        <w:t>4</w:t>
      </w:r>
      <w:r>
        <w:fldChar w:fldCharType="end"/>
      </w:r>
      <w:r>
        <w:rPr>
          <w:rFonts w:hint="eastAsia" w:asciiTheme="minorEastAsia" w:hAnsiTheme="minorEastAsia" w:eastAsiaTheme="minorEastAsia"/>
        </w:rPr>
        <w:fldChar w:fldCharType="end"/>
      </w:r>
    </w:p>
    <w:p w14:paraId="75EB21AB">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_Toc10774 </w:instrText>
      </w:r>
      <w:r>
        <w:rPr>
          <w:rFonts w:hint="eastAsia" w:asciiTheme="minorEastAsia" w:hAnsiTheme="minorEastAsia" w:eastAsiaTheme="minorEastAsia"/>
        </w:rPr>
        <w:fldChar w:fldCharType="separate"/>
      </w:r>
      <w:r>
        <w:rPr>
          <w:szCs w:val="24"/>
        </w:rPr>
        <w:t>1.3.1 定义</w:t>
      </w:r>
      <w:r>
        <w:tab/>
      </w:r>
      <w:r>
        <w:fldChar w:fldCharType="begin"/>
      </w:r>
      <w:r>
        <w:instrText xml:space="preserve"> PAGEREF _Toc10774 \h </w:instrText>
      </w:r>
      <w:r>
        <w:fldChar w:fldCharType="separate"/>
      </w:r>
      <w:r>
        <w:t>4</w:t>
      </w:r>
      <w:r>
        <w:fldChar w:fldCharType="end"/>
      </w:r>
      <w:r>
        <w:rPr>
          <w:rFonts w:hint="eastAsia" w:asciiTheme="minorEastAsia" w:hAnsiTheme="minorEastAsia" w:eastAsiaTheme="minorEastAsia"/>
        </w:rPr>
        <w:fldChar w:fldCharType="end"/>
      </w:r>
    </w:p>
    <w:p w14:paraId="0C2ED579">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_Toc30679 </w:instrText>
      </w:r>
      <w:r>
        <w:rPr>
          <w:rFonts w:hint="eastAsia" w:asciiTheme="minorEastAsia" w:hAnsiTheme="minorEastAsia" w:eastAsiaTheme="minorEastAsia"/>
        </w:rPr>
        <w:fldChar w:fldCharType="separate"/>
      </w:r>
      <w:r>
        <w:rPr>
          <w:szCs w:val="24"/>
        </w:rPr>
        <w:t xml:space="preserve">1.3.2 </w:t>
      </w:r>
      <w:r>
        <w:rPr>
          <w:rFonts w:hint="eastAsia"/>
          <w:szCs w:val="24"/>
        </w:rPr>
        <w:t>缩略语</w:t>
      </w:r>
      <w:r>
        <w:tab/>
      </w:r>
      <w:r>
        <w:fldChar w:fldCharType="begin"/>
      </w:r>
      <w:r>
        <w:instrText xml:space="preserve"> PAGEREF _Toc30679 \h </w:instrText>
      </w:r>
      <w:r>
        <w:fldChar w:fldCharType="separate"/>
      </w:r>
      <w:r>
        <w:t>4</w:t>
      </w:r>
      <w:r>
        <w:fldChar w:fldCharType="end"/>
      </w:r>
      <w:r>
        <w:rPr>
          <w:rFonts w:hint="eastAsia" w:asciiTheme="minorEastAsia" w:hAnsiTheme="minorEastAsia" w:eastAsiaTheme="minorEastAsia"/>
        </w:rPr>
        <w:fldChar w:fldCharType="end"/>
      </w:r>
    </w:p>
    <w:p w14:paraId="16AC8AE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_Toc18205 </w:instrText>
      </w:r>
      <w:r>
        <w:rPr>
          <w:rFonts w:hint="eastAsia" w:asciiTheme="minorEastAsia" w:hAnsiTheme="minorEastAsia" w:eastAsiaTheme="minorEastAsia"/>
        </w:rPr>
        <w:fldChar w:fldCharType="separate"/>
      </w:r>
      <w:r>
        <w:rPr>
          <w:rFonts w:hint="eastAsia" w:ascii="宋体" w:hAnsi="宋体" w:cstheme="minorBidi"/>
          <w:kern w:val="2"/>
          <w:szCs w:val="28"/>
          <w:lang w:eastAsia="zh-CN"/>
        </w:rPr>
        <w:t>1.4 参考文件</w:t>
      </w:r>
      <w:r>
        <w:tab/>
      </w:r>
      <w:r>
        <w:fldChar w:fldCharType="begin"/>
      </w:r>
      <w:r>
        <w:instrText xml:space="preserve"> PAGEREF _Toc18205 \h </w:instrText>
      </w:r>
      <w:r>
        <w:fldChar w:fldCharType="separate"/>
      </w:r>
      <w:r>
        <w:t>4</w:t>
      </w:r>
      <w:r>
        <w:fldChar w:fldCharType="end"/>
      </w:r>
      <w:r>
        <w:rPr>
          <w:rFonts w:hint="eastAsia" w:asciiTheme="minorEastAsia" w:hAnsiTheme="minorEastAsia" w:eastAsiaTheme="minorEastAsia"/>
        </w:rPr>
        <w:fldChar w:fldCharType="end"/>
      </w:r>
    </w:p>
    <w:p w14:paraId="7B01E555">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_Toc21087 </w:instrText>
      </w:r>
      <w:r>
        <w:rPr>
          <w:rFonts w:hint="eastAsia" w:asciiTheme="minorEastAsia" w:hAnsiTheme="minorEastAsia" w:eastAsiaTheme="minorEastAsia"/>
        </w:rPr>
        <w:fldChar w:fldCharType="separate"/>
      </w:r>
      <w:r>
        <w:rPr>
          <w:rFonts w:hint="eastAsia" w:eastAsia="宋体" w:cs="Times New Roman"/>
          <w:lang w:val="en-US" w:eastAsia="zh-CN"/>
        </w:rPr>
        <w:t>2 产品简介</w:t>
      </w:r>
      <w:r>
        <w:tab/>
      </w:r>
      <w:r>
        <w:fldChar w:fldCharType="begin"/>
      </w:r>
      <w:r>
        <w:instrText xml:space="preserve"> PAGEREF _Toc21087 \h </w:instrText>
      </w:r>
      <w:r>
        <w:fldChar w:fldCharType="separate"/>
      </w:r>
      <w:r>
        <w:t>5</w:t>
      </w:r>
      <w:r>
        <w:fldChar w:fldCharType="end"/>
      </w:r>
      <w:r>
        <w:rPr>
          <w:rFonts w:hint="eastAsia" w:asciiTheme="minorEastAsia" w:hAnsiTheme="minorEastAsia" w:eastAsiaTheme="minorEastAsia"/>
        </w:rPr>
        <w:fldChar w:fldCharType="end"/>
      </w:r>
    </w:p>
    <w:p w14:paraId="22B975C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_Toc7497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2.1 预期的医疗适应症</w:t>
      </w:r>
      <w:r>
        <w:tab/>
      </w:r>
      <w:r>
        <w:fldChar w:fldCharType="begin"/>
      </w:r>
      <w:r>
        <w:instrText xml:space="preserve"> PAGEREF _Toc7497 \h </w:instrText>
      </w:r>
      <w:r>
        <w:fldChar w:fldCharType="separate"/>
      </w:r>
      <w:r>
        <w:t>5</w:t>
      </w:r>
      <w:r>
        <w:fldChar w:fldCharType="end"/>
      </w:r>
      <w:r>
        <w:rPr>
          <w:rFonts w:hint="eastAsia" w:asciiTheme="minorEastAsia" w:hAnsiTheme="minorEastAsia" w:eastAsiaTheme="minorEastAsia"/>
        </w:rPr>
        <w:fldChar w:fldCharType="end"/>
      </w:r>
    </w:p>
    <w:p w14:paraId="5CEBDEB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_Toc11945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2.2 预期患者群体</w:t>
      </w:r>
      <w:r>
        <w:tab/>
      </w:r>
      <w:r>
        <w:fldChar w:fldCharType="begin"/>
      </w:r>
      <w:r>
        <w:instrText xml:space="preserve"> PAGEREF _Toc11945 \h </w:instrText>
      </w:r>
      <w:r>
        <w:fldChar w:fldCharType="separate"/>
      </w:r>
      <w:r>
        <w:t>5</w:t>
      </w:r>
      <w:r>
        <w:fldChar w:fldCharType="end"/>
      </w:r>
      <w:r>
        <w:rPr>
          <w:rFonts w:hint="eastAsia" w:asciiTheme="minorEastAsia" w:hAnsiTheme="minorEastAsia" w:eastAsiaTheme="minorEastAsia"/>
        </w:rPr>
        <w:fldChar w:fldCharType="end"/>
      </w:r>
    </w:p>
    <w:p w14:paraId="08D557F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_Toc15260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2.3 所应用的或与之交互的预期的身体部分或组织类型</w:t>
      </w:r>
      <w:r>
        <w:tab/>
      </w:r>
      <w:r>
        <w:fldChar w:fldCharType="begin"/>
      </w:r>
      <w:r>
        <w:instrText xml:space="preserve"> PAGEREF _Toc15260 \h </w:instrText>
      </w:r>
      <w:r>
        <w:fldChar w:fldCharType="separate"/>
      </w:r>
      <w:r>
        <w:t>6</w:t>
      </w:r>
      <w:r>
        <w:fldChar w:fldCharType="end"/>
      </w:r>
      <w:r>
        <w:rPr>
          <w:rFonts w:hint="eastAsia" w:asciiTheme="minorEastAsia" w:hAnsiTheme="minorEastAsia" w:eastAsiaTheme="minorEastAsia"/>
        </w:rPr>
        <w:fldChar w:fldCharType="end"/>
      </w:r>
    </w:p>
    <w:p w14:paraId="3CB1EA53">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_Toc19259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2.4 用户特征</w:t>
      </w:r>
      <w:r>
        <w:tab/>
      </w:r>
      <w:r>
        <w:fldChar w:fldCharType="begin"/>
      </w:r>
      <w:r>
        <w:instrText xml:space="preserve"> PAGEREF _Toc19259 \h </w:instrText>
      </w:r>
      <w:r>
        <w:fldChar w:fldCharType="separate"/>
      </w:r>
      <w:r>
        <w:t>6</w:t>
      </w:r>
      <w:r>
        <w:fldChar w:fldCharType="end"/>
      </w:r>
      <w:r>
        <w:rPr>
          <w:rFonts w:hint="eastAsia" w:asciiTheme="minorEastAsia" w:hAnsiTheme="minorEastAsia" w:eastAsiaTheme="minorEastAsia"/>
        </w:rPr>
        <w:fldChar w:fldCharType="end"/>
      </w:r>
    </w:p>
    <w:p w14:paraId="6C224C62">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_Toc19430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2.5 预期的使用环境</w:t>
      </w:r>
      <w:r>
        <w:tab/>
      </w:r>
      <w:r>
        <w:fldChar w:fldCharType="begin"/>
      </w:r>
      <w:r>
        <w:instrText xml:space="preserve"> PAGEREF _Toc19430 \h </w:instrText>
      </w:r>
      <w:r>
        <w:fldChar w:fldCharType="separate"/>
      </w:r>
      <w:r>
        <w:t>8</w:t>
      </w:r>
      <w:r>
        <w:fldChar w:fldCharType="end"/>
      </w:r>
      <w:r>
        <w:rPr>
          <w:rFonts w:hint="eastAsia" w:asciiTheme="minorEastAsia" w:hAnsiTheme="minorEastAsia" w:eastAsiaTheme="minorEastAsia"/>
        </w:rPr>
        <w:fldChar w:fldCharType="end"/>
      </w:r>
    </w:p>
    <w:p w14:paraId="3E83FE8E">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_Toc639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2.6 操作原理及工作机理</w:t>
      </w:r>
      <w:r>
        <w:tab/>
      </w:r>
      <w:r>
        <w:fldChar w:fldCharType="begin"/>
      </w:r>
      <w:r>
        <w:instrText xml:space="preserve"> PAGEREF _Toc639 \h </w:instrText>
      </w:r>
      <w:r>
        <w:fldChar w:fldCharType="separate"/>
      </w:r>
      <w:r>
        <w:t>10</w:t>
      </w:r>
      <w:r>
        <w:fldChar w:fldCharType="end"/>
      </w:r>
      <w:r>
        <w:rPr>
          <w:rFonts w:hint="eastAsia" w:asciiTheme="minorEastAsia" w:hAnsiTheme="minorEastAsia" w:eastAsiaTheme="minorEastAsia"/>
        </w:rPr>
        <w:fldChar w:fldCharType="end"/>
      </w:r>
    </w:p>
    <w:p w14:paraId="1D5B3F5B">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_Toc8027 </w:instrText>
      </w:r>
      <w:r>
        <w:rPr>
          <w:rFonts w:hint="eastAsia" w:asciiTheme="minorEastAsia" w:hAnsiTheme="minorEastAsia" w:eastAsiaTheme="minorEastAsia"/>
        </w:rPr>
        <w:fldChar w:fldCharType="separate"/>
      </w:r>
      <w:r>
        <w:rPr>
          <w:rFonts w:hint="eastAsia"/>
          <w:bCs w:val="0"/>
          <w:lang w:val="en-US" w:eastAsia="zh-CN"/>
        </w:rPr>
        <w:t>2.6.1 操作原理</w:t>
      </w:r>
      <w:r>
        <w:tab/>
      </w:r>
      <w:r>
        <w:fldChar w:fldCharType="begin"/>
      </w:r>
      <w:r>
        <w:instrText xml:space="preserve"> PAGEREF _Toc8027 \h </w:instrText>
      </w:r>
      <w:r>
        <w:fldChar w:fldCharType="separate"/>
      </w:r>
      <w:r>
        <w:t>10</w:t>
      </w:r>
      <w:r>
        <w:fldChar w:fldCharType="end"/>
      </w:r>
      <w:r>
        <w:rPr>
          <w:rFonts w:hint="eastAsia" w:asciiTheme="minorEastAsia" w:hAnsiTheme="minorEastAsia" w:eastAsiaTheme="minorEastAsia"/>
        </w:rPr>
        <w:fldChar w:fldCharType="end"/>
      </w:r>
    </w:p>
    <w:p w14:paraId="69335583">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_Toc1917 </w:instrText>
      </w:r>
      <w:r>
        <w:rPr>
          <w:rFonts w:hint="eastAsia" w:asciiTheme="minorEastAsia" w:hAnsiTheme="minorEastAsia" w:eastAsiaTheme="minorEastAsia"/>
        </w:rPr>
        <w:fldChar w:fldCharType="separate"/>
      </w:r>
      <w:r>
        <w:rPr>
          <w:rFonts w:hint="eastAsia" w:eastAsia="宋体"/>
          <w:bCs w:val="0"/>
          <w:lang w:val="en-US" w:eastAsia="zh-CN"/>
        </w:rPr>
        <w:t>2.6.2 产品原理</w:t>
      </w:r>
      <w:r>
        <w:tab/>
      </w:r>
      <w:r>
        <w:fldChar w:fldCharType="begin"/>
      </w:r>
      <w:r>
        <w:instrText xml:space="preserve"> PAGEREF _Toc1917 \h </w:instrText>
      </w:r>
      <w:r>
        <w:fldChar w:fldCharType="separate"/>
      </w:r>
      <w:r>
        <w:t>10</w:t>
      </w:r>
      <w:r>
        <w:fldChar w:fldCharType="end"/>
      </w:r>
      <w:r>
        <w:rPr>
          <w:rFonts w:hint="eastAsia" w:asciiTheme="minorEastAsia" w:hAnsiTheme="minorEastAsia" w:eastAsiaTheme="minorEastAsia"/>
        </w:rPr>
        <w:fldChar w:fldCharType="end"/>
      </w:r>
    </w:p>
    <w:p w14:paraId="151B01B3">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_Toc20708 </w:instrText>
      </w:r>
      <w:r>
        <w:rPr>
          <w:rFonts w:hint="eastAsia" w:asciiTheme="minorEastAsia" w:hAnsiTheme="minorEastAsia" w:eastAsiaTheme="minorEastAsia"/>
        </w:rPr>
        <w:fldChar w:fldCharType="separate"/>
      </w:r>
      <w:r>
        <w:rPr>
          <w:rFonts w:hint="eastAsia" w:eastAsia="宋体" w:cs="Times New Roman"/>
          <w:lang w:val="en-US" w:eastAsia="zh-CN"/>
        </w:rPr>
        <w:t>3 人机交互方式</w:t>
      </w:r>
      <w:r>
        <w:tab/>
      </w:r>
      <w:r>
        <w:fldChar w:fldCharType="begin"/>
      </w:r>
      <w:r>
        <w:instrText xml:space="preserve"> PAGEREF _Toc20708 \h </w:instrText>
      </w:r>
      <w:r>
        <w:fldChar w:fldCharType="separate"/>
      </w:r>
      <w:r>
        <w:t>10</w:t>
      </w:r>
      <w:r>
        <w:fldChar w:fldCharType="end"/>
      </w:r>
      <w:r>
        <w:rPr>
          <w:rFonts w:hint="eastAsia" w:asciiTheme="minorEastAsia" w:hAnsiTheme="minorEastAsia" w:eastAsiaTheme="minorEastAsia"/>
        </w:rPr>
        <w:fldChar w:fldCharType="end"/>
      </w:r>
    </w:p>
    <w:p w14:paraId="156A215F">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_Toc30075 </w:instrText>
      </w:r>
      <w:r>
        <w:rPr>
          <w:rFonts w:hint="eastAsia" w:asciiTheme="minorEastAsia" w:hAnsiTheme="minorEastAsia" w:eastAsiaTheme="minorEastAsia"/>
        </w:rPr>
        <w:fldChar w:fldCharType="separate"/>
      </w:r>
      <w:r>
        <w:rPr>
          <w:rFonts w:hint="eastAsia" w:eastAsia="宋体"/>
          <w:bCs w:val="0"/>
          <w:lang w:val="en-US" w:eastAsia="zh-CN"/>
        </w:rPr>
        <w:t>3.1.1 人机交互方式总览</w:t>
      </w:r>
      <w:r>
        <w:tab/>
      </w:r>
      <w:r>
        <w:fldChar w:fldCharType="begin"/>
      </w:r>
      <w:r>
        <w:instrText xml:space="preserve"> PAGEREF _Toc30075 \h </w:instrText>
      </w:r>
      <w:r>
        <w:fldChar w:fldCharType="separate"/>
      </w:r>
      <w:r>
        <w:t>10</w:t>
      </w:r>
      <w:r>
        <w:fldChar w:fldCharType="end"/>
      </w:r>
      <w:r>
        <w:rPr>
          <w:rFonts w:hint="eastAsia" w:asciiTheme="minorEastAsia" w:hAnsiTheme="minorEastAsia" w:eastAsiaTheme="minorEastAsia"/>
        </w:rPr>
        <w:fldChar w:fldCharType="end"/>
      </w:r>
    </w:p>
    <w:p w14:paraId="56594847">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_Toc12992 </w:instrText>
      </w:r>
      <w:r>
        <w:rPr>
          <w:rFonts w:hint="eastAsia" w:asciiTheme="minorEastAsia" w:hAnsiTheme="minorEastAsia" w:eastAsiaTheme="minorEastAsia"/>
        </w:rPr>
        <w:fldChar w:fldCharType="separate"/>
      </w:r>
      <w:r>
        <w:rPr>
          <w:rFonts w:hint="eastAsia" w:eastAsia="宋体"/>
          <w:bCs w:val="0"/>
          <w:lang w:val="en-US" w:eastAsia="zh-CN"/>
        </w:rPr>
        <w:t xml:space="preserve">3.1.2 </w:t>
      </w:r>
      <w:r>
        <w:rPr>
          <w:rFonts w:hint="default" w:eastAsia="宋体"/>
          <w:bCs w:val="0"/>
          <w:lang w:val="en-US" w:eastAsia="zh-CN"/>
        </w:rPr>
        <w:t>物理交互</w:t>
      </w:r>
      <w:r>
        <w:rPr>
          <w:rFonts w:hint="eastAsia" w:eastAsia="宋体"/>
          <w:bCs w:val="0"/>
          <w:lang w:val="en-US" w:eastAsia="zh-CN"/>
        </w:rPr>
        <w:t>方式</w:t>
      </w:r>
      <w:r>
        <w:tab/>
      </w:r>
      <w:r>
        <w:fldChar w:fldCharType="begin"/>
      </w:r>
      <w:r>
        <w:instrText xml:space="preserve"> PAGEREF _Toc12992 \h </w:instrText>
      </w:r>
      <w:r>
        <w:fldChar w:fldCharType="separate"/>
      </w:r>
      <w:r>
        <w:t>11</w:t>
      </w:r>
      <w:r>
        <w:fldChar w:fldCharType="end"/>
      </w:r>
      <w:r>
        <w:rPr>
          <w:rFonts w:hint="eastAsia" w:asciiTheme="minorEastAsia" w:hAnsiTheme="minorEastAsia" w:eastAsiaTheme="minorEastAsia"/>
        </w:rPr>
        <w:fldChar w:fldCharType="end"/>
      </w:r>
    </w:p>
    <w:p w14:paraId="5E14166D">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_Toc12674 </w:instrText>
      </w:r>
      <w:r>
        <w:rPr>
          <w:rFonts w:hint="eastAsia" w:asciiTheme="minorEastAsia" w:hAnsiTheme="minorEastAsia" w:eastAsiaTheme="minorEastAsia"/>
        </w:rPr>
        <w:fldChar w:fldCharType="separate"/>
      </w:r>
      <w:r>
        <w:rPr>
          <w:rFonts w:hint="default" w:eastAsia="宋体"/>
          <w:bCs w:val="0"/>
          <w:lang w:val="en-US" w:eastAsia="zh-CN"/>
        </w:rPr>
        <w:t>3.1.3 软件交互方式</w:t>
      </w:r>
      <w:r>
        <w:tab/>
      </w:r>
      <w:r>
        <w:fldChar w:fldCharType="begin"/>
      </w:r>
      <w:r>
        <w:instrText xml:space="preserve"> PAGEREF _Toc12674 \h </w:instrText>
      </w:r>
      <w:r>
        <w:fldChar w:fldCharType="separate"/>
      </w:r>
      <w:r>
        <w:t>11</w:t>
      </w:r>
      <w:r>
        <w:fldChar w:fldCharType="end"/>
      </w:r>
      <w:r>
        <w:rPr>
          <w:rFonts w:hint="eastAsia" w:asciiTheme="minorEastAsia" w:hAnsiTheme="minorEastAsia" w:eastAsiaTheme="minorEastAsia"/>
        </w:rPr>
        <w:fldChar w:fldCharType="end"/>
      </w:r>
    </w:p>
    <w:p w14:paraId="7796DEA2">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_Toc10871 </w:instrText>
      </w:r>
      <w:r>
        <w:rPr>
          <w:rFonts w:hint="eastAsia" w:asciiTheme="minorEastAsia" w:hAnsiTheme="minorEastAsia" w:eastAsiaTheme="minorEastAsia"/>
        </w:rPr>
        <w:fldChar w:fldCharType="separate"/>
      </w:r>
      <w:r>
        <w:rPr>
          <w:rFonts w:hint="default" w:eastAsia="宋体"/>
          <w:bCs w:val="0"/>
          <w:lang w:val="en-US" w:eastAsia="zh-CN"/>
        </w:rPr>
        <w:t>3.1.4 外观设计人因部分</w:t>
      </w:r>
      <w:r>
        <w:tab/>
      </w:r>
      <w:r>
        <w:fldChar w:fldCharType="begin"/>
      </w:r>
      <w:r>
        <w:instrText xml:space="preserve"> PAGEREF _Toc10871 \h </w:instrText>
      </w:r>
      <w:r>
        <w:fldChar w:fldCharType="separate"/>
      </w:r>
      <w:r>
        <w:t>12</w:t>
      </w:r>
      <w:r>
        <w:fldChar w:fldCharType="end"/>
      </w:r>
      <w:r>
        <w:rPr>
          <w:rFonts w:hint="eastAsia" w:asciiTheme="minorEastAsia" w:hAnsiTheme="minorEastAsia" w:eastAsiaTheme="minorEastAsia"/>
        </w:rPr>
        <w:fldChar w:fldCharType="end"/>
      </w:r>
    </w:p>
    <w:p w14:paraId="7D36438F">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_Toc21781 </w:instrText>
      </w:r>
      <w:r>
        <w:rPr>
          <w:rFonts w:hint="eastAsia" w:asciiTheme="minorEastAsia" w:hAnsiTheme="minorEastAsia" w:eastAsiaTheme="minorEastAsia"/>
        </w:rPr>
        <w:fldChar w:fldCharType="separate"/>
      </w:r>
      <w:r>
        <w:rPr>
          <w:rFonts w:hint="eastAsia" w:eastAsia="宋体"/>
          <w:bCs w:val="0"/>
          <w:lang w:val="en-US" w:eastAsia="zh-CN"/>
        </w:rPr>
        <w:t>3.1.5 说明书</w:t>
      </w:r>
      <w:r>
        <w:tab/>
      </w:r>
      <w:r>
        <w:fldChar w:fldCharType="begin"/>
      </w:r>
      <w:r>
        <w:instrText xml:space="preserve"> PAGEREF _Toc21781 \h </w:instrText>
      </w:r>
      <w:r>
        <w:fldChar w:fldCharType="separate"/>
      </w:r>
      <w:r>
        <w:t>12</w:t>
      </w:r>
      <w:r>
        <w:fldChar w:fldCharType="end"/>
      </w:r>
      <w:r>
        <w:rPr>
          <w:rFonts w:hint="eastAsia" w:asciiTheme="minorEastAsia" w:hAnsiTheme="minorEastAsia" w:eastAsiaTheme="minorEastAsia"/>
        </w:rPr>
        <w:fldChar w:fldCharType="end"/>
      </w:r>
    </w:p>
    <w:p w14:paraId="6F6D6079">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_Toc30004 </w:instrText>
      </w:r>
      <w:r>
        <w:rPr>
          <w:rFonts w:hint="eastAsia" w:asciiTheme="minorEastAsia" w:hAnsiTheme="minorEastAsia" w:eastAsiaTheme="minorEastAsia"/>
        </w:rPr>
        <w:fldChar w:fldCharType="separate"/>
      </w:r>
      <w:r>
        <w:rPr>
          <w:rFonts w:hint="eastAsia" w:eastAsia="宋体"/>
          <w:bCs w:val="0"/>
          <w:lang w:val="en-US" w:eastAsia="zh-CN"/>
        </w:rPr>
        <w:t>3.1.6 标签</w:t>
      </w:r>
      <w:r>
        <w:tab/>
      </w:r>
      <w:r>
        <w:fldChar w:fldCharType="begin"/>
      </w:r>
      <w:r>
        <w:instrText xml:space="preserve"> PAGEREF _Toc30004 \h </w:instrText>
      </w:r>
      <w:r>
        <w:fldChar w:fldCharType="separate"/>
      </w:r>
      <w:r>
        <w:t>12</w:t>
      </w:r>
      <w:r>
        <w:fldChar w:fldCharType="end"/>
      </w:r>
      <w:r>
        <w:rPr>
          <w:rFonts w:hint="eastAsia" w:asciiTheme="minorEastAsia" w:hAnsiTheme="minorEastAsia" w:eastAsiaTheme="minorEastAsia"/>
        </w:rPr>
        <w:fldChar w:fldCharType="end"/>
      </w:r>
    </w:p>
    <w:p w14:paraId="78925A89">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_Toc21409 </w:instrText>
      </w:r>
      <w:r>
        <w:rPr>
          <w:rFonts w:hint="eastAsia" w:asciiTheme="minorEastAsia" w:hAnsiTheme="minorEastAsia" w:eastAsiaTheme="minorEastAsia"/>
        </w:rPr>
        <w:fldChar w:fldCharType="separate"/>
      </w:r>
      <w:r>
        <w:rPr>
          <w:rFonts w:hint="eastAsia" w:eastAsia="宋体"/>
          <w:bCs w:val="0"/>
          <w:lang w:val="en-US" w:eastAsia="zh-CN"/>
        </w:rPr>
        <w:t>3.1.7 包装</w:t>
      </w:r>
      <w:r>
        <w:tab/>
      </w:r>
      <w:r>
        <w:fldChar w:fldCharType="begin"/>
      </w:r>
      <w:r>
        <w:instrText xml:space="preserve"> PAGEREF _Toc21409 \h </w:instrText>
      </w:r>
      <w:r>
        <w:fldChar w:fldCharType="separate"/>
      </w:r>
      <w:r>
        <w:t>12</w:t>
      </w:r>
      <w:r>
        <w:fldChar w:fldCharType="end"/>
      </w:r>
      <w:r>
        <w:rPr>
          <w:rFonts w:hint="eastAsia" w:asciiTheme="minorEastAsia" w:hAnsiTheme="minorEastAsia" w:eastAsiaTheme="minorEastAsia"/>
        </w:rPr>
        <w:fldChar w:fldCharType="end"/>
      </w:r>
    </w:p>
    <w:p w14:paraId="0E4158BE">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_Toc24560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4 未决事项</w:t>
      </w:r>
      <w:r>
        <w:tab/>
      </w:r>
      <w:r>
        <w:fldChar w:fldCharType="begin"/>
      </w:r>
      <w:r>
        <w:instrText xml:space="preserve"> PAGEREF _Toc24560 \h </w:instrText>
      </w:r>
      <w:r>
        <w:fldChar w:fldCharType="separate"/>
      </w:r>
      <w:r>
        <w:t>12</w:t>
      </w:r>
      <w:r>
        <w:fldChar w:fldCharType="end"/>
      </w:r>
      <w:r>
        <w:rPr>
          <w:rFonts w:hint="eastAsia" w:asciiTheme="minorEastAsia" w:hAnsiTheme="minorEastAsia" w:eastAsiaTheme="minorEastAsia"/>
        </w:rPr>
        <w:fldChar w:fldCharType="end"/>
      </w:r>
    </w:p>
    <w:p w14:paraId="4EA4B3FF">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bookmarkEnd w:id="0"/>
    <w:p w14:paraId="681E1E0E">
      <w:pPr>
        <w:pStyle w:val="2"/>
        <w:keepNext/>
        <w:keepLines w:val="0"/>
        <w:pageBreakBefore/>
        <w:widowControl/>
        <w:tabs>
          <w:tab w:val="left" w:pos="680"/>
        </w:tabs>
        <w:kinsoku/>
        <w:wordWrap/>
        <w:overflowPunct/>
        <w:topLinePunct w:val="0"/>
        <w:autoSpaceDE/>
        <w:autoSpaceDN/>
        <w:bidi w:val="0"/>
        <w:adjustRightInd/>
        <w:snapToGrid/>
        <w:spacing w:before="0" w:beforeLines="100" w:after="120" w:line="360" w:lineRule="auto"/>
        <w:ind w:left="431" w:hanging="431"/>
        <w:textAlignment w:val="auto"/>
        <w:rPr>
          <w:rFonts w:hint="eastAsia" w:ascii="宋体" w:hAnsi="宋体"/>
          <w:color w:val="auto"/>
          <w:sz w:val="32"/>
          <w:szCs w:val="32"/>
          <w:lang w:val="en-US" w:eastAsia="zh-CN"/>
        </w:rPr>
      </w:pPr>
      <w:bookmarkStart w:id="1" w:name="_Toc27072"/>
      <w:bookmarkStart w:id="2" w:name="_Toc10214"/>
      <w:r>
        <w:rPr>
          <w:rFonts w:hint="eastAsia" w:ascii="宋体" w:hAnsi="宋体"/>
          <w:color w:val="auto"/>
          <w:sz w:val="32"/>
          <w:szCs w:val="32"/>
          <w:lang w:val="en-US" w:eastAsia="zh-CN"/>
        </w:rPr>
        <w:t>简介</w:t>
      </w:r>
      <w:bookmarkEnd w:id="1"/>
      <w:bookmarkEnd w:id="2"/>
    </w:p>
    <w:p w14:paraId="12D93A4B">
      <w:pPr>
        <w:pStyle w:val="3"/>
        <w:tabs>
          <w:tab w:val="left" w:pos="680"/>
          <w:tab w:val="left" w:pos="1134"/>
          <w:tab w:val="left" w:pos="1701"/>
          <w:tab w:val="left" w:pos="2268"/>
          <w:tab w:val="left" w:pos="2835"/>
          <w:tab w:val="left" w:pos="3402"/>
        </w:tabs>
        <w:spacing w:line="360" w:lineRule="auto"/>
        <w:rPr>
          <w:rFonts w:ascii="宋体" w:hAnsi="宋体" w:cstheme="minorBidi"/>
          <w:color w:val="auto"/>
          <w:kern w:val="2"/>
          <w:sz w:val="28"/>
          <w:szCs w:val="28"/>
          <w:lang w:eastAsia="zh-CN"/>
        </w:rPr>
      </w:pPr>
      <w:bookmarkStart w:id="3" w:name="_Toc7149"/>
      <w:bookmarkStart w:id="4" w:name="_Toc20260"/>
      <w:bookmarkStart w:id="5" w:name="_Toc365030973"/>
      <w:bookmarkStart w:id="6" w:name="_Toc364164437"/>
      <w:r>
        <w:rPr>
          <w:rFonts w:hint="eastAsia" w:ascii="宋体" w:hAnsi="宋体" w:cstheme="minorBidi"/>
          <w:color w:val="auto"/>
          <w:kern w:val="2"/>
          <w:sz w:val="28"/>
          <w:szCs w:val="28"/>
          <w:lang w:eastAsia="zh-CN"/>
        </w:rPr>
        <w:t>目的</w:t>
      </w:r>
      <w:bookmarkEnd w:id="3"/>
      <w:bookmarkEnd w:id="4"/>
      <w:bookmarkEnd w:id="5"/>
      <w:bookmarkEnd w:id="6"/>
    </w:p>
    <w:p w14:paraId="5AF4C106">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rPr>
        <w:t>描述了在医疗器械从概念开发到最终设计期间计划发生的所有与可用性工程相关的活动。本文档是可用性工程程序的一部分输出，适用于</w:t>
      </w:r>
      <w:r>
        <w:rPr>
          <w:rFonts w:hint="eastAsia" w:ascii="宋体" w:hAnsi="宋体" w:eastAsia="宋体"/>
          <w:color w:val="0070C0"/>
          <w:sz w:val="24"/>
          <w:szCs w:val="24"/>
          <w:lang w:eastAsia="zh-CN"/>
        </w:rPr>
        <w:t>低频止鼾声器</w:t>
      </w:r>
      <w:r>
        <w:rPr>
          <w:rFonts w:hint="eastAsia" w:ascii="宋体" w:hAnsi="宋体" w:eastAsia="宋体"/>
          <w:color w:val="0070C0"/>
          <w:sz w:val="24"/>
          <w:szCs w:val="24"/>
        </w:rPr>
        <w:t>的预期医疗适应症、患者群体、预期用户、预期使用环境和任务描述的规定与描述，目的是确保</w:t>
      </w:r>
      <w:r>
        <w:rPr>
          <w:rFonts w:hint="eastAsia" w:ascii="宋体" w:hAnsi="宋体" w:eastAsia="宋体"/>
          <w:color w:val="0070C0"/>
          <w:sz w:val="24"/>
          <w:szCs w:val="24"/>
          <w:lang w:eastAsia="zh-CN"/>
        </w:rPr>
        <w:t>低频止鼾声器</w:t>
      </w:r>
      <w:r>
        <w:rPr>
          <w:rFonts w:hint="eastAsia" w:ascii="宋体" w:hAnsi="宋体" w:eastAsia="宋体"/>
          <w:color w:val="0070C0"/>
          <w:sz w:val="24"/>
          <w:szCs w:val="24"/>
        </w:rPr>
        <w:t>项目设计、开发、制造、交付的产品在可用性方面的安全，同时尽量减小操作失误的可能性以及使用相关风险。</w:t>
      </w:r>
    </w:p>
    <w:p w14:paraId="088B63B3">
      <w:pPr>
        <w:spacing w:line="440" w:lineRule="exact"/>
        <w:ind w:firstLine="480" w:firstLineChars="200"/>
        <w:rPr>
          <w:rFonts w:hint="default" w:ascii="宋体" w:hAnsi="宋体" w:eastAsia="宋体"/>
          <w:color w:val="0070C0"/>
          <w:sz w:val="24"/>
          <w:szCs w:val="24"/>
          <w:lang w:val="en-US" w:eastAsia="zh-CN"/>
        </w:rPr>
      </w:pPr>
    </w:p>
    <w:p w14:paraId="437D9DE1">
      <w:pPr>
        <w:pStyle w:val="3"/>
        <w:tabs>
          <w:tab w:val="left" w:pos="680"/>
          <w:tab w:val="left" w:pos="1134"/>
          <w:tab w:val="left" w:pos="1701"/>
          <w:tab w:val="left" w:pos="2268"/>
          <w:tab w:val="left" w:pos="2835"/>
          <w:tab w:val="left" w:pos="3402"/>
        </w:tabs>
        <w:spacing w:line="360" w:lineRule="auto"/>
        <w:rPr>
          <w:rFonts w:hint="eastAsia" w:ascii="宋体" w:hAnsi="宋体" w:cstheme="minorBidi"/>
          <w:color w:val="auto"/>
          <w:kern w:val="2"/>
          <w:sz w:val="28"/>
          <w:szCs w:val="28"/>
          <w:lang w:eastAsia="zh-CN"/>
        </w:rPr>
      </w:pPr>
      <w:bookmarkStart w:id="7" w:name="_Toc29167"/>
      <w:bookmarkStart w:id="8" w:name="_Toc30903"/>
      <w:r>
        <w:rPr>
          <w:rFonts w:hint="eastAsia" w:ascii="宋体" w:hAnsi="宋体" w:cstheme="minorBidi"/>
          <w:color w:val="auto"/>
          <w:kern w:val="2"/>
          <w:sz w:val="28"/>
          <w:szCs w:val="28"/>
          <w:lang w:eastAsia="zh-CN"/>
        </w:rPr>
        <w:t>范围</w:t>
      </w:r>
      <w:bookmarkEnd w:id="7"/>
      <w:bookmarkEnd w:id="8"/>
    </w:p>
    <w:p w14:paraId="0EE37DF7">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rPr>
        <w:t>适用于XXXX产品的可用性</w:t>
      </w:r>
      <w:r>
        <w:rPr>
          <w:rFonts w:hint="eastAsia" w:ascii="宋体" w:hAnsi="宋体" w:eastAsia="宋体"/>
          <w:color w:val="0070C0"/>
          <w:sz w:val="24"/>
          <w:szCs w:val="24"/>
          <w:lang w:val="en-US" w:eastAsia="zh-CN"/>
        </w:rPr>
        <w:t>使用规范，作为可用性接口设计的基础</w:t>
      </w:r>
      <w:r>
        <w:rPr>
          <w:rFonts w:hint="eastAsia" w:ascii="宋体" w:hAnsi="宋体" w:eastAsia="宋体"/>
          <w:color w:val="0070C0"/>
          <w:sz w:val="24"/>
          <w:szCs w:val="24"/>
        </w:rPr>
        <w:t>。</w:t>
      </w:r>
    </w:p>
    <w:p w14:paraId="4C75351D">
      <w:pPr>
        <w:spacing w:line="440" w:lineRule="exact"/>
        <w:ind w:firstLine="480" w:firstLineChars="200"/>
        <w:rPr>
          <w:rFonts w:hint="eastAsia" w:ascii="宋体" w:hAnsi="宋体" w:eastAsia="宋体"/>
          <w:color w:val="0070C0"/>
          <w:sz w:val="24"/>
          <w:szCs w:val="24"/>
        </w:rPr>
      </w:pPr>
    </w:p>
    <w:p w14:paraId="20066A5C">
      <w:pPr>
        <w:pStyle w:val="3"/>
        <w:tabs>
          <w:tab w:val="left" w:pos="680"/>
          <w:tab w:val="left" w:pos="1134"/>
          <w:tab w:val="left" w:pos="1701"/>
          <w:tab w:val="left" w:pos="2268"/>
          <w:tab w:val="left" w:pos="2835"/>
          <w:tab w:val="left" w:pos="3402"/>
        </w:tabs>
        <w:spacing w:line="360" w:lineRule="auto"/>
        <w:rPr>
          <w:rFonts w:hint="eastAsia" w:ascii="宋体" w:hAnsi="宋体" w:cstheme="minorBidi"/>
          <w:color w:val="auto"/>
          <w:kern w:val="2"/>
          <w:sz w:val="28"/>
          <w:szCs w:val="28"/>
          <w:lang w:eastAsia="zh-CN"/>
        </w:rPr>
      </w:pPr>
      <w:bookmarkStart w:id="9" w:name="_Toc3002"/>
      <w:bookmarkStart w:id="10" w:name="_Toc6603"/>
      <w:r>
        <w:rPr>
          <w:rFonts w:hint="eastAsia" w:ascii="宋体" w:hAnsi="宋体" w:cstheme="minorBidi"/>
          <w:color w:val="auto"/>
          <w:kern w:val="2"/>
          <w:sz w:val="28"/>
          <w:szCs w:val="28"/>
          <w:lang w:eastAsia="zh-CN"/>
        </w:rPr>
        <w:t>名词定义与缩略语</w:t>
      </w:r>
      <w:bookmarkEnd w:id="9"/>
      <w:bookmarkEnd w:id="10"/>
    </w:p>
    <w:p w14:paraId="6DF9C125">
      <w:pPr>
        <w:pStyle w:val="4"/>
        <w:tabs>
          <w:tab w:val="left" w:pos="680"/>
          <w:tab w:val="left" w:pos="1134"/>
          <w:tab w:val="left" w:pos="1701"/>
          <w:tab w:val="left" w:pos="2268"/>
          <w:tab w:val="left" w:pos="2835"/>
          <w:tab w:val="left" w:pos="3402"/>
        </w:tabs>
        <w:rPr>
          <w:sz w:val="24"/>
          <w:szCs w:val="24"/>
        </w:rPr>
      </w:pPr>
      <w:bookmarkStart w:id="11" w:name="_Toc1679"/>
      <w:bookmarkStart w:id="12" w:name="_Toc10774"/>
      <w:bookmarkStart w:id="13" w:name="_Toc364164445"/>
      <w:bookmarkStart w:id="14" w:name="_Toc365030979"/>
      <w:r>
        <w:rPr>
          <w:sz w:val="24"/>
          <w:szCs w:val="24"/>
        </w:rPr>
        <w:t>定义</w:t>
      </w:r>
      <w:bookmarkEnd w:id="11"/>
      <w:bookmarkEnd w:id="12"/>
    </w:p>
    <w:tbl>
      <w:tblPr>
        <w:tblStyle w:val="87"/>
        <w:tblW w:w="422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9"/>
        <w:gridCol w:w="6056"/>
      </w:tblGrid>
      <w:tr w14:paraId="69A7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363" w:type="pct"/>
            <w:shd w:val="clear" w:color="auto" w:fill="BFBFBF"/>
          </w:tcPr>
          <w:p w14:paraId="074618DD">
            <w:pPr>
              <w:keepNext w:val="0"/>
              <w:keepLines w:val="0"/>
              <w:suppressLineNumbers w:val="0"/>
              <w:spacing w:before="0" w:beforeAutospacing="0" w:after="0" w:afterAutospacing="0"/>
              <w:ind w:left="0" w:right="0"/>
              <w:jc w:val="center"/>
              <w:rPr>
                <w:rFonts w:hint="default" w:ascii="Times New Roman" w:hAnsi="Times New Roman" w:eastAsia="宋体" w:cs="Times New Roman"/>
                <w:b/>
                <w:szCs w:val="21"/>
              </w:rPr>
            </w:pPr>
            <w:r>
              <w:rPr>
                <w:rFonts w:hint="eastAsia" w:ascii="Times New Roman" w:hAnsi="Times New Roman" w:eastAsia="宋体" w:cs="Times New Roman"/>
                <w:b/>
                <w:szCs w:val="21"/>
              </w:rPr>
              <w:t>定义</w:t>
            </w:r>
          </w:p>
        </w:tc>
        <w:tc>
          <w:tcPr>
            <w:tcW w:w="3637" w:type="pct"/>
            <w:shd w:val="clear" w:color="auto" w:fill="BFBFBF"/>
          </w:tcPr>
          <w:p w14:paraId="0D7DDE1F">
            <w:pPr>
              <w:keepNext w:val="0"/>
              <w:keepLines w:val="0"/>
              <w:suppressLineNumbers w:val="0"/>
              <w:spacing w:before="0" w:beforeAutospacing="0" w:after="0" w:afterAutospacing="0"/>
              <w:ind w:left="0" w:right="0"/>
              <w:jc w:val="center"/>
              <w:rPr>
                <w:rFonts w:hint="default" w:ascii="Times New Roman" w:hAnsi="Times New Roman" w:eastAsia="宋体" w:cs="Times New Roman"/>
                <w:b/>
                <w:szCs w:val="21"/>
              </w:rPr>
            </w:pPr>
            <w:r>
              <w:rPr>
                <w:rFonts w:hint="eastAsia" w:ascii="Times New Roman" w:hAnsi="Times New Roman" w:eastAsia="宋体" w:cs="Times New Roman"/>
                <w:b/>
                <w:szCs w:val="21"/>
              </w:rPr>
              <w:t>描述</w:t>
            </w:r>
          </w:p>
        </w:tc>
      </w:tr>
      <w:tr w14:paraId="68EA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63" w:type="pct"/>
          </w:tcPr>
          <w:p w14:paraId="1913CD35">
            <w:pPr>
              <w:keepNext w:val="0"/>
              <w:keepLines w:val="0"/>
              <w:suppressLineNumbers w:val="0"/>
              <w:spacing w:before="0" w:beforeAutospacing="0" w:after="0" w:afterAutospacing="0"/>
              <w:ind w:left="0" w:right="0"/>
              <w:rPr>
                <w:rFonts w:hint="default" w:ascii="Times New Roman" w:hAnsi="Times New Roman" w:eastAsia="宋体" w:cs="Times New Roman"/>
                <w:i/>
                <w:iCs/>
                <w:color w:val="4472C4"/>
                <w:szCs w:val="21"/>
              </w:rPr>
            </w:pPr>
          </w:p>
        </w:tc>
        <w:tc>
          <w:tcPr>
            <w:tcW w:w="3637" w:type="pct"/>
          </w:tcPr>
          <w:p w14:paraId="29B1E893">
            <w:pPr>
              <w:keepNext w:val="0"/>
              <w:keepLines w:val="0"/>
              <w:suppressLineNumbers w:val="0"/>
              <w:spacing w:before="0" w:beforeAutospacing="0" w:after="0" w:afterAutospacing="0"/>
              <w:ind w:left="0" w:right="0"/>
              <w:rPr>
                <w:rFonts w:hint="default" w:ascii="Times New Roman" w:hAnsi="Times New Roman" w:eastAsia="宋体" w:cs="Times New Roman"/>
                <w:i/>
                <w:iCs/>
                <w:color w:val="4472C4"/>
                <w:szCs w:val="21"/>
              </w:rPr>
            </w:pPr>
          </w:p>
        </w:tc>
      </w:tr>
      <w:tr w14:paraId="57CEB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363" w:type="pct"/>
          </w:tcPr>
          <w:p w14:paraId="51177AA4">
            <w:pPr>
              <w:keepNext w:val="0"/>
              <w:keepLines w:val="0"/>
              <w:suppressLineNumbers w:val="0"/>
              <w:spacing w:before="0" w:beforeAutospacing="0" w:after="0" w:afterAutospacing="0"/>
              <w:ind w:left="0" w:right="0"/>
              <w:rPr>
                <w:rFonts w:hint="default" w:ascii="Times New Roman" w:hAnsi="Times New Roman" w:eastAsia="宋体" w:cs="Times New Roman"/>
                <w:i/>
                <w:iCs/>
                <w:color w:val="4472C4"/>
                <w:szCs w:val="21"/>
              </w:rPr>
            </w:pPr>
          </w:p>
        </w:tc>
        <w:tc>
          <w:tcPr>
            <w:tcW w:w="3637" w:type="pct"/>
          </w:tcPr>
          <w:p w14:paraId="7E3E39F8">
            <w:pPr>
              <w:keepNext w:val="0"/>
              <w:keepLines w:val="0"/>
              <w:suppressLineNumbers w:val="0"/>
              <w:spacing w:before="0" w:beforeAutospacing="0" w:after="0" w:afterAutospacing="0"/>
              <w:ind w:left="0" w:right="0"/>
              <w:rPr>
                <w:rFonts w:hint="default" w:ascii="Times New Roman" w:hAnsi="Times New Roman" w:eastAsia="宋体" w:cs="Times New Roman"/>
                <w:i/>
                <w:iCs/>
                <w:color w:val="4472C4"/>
                <w:szCs w:val="21"/>
              </w:rPr>
            </w:pPr>
          </w:p>
        </w:tc>
      </w:tr>
    </w:tbl>
    <w:p w14:paraId="5934C03D">
      <w:pPr>
        <w:spacing w:line="440" w:lineRule="exact"/>
        <w:ind w:firstLine="480" w:firstLineChars="200"/>
        <w:rPr>
          <w:sz w:val="24"/>
          <w:szCs w:val="24"/>
        </w:rPr>
      </w:pPr>
    </w:p>
    <w:p w14:paraId="510BC97C">
      <w:pPr>
        <w:pStyle w:val="4"/>
        <w:tabs>
          <w:tab w:val="left" w:pos="680"/>
          <w:tab w:val="left" w:pos="1134"/>
          <w:tab w:val="left" w:pos="1701"/>
          <w:tab w:val="left" w:pos="2268"/>
          <w:tab w:val="left" w:pos="2835"/>
          <w:tab w:val="left" w:pos="3402"/>
        </w:tabs>
        <w:rPr>
          <w:sz w:val="24"/>
          <w:szCs w:val="24"/>
        </w:rPr>
      </w:pPr>
      <w:r>
        <w:rPr>
          <w:sz w:val="24"/>
          <w:szCs w:val="24"/>
        </w:rPr>
        <w:t xml:space="preserve"> </w:t>
      </w:r>
      <w:bookmarkStart w:id="15" w:name="_Toc10846"/>
      <w:bookmarkStart w:id="16" w:name="_Toc30679"/>
      <w:r>
        <w:rPr>
          <w:rFonts w:hint="eastAsia"/>
          <w:sz w:val="24"/>
          <w:szCs w:val="24"/>
        </w:rPr>
        <w:t>缩略语</w:t>
      </w:r>
      <w:bookmarkEnd w:id="15"/>
      <w:bookmarkEnd w:id="16"/>
    </w:p>
    <w:tbl>
      <w:tblPr>
        <w:tblStyle w:val="20"/>
        <w:tblW w:w="72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7"/>
        <w:gridCol w:w="2309"/>
        <w:gridCol w:w="2916"/>
      </w:tblGrid>
      <w:tr w14:paraId="6C87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2037" w:type="dxa"/>
            <w:shd w:val="clear" w:color="auto" w:fill="BEBEBE" w:themeFill="background1" w:themeFillShade="BF"/>
            <w:vAlign w:val="center"/>
          </w:tcPr>
          <w:p w14:paraId="1214194E">
            <w:pPr>
              <w:keepNext w:val="0"/>
              <w:keepLines w:val="0"/>
              <w:suppressLineNumbers w:val="0"/>
              <w:spacing w:before="0" w:beforeAutospacing="0" w:after="0" w:afterAutospacing="0" w:line="300" w:lineRule="exact"/>
              <w:ind w:left="0" w:right="0"/>
              <w:jc w:val="center"/>
              <w:rPr>
                <w:rFonts w:hint="default"/>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缩略语</w:t>
            </w:r>
          </w:p>
        </w:tc>
        <w:tc>
          <w:tcPr>
            <w:tcW w:w="2309" w:type="dxa"/>
            <w:shd w:val="clear" w:color="auto" w:fill="BEBEBE" w:themeFill="background1" w:themeFillShade="BF"/>
            <w:vAlign w:val="center"/>
          </w:tcPr>
          <w:p w14:paraId="096F4F46">
            <w:pPr>
              <w:keepNext w:val="0"/>
              <w:keepLines w:val="0"/>
              <w:suppressLineNumbers w:val="0"/>
              <w:spacing w:before="0" w:beforeAutospacing="0" w:after="0" w:afterAutospacing="0" w:line="300" w:lineRule="exact"/>
              <w:ind w:left="0" w:right="0"/>
              <w:jc w:val="center"/>
              <w:rPr>
                <w:rFonts w:hint="default"/>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全拼</w:t>
            </w:r>
          </w:p>
        </w:tc>
        <w:tc>
          <w:tcPr>
            <w:tcW w:w="2916" w:type="dxa"/>
            <w:shd w:val="clear" w:color="auto" w:fill="BEBEBE" w:themeFill="background1" w:themeFillShade="BF"/>
            <w:vAlign w:val="center"/>
          </w:tcPr>
          <w:p w14:paraId="7FB98F3E">
            <w:pPr>
              <w:keepNext w:val="0"/>
              <w:keepLines w:val="0"/>
              <w:suppressLineNumbers w:val="0"/>
              <w:spacing w:before="0" w:beforeAutospacing="0" w:after="0" w:afterAutospacing="0" w:line="300" w:lineRule="exact"/>
              <w:ind w:left="0" w:right="0"/>
              <w:jc w:val="center"/>
              <w:rPr>
                <w:rFonts w:hint="default"/>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描述</w:t>
            </w:r>
          </w:p>
        </w:tc>
      </w:tr>
      <w:tr w14:paraId="02C8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2037" w:type="dxa"/>
            <w:vAlign w:val="center"/>
          </w:tcPr>
          <w:p w14:paraId="59916156">
            <w:pPr>
              <w:keepNext w:val="0"/>
              <w:keepLines w:val="0"/>
              <w:suppressLineNumbers w:val="0"/>
              <w:spacing w:before="0" w:beforeAutospacing="0" w:after="0" w:afterAutospacing="0" w:line="300" w:lineRule="exact"/>
              <w:ind w:left="0" w:right="0"/>
              <w:jc w:val="center"/>
              <w:rPr>
                <w:rFonts w:hint="default"/>
                <w:color w:val="000000" w:themeColor="text1"/>
                <w:szCs w:val="21"/>
                <w14:textFill>
                  <w14:solidFill>
                    <w14:schemeClr w14:val="tx1"/>
                  </w14:solidFill>
                </w14:textFill>
              </w:rPr>
            </w:pPr>
          </w:p>
        </w:tc>
        <w:tc>
          <w:tcPr>
            <w:tcW w:w="2309" w:type="dxa"/>
            <w:vAlign w:val="center"/>
          </w:tcPr>
          <w:p w14:paraId="17345AD1">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c>
          <w:tcPr>
            <w:tcW w:w="2916" w:type="dxa"/>
            <w:vAlign w:val="center"/>
          </w:tcPr>
          <w:p w14:paraId="396CEC7E">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r>
      <w:tr w14:paraId="5BB4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037" w:type="dxa"/>
            <w:vAlign w:val="center"/>
          </w:tcPr>
          <w:p w14:paraId="19010C8C">
            <w:pPr>
              <w:keepNext w:val="0"/>
              <w:keepLines w:val="0"/>
              <w:suppressLineNumbers w:val="0"/>
              <w:spacing w:before="0" w:beforeAutospacing="0" w:after="0" w:afterAutospacing="0" w:line="300" w:lineRule="exact"/>
              <w:ind w:left="0" w:right="0"/>
              <w:jc w:val="center"/>
              <w:rPr>
                <w:rFonts w:hint="default"/>
                <w:color w:val="000000" w:themeColor="text1"/>
                <w:szCs w:val="21"/>
                <w14:textFill>
                  <w14:solidFill>
                    <w14:schemeClr w14:val="tx1"/>
                  </w14:solidFill>
                </w14:textFill>
              </w:rPr>
            </w:pPr>
          </w:p>
        </w:tc>
        <w:tc>
          <w:tcPr>
            <w:tcW w:w="2309" w:type="dxa"/>
            <w:vAlign w:val="center"/>
          </w:tcPr>
          <w:p w14:paraId="7D4B12FC">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c>
          <w:tcPr>
            <w:tcW w:w="2916" w:type="dxa"/>
            <w:vAlign w:val="center"/>
          </w:tcPr>
          <w:p w14:paraId="2489E585">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r>
      <w:tr w14:paraId="6A77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037" w:type="dxa"/>
            <w:vAlign w:val="center"/>
          </w:tcPr>
          <w:p w14:paraId="45C2EDA0">
            <w:pPr>
              <w:keepNext w:val="0"/>
              <w:keepLines w:val="0"/>
              <w:suppressLineNumbers w:val="0"/>
              <w:spacing w:before="0" w:beforeAutospacing="0" w:after="0" w:afterAutospacing="0" w:line="300" w:lineRule="exact"/>
              <w:ind w:left="0" w:right="0"/>
              <w:jc w:val="center"/>
              <w:rPr>
                <w:rFonts w:hint="default"/>
                <w:color w:val="000000" w:themeColor="text1"/>
                <w:szCs w:val="21"/>
                <w14:textFill>
                  <w14:solidFill>
                    <w14:schemeClr w14:val="tx1"/>
                  </w14:solidFill>
                </w14:textFill>
              </w:rPr>
            </w:pPr>
          </w:p>
        </w:tc>
        <w:tc>
          <w:tcPr>
            <w:tcW w:w="2309" w:type="dxa"/>
            <w:vAlign w:val="center"/>
          </w:tcPr>
          <w:p w14:paraId="0EFC231D">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c>
          <w:tcPr>
            <w:tcW w:w="2916" w:type="dxa"/>
            <w:vAlign w:val="center"/>
          </w:tcPr>
          <w:p w14:paraId="41155884">
            <w:pPr>
              <w:keepNext w:val="0"/>
              <w:keepLines w:val="0"/>
              <w:suppressLineNumbers w:val="0"/>
              <w:spacing w:before="0" w:beforeAutospacing="0" w:after="0" w:afterAutospacing="0" w:line="300" w:lineRule="exact"/>
              <w:ind w:left="0" w:right="0"/>
              <w:rPr>
                <w:rFonts w:hint="default"/>
                <w:color w:val="000000" w:themeColor="text1"/>
                <w14:textFill>
                  <w14:solidFill>
                    <w14:schemeClr w14:val="tx1"/>
                  </w14:solidFill>
                </w14:textFill>
              </w:rPr>
            </w:pPr>
          </w:p>
        </w:tc>
      </w:tr>
      <w:tr w14:paraId="22A1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037" w:type="dxa"/>
            <w:vAlign w:val="center"/>
          </w:tcPr>
          <w:p w14:paraId="4A7BA3FD">
            <w:pPr>
              <w:keepNext w:val="0"/>
              <w:keepLines w:val="0"/>
              <w:suppressLineNumbers w:val="0"/>
              <w:spacing w:before="0" w:beforeAutospacing="0" w:after="0" w:afterAutospacing="0" w:line="300" w:lineRule="exact"/>
              <w:ind w:left="0" w:right="0"/>
              <w:jc w:val="center"/>
              <w:rPr>
                <w:rFonts w:hint="default"/>
                <w:color w:val="000000" w:themeColor="text1"/>
                <w:szCs w:val="21"/>
                <w14:textFill>
                  <w14:solidFill>
                    <w14:schemeClr w14:val="tx1"/>
                  </w14:solidFill>
                </w14:textFill>
              </w:rPr>
            </w:pPr>
          </w:p>
        </w:tc>
        <w:tc>
          <w:tcPr>
            <w:tcW w:w="2309" w:type="dxa"/>
            <w:vAlign w:val="center"/>
          </w:tcPr>
          <w:p w14:paraId="6B205F25">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c>
          <w:tcPr>
            <w:tcW w:w="2916" w:type="dxa"/>
            <w:vAlign w:val="center"/>
          </w:tcPr>
          <w:p w14:paraId="4180FC9C">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r>
    </w:tbl>
    <w:p w14:paraId="0F1A280C">
      <w:pPr>
        <w:spacing w:line="440" w:lineRule="exact"/>
        <w:ind w:firstLine="560" w:firstLineChars="200"/>
        <w:rPr>
          <w:rFonts w:hint="eastAsia" w:ascii="宋体" w:hAnsi="宋体" w:cstheme="minorBidi"/>
          <w:color w:val="auto"/>
          <w:kern w:val="2"/>
          <w:sz w:val="28"/>
          <w:szCs w:val="28"/>
          <w:lang w:eastAsia="zh-CN"/>
        </w:rPr>
      </w:pPr>
      <w:bookmarkStart w:id="17" w:name="_Toc31549"/>
    </w:p>
    <w:p w14:paraId="58816C7E">
      <w:pPr>
        <w:pStyle w:val="3"/>
        <w:tabs>
          <w:tab w:val="left" w:pos="680"/>
          <w:tab w:val="left" w:pos="1134"/>
          <w:tab w:val="left" w:pos="1701"/>
          <w:tab w:val="left" w:pos="2268"/>
          <w:tab w:val="left" w:pos="2835"/>
          <w:tab w:val="left" w:pos="3402"/>
        </w:tabs>
        <w:spacing w:line="360" w:lineRule="auto"/>
        <w:rPr>
          <w:rFonts w:hint="eastAsia" w:ascii="宋体" w:hAnsi="宋体" w:cstheme="minorBidi"/>
          <w:color w:val="auto"/>
          <w:kern w:val="2"/>
          <w:sz w:val="28"/>
          <w:szCs w:val="28"/>
          <w:lang w:eastAsia="zh-CN"/>
        </w:rPr>
      </w:pPr>
      <w:bookmarkStart w:id="18" w:name="_Toc18205"/>
      <w:r>
        <w:rPr>
          <w:rFonts w:hint="eastAsia" w:ascii="宋体" w:hAnsi="宋体" w:cstheme="minorBidi"/>
          <w:color w:val="auto"/>
          <w:kern w:val="2"/>
          <w:sz w:val="28"/>
          <w:szCs w:val="28"/>
          <w:lang w:eastAsia="zh-CN"/>
        </w:rPr>
        <w:t>参考文件</w:t>
      </w:r>
      <w:bookmarkEnd w:id="13"/>
      <w:bookmarkEnd w:id="14"/>
      <w:bookmarkEnd w:id="17"/>
      <w:bookmarkEnd w:id="18"/>
    </w:p>
    <w:p w14:paraId="6313B7E2">
      <w:pPr>
        <w:pStyle w:val="29"/>
        <w:numPr>
          <w:ilvl w:val="0"/>
          <w:numId w:val="2"/>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ISO 14971-2019 Medical devices - Application of risk management to medical devices</w:t>
      </w:r>
    </w:p>
    <w:p w14:paraId="7390FEAD">
      <w:pPr>
        <w:pStyle w:val="29"/>
        <w:numPr>
          <w:ilvl w:val="0"/>
          <w:numId w:val="2"/>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ISO TR 24971-2020 Medical devices – guidance on the application of 14971</w:t>
      </w:r>
    </w:p>
    <w:p w14:paraId="284E9581">
      <w:pPr>
        <w:pStyle w:val="29"/>
        <w:numPr>
          <w:ilvl w:val="0"/>
          <w:numId w:val="2"/>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IEC 62366-1:2015 Medical devices - Part 1: Application of usability engineering to medical devices</w:t>
      </w:r>
    </w:p>
    <w:p w14:paraId="553E1FC1">
      <w:pPr>
        <w:pStyle w:val="29"/>
        <w:numPr>
          <w:ilvl w:val="0"/>
          <w:numId w:val="2"/>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IEC/TR 62366-2:2016 Medical devices-Part 2:Guidance on the application of usability engineering to medical devices</w:t>
      </w:r>
    </w:p>
    <w:p w14:paraId="0C917502">
      <w:pPr>
        <w:pStyle w:val="29"/>
        <w:numPr>
          <w:ilvl w:val="0"/>
          <w:numId w:val="2"/>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ANSI/AAMI HE74:2001/(R)2009 Human factors design process for medical devices</w:t>
      </w:r>
    </w:p>
    <w:p w14:paraId="496FD42F">
      <w:pPr>
        <w:pStyle w:val="29"/>
        <w:numPr>
          <w:ilvl w:val="0"/>
          <w:numId w:val="2"/>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ANSI/AAMI HE75:2009/(R)2018 Human factors engineering - Design of medical devices</w:t>
      </w:r>
    </w:p>
    <w:p w14:paraId="306E5AB2">
      <w:pPr>
        <w:pStyle w:val="29"/>
        <w:numPr>
          <w:ilvl w:val="0"/>
          <w:numId w:val="2"/>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FDA, Applying Human Factors and Usability Engineering to Medical Devices -Guidance for Industry and Food and Drug Administration Staff, 2016.2</w:t>
      </w:r>
    </w:p>
    <w:p w14:paraId="7D49E1EA">
      <w:pPr>
        <w:pStyle w:val="29"/>
        <w:numPr>
          <w:ilvl w:val="0"/>
          <w:numId w:val="2"/>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lang w:val="en-US" w:eastAsia="zh-CN"/>
        </w:rPr>
        <w:t>可用性注册审查指导原则</w:t>
      </w:r>
    </w:p>
    <w:p w14:paraId="7A3533FE">
      <w:pPr>
        <w:pStyle w:val="29"/>
        <w:numPr>
          <w:ilvl w:val="0"/>
          <w:numId w:val="2"/>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lang w:val="en-US" w:eastAsia="zh-CN"/>
        </w:rPr>
        <w:t>XXXXXXXX项目开发计划</w:t>
      </w:r>
    </w:p>
    <w:p w14:paraId="5F1BBD86"/>
    <w:p w14:paraId="7B412AA0">
      <w:pPr>
        <w:pStyle w:val="2"/>
        <w:rPr>
          <w:rFonts w:hint="eastAsia" w:eastAsia="宋体" w:cs="Times New Roman"/>
          <w:lang w:val="en-US" w:eastAsia="zh-CN"/>
        </w:rPr>
      </w:pPr>
      <w:bookmarkStart w:id="19" w:name="_Toc21087"/>
      <w:bookmarkStart w:id="20" w:name="_Toc23056"/>
      <w:bookmarkStart w:id="21" w:name="_Toc9735"/>
      <w:bookmarkStart w:id="22" w:name="_Toc126594999"/>
      <w:bookmarkStart w:id="23" w:name="_Toc10289"/>
      <w:bookmarkStart w:id="24" w:name="_Toc22918"/>
      <w:r>
        <w:rPr>
          <w:rFonts w:hint="eastAsia" w:eastAsia="宋体" w:cs="Times New Roman"/>
          <w:lang w:val="en-US" w:eastAsia="zh-CN"/>
        </w:rPr>
        <w:t>产品简介</w:t>
      </w:r>
      <w:bookmarkEnd w:id="19"/>
      <w:bookmarkEnd w:id="20"/>
      <w:bookmarkEnd w:id="21"/>
      <w:bookmarkEnd w:id="22"/>
      <w:bookmarkEnd w:id="23"/>
    </w:p>
    <w:p w14:paraId="5A5C117A">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25" w:name="_Toc37271444"/>
      <w:bookmarkEnd w:id="25"/>
      <w:bookmarkStart w:id="26" w:name="_Toc1362"/>
      <w:bookmarkStart w:id="27" w:name="_Toc7497"/>
      <w:r>
        <w:rPr>
          <w:rFonts w:hint="eastAsia" w:ascii="Arial Regular" w:hAnsi="Arial Regular" w:cs="Arial Regular"/>
          <w:bCs/>
          <w:lang w:eastAsia="zh-CN"/>
        </w:rPr>
        <w:t>预期的医疗适应症</w:t>
      </w:r>
      <w:bookmarkEnd w:id="26"/>
      <w:bookmarkEnd w:id="27"/>
    </w:p>
    <w:p w14:paraId="291C78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r>
        <w:rPr>
          <w:rFonts w:hint="eastAsia" w:ascii="宋体" w:hAnsi="宋体" w:eastAsia="宋体"/>
          <w:color w:val="0070C0"/>
          <w:sz w:val="24"/>
          <w:szCs w:val="24"/>
        </w:rPr>
        <w:t>低频止鼾器工作原理是通过低频脉冲电流刺激训练口腔肌肉，增强肌肉的活动或张力，以改善舌肌反应性，从而预防睡眠期间的肌肉塌陷，达到减少患者原发性鼾症和轻中度阻塞性呼吸暂停（AHI＜30）的治疗效果。</w:t>
      </w:r>
    </w:p>
    <w:p w14:paraId="260794A6">
      <w:pPr>
        <w:spacing w:line="440" w:lineRule="exact"/>
        <w:ind w:firstLine="480" w:firstLineChars="200"/>
        <w:rPr>
          <w:rFonts w:hint="eastAsia" w:ascii="宋体" w:hAnsi="宋体" w:eastAsia="宋体"/>
          <w:color w:val="0070C0"/>
          <w:sz w:val="24"/>
          <w:szCs w:val="24"/>
        </w:rPr>
      </w:pPr>
    </w:p>
    <w:p w14:paraId="19CA4CBC">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28" w:name="_Toc11945"/>
      <w:bookmarkStart w:id="29" w:name="_Toc14823"/>
      <w:r>
        <w:rPr>
          <w:rFonts w:hint="eastAsia" w:ascii="Arial Regular" w:hAnsi="Arial Regular" w:cs="Arial Regular"/>
          <w:bCs/>
          <w:lang w:eastAsia="zh-CN"/>
        </w:rPr>
        <w:t>预期患者群体</w:t>
      </w:r>
      <w:bookmarkEnd w:id="28"/>
      <w:bookmarkEnd w:id="29"/>
    </w:p>
    <w:p w14:paraId="0EFA0E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r>
        <w:rPr>
          <w:rFonts w:hint="eastAsia" w:ascii="宋体" w:hAnsi="宋体" w:eastAsia="宋体"/>
          <w:color w:val="0070C0"/>
          <w:sz w:val="24"/>
          <w:szCs w:val="24"/>
        </w:rPr>
        <w:t>本产品主要面向需要</w:t>
      </w:r>
      <w:r>
        <w:rPr>
          <w:rFonts w:hint="eastAsia" w:ascii="宋体" w:hAnsi="宋体" w:eastAsia="宋体"/>
          <w:color w:val="0070C0"/>
          <w:sz w:val="24"/>
          <w:szCs w:val="24"/>
          <w:lang w:eastAsia="zh-CN"/>
        </w:rPr>
        <w:t>低频止鼾声器</w:t>
      </w:r>
      <w:r>
        <w:rPr>
          <w:rFonts w:hint="eastAsia" w:ascii="宋体" w:hAnsi="宋体" w:eastAsia="宋体"/>
          <w:color w:val="0070C0"/>
          <w:sz w:val="24"/>
          <w:szCs w:val="24"/>
        </w:rPr>
        <w:t>的患者。</w:t>
      </w:r>
    </w:p>
    <w:p w14:paraId="51E2E5D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color w:val="000000"/>
          <w:sz w:val="24"/>
          <w:szCs w:val="24"/>
        </w:rPr>
      </w:pPr>
      <w:r>
        <w:rPr>
          <w:rFonts w:hint="eastAsia" w:ascii="宋体" w:hAnsi="宋体" w:eastAsia="宋体" w:cs="宋体"/>
          <w:b/>
          <w:bCs/>
          <w:color w:val="000000"/>
          <w:sz w:val="24"/>
          <w:szCs w:val="24"/>
        </w:rPr>
        <w:t>1）年龄组</w:t>
      </w:r>
    </w:p>
    <w:p w14:paraId="3167F6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lang w:eastAsia="zh-CN"/>
        </w:rPr>
      </w:pPr>
      <w:r>
        <w:rPr>
          <w:rFonts w:hint="eastAsia" w:ascii="宋体" w:hAnsi="宋体" w:eastAsia="宋体"/>
          <w:color w:val="0070C0"/>
          <w:sz w:val="24"/>
          <w:szCs w:val="24"/>
        </w:rPr>
        <w:t>18岁或以上患者</w:t>
      </w:r>
      <w:r>
        <w:rPr>
          <w:rFonts w:hint="eastAsia" w:ascii="宋体" w:hAnsi="宋体" w:eastAsia="宋体"/>
          <w:color w:val="0070C0"/>
          <w:sz w:val="24"/>
          <w:szCs w:val="24"/>
          <w:lang w:eastAsia="zh-CN"/>
        </w:rPr>
        <w:t>。</w:t>
      </w:r>
    </w:p>
    <w:p w14:paraId="1E9643E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color w:val="000000"/>
          <w:sz w:val="24"/>
          <w:szCs w:val="24"/>
        </w:rPr>
      </w:pPr>
      <w:r>
        <w:rPr>
          <w:rFonts w:hint="eastAsia" w:ascii="宋体" w:hAnsi="宋体" w:eastAsia="宋体" w:cs="宋体"/>
          <w:b/>
          <w:bCs/>
          <w:color w:val="000000"/>
          <w:sz w:val="24"/>
          <w:szCs w:val="24"/>
        </w:rPr>
        <w:t>2）物理特征</w:t>
      </w:r>
    </w:p>
    <w:p w14:paraId="4E5C698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bCs/>
          <w:color w:val="000000"/>
          <w:sz w:val="24"/>
          <w:szCs w:val="24"/>
        </w:rPr>
      </w:pPr>
      <w:r>
        <w:rPr>
          <w:rFonts w:hint="eastAsia" w:ascii="宋体" w:hAnsi="宋体" w:eastAsia="宋体" w:cs="宋体"/>
          <w:b/>
          <w:bCs/>
          <w:color w:val="000000"/>
          <w:sz w:val="24"/>
          <w:szCs w:val="24"/>
        </w:rPr>
        <w:t>人体测量</w:t>
      </w:r>
    </w:p>
    <w:p w14:paraId="12E282F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olor w:val="0070C0"/>
          <w:sz w:val="24"/>
          <w:szCs w:val="24"/>
        </w:rPr>
      </w:pPr>
      <w:r>
        <w:rPr>
          <w:rFonts w:hint="eastAsia" w:ascii="宋体" w:hAnsi="宋体" w:eastAsia="宋体"/>
          <w:color w:val="0070C0"/>
          <w:sz w:val="24"/>
          <w:szCs w:val="24"/>
        </w:rPr>
        <w:t>身高：无特定限制。</w:t>
      </w:r>
    </w:p>
    <w:p w14:paraId="0EF2EA0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olor w:val="0070C0"/>
          <w:sz w:val="24"/>
          <w:szCs w:val="24"/>
        </w:rPr>
      </w:pPr>
      <w:r>
        <w:rPr>
          <w:rFonts w:hint="eastAsia" w:ascii="宋体" w:hAnsi="宋体" w:eastAsia="宋体"/>
          <w:color w:val="0070C0"/>
          <w:sz w:val="24"/>
          <w:szCs w:val="24"/>
        </w:rPr>
        <w:t xml:space="preserve">体重：不少于40公斤。 </w:t>
      </w:r>
    </w:p>
    <w:p w14:paraId="4C65E5B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color w:val="0070C0"/>
          <w:sz w:val="24"/>
          <w:szCs w:val="24"/>
        </w:rPr>
      </w:pPr>
      <w:r>
        <w:rPr>
          <w:rFonts w:hint="eastAsia" w:ascii="宋体" w:hAnsi="宋体" w:eastAsia="宋体" w:cs="宋体"/>
          <w:color w:val="0070C0"/>
          <w:sz w:val="24"/>
          <w:szCs w:val="24"/>
        </w:rPr>
        <w:t>健康状况</w:t>
      </w:r>
    </w:p>
    <w:p w14:paraId="2DB7DA34">
      <w:pPr>
        <w:keepNext w:val="0"/>
        <w:keepLines w:val="0"/>
        <w:pageBreakBefore w:val="0"/>
        <w:widowControl w:val="0"/>
        <w:numPr>
          <w:ilvl w:val="0"/>
          <w:numId w:val="5"/>
        </w:numPr>
        <w:tabs>
          <w:tab w:val="left" w:pos="840"/>
          <w:tab w:val="clear" w:pos="420"/>
        </w:tabs>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color w:val="0070C0"/>
          <w:sz w:val="24"/>
          <w:szCs w:val="24"/>
        </w:rPr>
      </w:pPr>
      <w:r>
        <w:rPr>
          <w:rFonts w:hint="eastAsia" w:ascii="宋体" w:hAnsi="宋体" w:eastAsia="宋体" w:cs="宋体"/>
          <w:color w:val="0070C0"/>
          <w:sz w:val="24"/>
          <w:szCs w:val="24"/>
        </w:rPr>
        <w:t>原发性鼾症和轻中度阻塞性呼吸暂停（AHI＜30）</w:t>
      </w:r>
      <w:r>
        <w:rPr>
          <w:rFonts w:hint="eastAsia" w:ascii="宋体" w:hAnsi="宋体" w:eastAsia="宋体" w:cs="宋体"/>
          <w:color w:val="0070C0"/>
          <w:sz w:val="24"/>
          <w:szCs w:val="24"/>
          <w:lang w:val="en-US" w:eastAsia="zh-CN"/>
        </w:rPr>
        <w:t>患者</w:t>
      </w:r>
      <w:r>
        <w:rPr>
          <w:rFonts w:hint="eastAsia" w:ascii="宋体" w:hAnsi="宋体" w:eastAsia="宋体" w:cs="宋体"/>
          <w:color w:val="0070C0"/>
          <w:sz w:val="24"/>
          <w:szCs w:val="24"/>
        </w:rPr>
        <w:t>。</w:t>
      </w:r>
    </w:p>
    <w:p w14:paraId="7ECAFB5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color w:val="000000"/>
          <w:sz w:val="24"/>
          <w:szCs w:val="24"/>
        </w:rPr>
      </w:pPr>
      <w:r>
        <w:rPr>
          <w:rFonts w:hint="eastAsia" w:ascii="宋体" w:hAnsi="宋体" w:eastAsia="宋体" w:cs="宋体"/>
          <w:b/>
          <w:bCs/>
          <w:color w:val="000000"/>
          <w:sz w:val="24"/>
          <w:szCs w:val="24"/>
        </w:rPr>
        <w:t>3）性别</w:t>
      </w:r>
    </w:p>
    <w:p w14:paraId="4255A1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70C0"/>
          <w:sz w:val="24"/>
          <w:szCs w:val="24"/>
        </w:rPr>
      </w:pPr>
      <w:r>
        <w:rPr>
          <w:rFonts w:hint="eastAsia" w:ascii="宋体" w:hAnsi="宋体" w:eastAsia="宋体" w:cs="宋体"/>
          <w:color w:val="0070C0"/>
          <w:sz w:val="24"/>
          <w:szCs w:val="24"/>
        </w:rPr>
        <w:t>不做要求：适用于所有性别患者。</w:t>
      </w:r>
    </w:p>
    <w:p w14:paraId="08DE4B9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color w:val="000000"/>
          <w:sz w:val="24"/>
          <w:szCs w:val="24"/>
        </w:rPr>
      </w:pPr>
      <w:r>
        <w:rPr>
          <w:rFonts w:hint="eastAsia" w:ascii="宋体" w:hAnsi="宋体" w:eastAsia="宋体" w:cs="宋体"/>
          <w:b/>
          <w:bCs/>
          <w:color w:val="000000"/>
          <w:sz w:val="24"/>
          <w:szCs w:val="24"/>
        </w:rPr>
        <w:t>4）国籍</w:t>
      </w:r>
    </w:p>
    <w:p w14:paraId="4CE070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70C0"/>
          <w:sz w:val="24"/>
          <w:szCs w:val="24"/>
        </w:rPr>
      </w:pPr>
      <w:r>
        <w:rPr>
          <w:rFonts w:hint="eastAsia" w:ascii="宋体" w:hAnsi="宋体" w:eastAsia="宋体" w:cs="宋体"/>
          <w:color w:val="0070C0"/>
          <w:sz w:val="24"/>
          <w:szCs w:val="24"/>
        </w:rPr>
        <w:t>无特定限制。</w:t>
      </w:r>
    </w:p>
    <w:p w14:paraId="463894A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color w:val="000000"/>
          <w:sz w:val="24"/>
          <w:szCs w:val="24"/>
        </w:rPr>
      </w:pPr>
      <w:r>
        <w:rPr>
          <w:rFonts w:hint="eastAsia" w:ascii="宋体" w:hAnsi="宋体" w:eastAsia="宋体" w:cs="宋体"/>
          <w:b/>
          <w:bCs/>
          <w:color w:val="000000"/>
          <w:sz w:val="24"/>
          <w:szCs w:val="24"/>
        </w:rPr>
        <w:t>5）人体工程学注意事项</w:t>
      </w:r>
    </w:p>
    <w:p w14:paraId="52B46E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70C0"/>
          <w:sz w:val="24"/>
          <w:szCs w:val="24"/>
        </w:rPr>
      </w:pPr>
      <w:r>
        <w:rPr>
          <w:rFonts w:hint="eastAsia" w:ascii="宋体" w:hAnsi="宋体" w:eastAsia="宋体" w:cs="宋体"/>
          <w:color w:val="0070C0"/>
          <w:sz w:val="24"/>
          <w:szCs w:val="24"/>
        </w:rPr>
        <w:t>设备设计需适应不同</w:t>
      </w:r>
      <w:r>
        <w:rPr>
          <w:rFonts w:hint="eastAsia" w:ascii="宋体" w:hAnsi="宋体" w:eastAsia="宋体" w:cs="宋体"/>
          <w:color w:val="0070C0"/>
          <w:sz w:val="24"/>
          <w:szCs w:val="24"/>
          <w:lang w:val="en-US" w:eastAsia="zh-CN"/>
        </w:rPr>
        <w:t>体重</w:t>
      </w:r>
      <w:r>
        <w:rPr>
          <w:rFonts w:hint="eastAsia" w:ascii="宋体" w:hAnsi="宋体" w:eastAsia="宋体" w:cs="宋体"/>
          <w:color w:val="0070C0"/>
          <w:sz w:val="24"/>
          <w:szCs w:val="24"/>
        </w:rPr>
        <w:t>和</w:t>
      </w:r>
      <w:r>
        <w:rPr>
          <w:rFonts w:hint="eastAsia" w:ascii="宋体" w:hAnsi="宋体" w:eastAsia="宋体" w:cs="宋体"/>
          <w:color w:val="0070C0"/>
          <w:sz w:val="24"/>
          <w:szCs w:val="24"/>
          <w:lang w:val="en-US" w:eastAsia="zh-CN"/>
        </w:rPr>
        <w:t>脸型</w:t>
      </w:r>
      <w:r>
        <w:rPr>
          <w:rFonts w:hint="eastAsia" w:ascii="宋体" w:hAnsi="宋体" w:eastAsia="宋体" w:cs="宋体"/>
          <w:color w:val="0070C0"/>
          <w:sz w:val="24"/>
          <w:szCs w:val="24"/>
        </w:rPr>
        <w:t>的人群，确保操作舒适性。</w:t>
      </w:r>
    </w:p>
    <w:p w14:paraId="590253D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color w:val="000000"/>
          <w:sz w:val="24"/>
          <w:szCs w:val="24"/>
        </w:rPr>
      </w:pPr>
      <w:r>
        <w:rPr>
          <w:rFonts w:hint="eastAsia" w:ascii="宋体" w:hAnsi="宋体" w:eastAsia="宋体" w:cs="宋体"/>
          <w:b/>
          <w:bCs/>
          <w:color w:val="000000"/>
          <w:sz w:val="24"/>
          <w:szCs w:val="24"/>
          <w:lang w:val="en-US" w:eastAsia="zh-CN"/>
        </w:rPr>
        <w:t>6</w:t>
      </w:r>
      <w:r>
        <w:rPr>
          <w:rFonts w:hint="eastAsia" w:ascii="宋体" w:hAnsi="宋体" w:eastAsia="宋体" w:cs="宋体"/>
          <w:b/>
          <w:bCs/>
          <w:color w:val="000000"/>
          <w:sz w:val="24"/>
          <w:szCs w:val="24"/>
        </w:rPr>
        <w:t>）禁忌症</w:t>
      </w:r>
    </w:p>
    <w:p w14:paraId="4BC88BEF">
      <w:pPr>
        <w:ind w:firstLine="480" w:firstLineChars="0"/>
        <w:rPr>
          <w:rFonts w:hint="eastAsia" w:ascii="宋体" w:hAnsi="宋体" w:eastAsia="宋体" w:cs="宋体"/>
          <w:sz w:val="24"/>
          <w:szCs w:val="24"/>
        </w:rPr>
      </w:pPr>
      <w:r>
        <w:rPr>
          <w:rFonts w:hint="eastAsia" w:ascii="宋体" w:hAnsi="宋体" w:eastAsia="宋体" w:cs="宋体"/>
          <w:sz w:val="24"/>
          <w:szCs w:val="24"/>
        </w:rPr>
        <w:t>如果您有以下情况，请不要使用低频止鼾器：</w:t>
      </w:r>
    </w:p>
    <w:p w14:paraId="2B9488F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已怀孕或可能怀孕。</w:t>
      </w:r>
    </w:p>
    <w:p w14:paraId="0DA75F7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有心脏起搏器等体内植入型医用电子器械。</w:t>
      </w:r>
    </w:p>
    <w:p w14:paraId="5D56389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心电图仪等可穿戴型医用电子器械。</w:t>
      </w:r>
    </w:p>
    <w:p w14:paraId="66EA92D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口腔内配套有牙套或饰品。</w:t>
      </w:r>
    </w:p>
    <w:p w14:paraId="5374B29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最近做过牙科手术。</w:t>
      </w:r>
    </w:p>
    <w:p w14:paraId="7DBF3EB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呼吸暂停低通气指数（AHI）≥30。</w:t>
      </w:r>
    </w:p>
    <w:p w14:paraId="5DF647F3">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身体质量指数（BMI）＞35.</w:t>
      </w:r>
    </w:p>
    <w:p w14:paraId="0C942E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eastAsia" w:ascii="宋体" w:hAnsi="宋体" w:eastAsia="宋体" w:cs="宋体"/>
          <w:color w:val="0070C0"/>
          <w:sz w:val="24"/>
          <w:szCs w:val="24"/>
          <w:lang w:val="en-US" w:eastAsia="zh-CN"/>
        </w:rPr>
      </w:pPr>
    </w:p>
    <w:p w14:paraId="200EFAAC">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30" w:name="_Toc4207"/>
      <w:bookmarkStart w:id="31" w:name="_Toc15260"/>
      <w:r>
        <w:rPr>
          <w:rFonts w:hint="eastAsia" w:ascii="Arial Regular" w:hAnsi="Arial Regular" w:cs="Arial Regular"/>
          <w:bCs/>
          <w:lang w:eastAsia="zh-CN"/>
        </w:rPr>
        <w:t>所应用的或与之交互的预期的身体部分或组织类型</w:t>
      </w:r>
      <w:bookmarkEnd w:id="30"/>
      <w:bookmarkEnd w:id="31"/>
    </w:p>
    <w:p w14:paraId="2FD499F4">
      <w:pPr>
        <w:numPr>
          <w:ilvl w:val="1"/>
          <w:numId w:val="7"/>
        </w:numPr>
        <w:spacing w:line="360" w:lineRule="auto"/>
        <w:rPr>
          <w:rFonts w:hint="eastAsia" w:ascii="宋体" w:hAnsi="宋体" w:eastAsia="宋体" w:cs="宋体"/>
          <w:b/>
          <w:bCs/>
          <w:sz w:val="24"/>
          <w:szCs w:val="24"/>
        </w:rPr>
      </w:pPr>
      <w:r>
        <w:rPr>
          <w:rFonts w:hint="eastAsia" w:ascii="宋体" w:hAnsi="宋体" w:eastAsia="宋体" w:cs="宋体"/>
          <w:b/>
          <w:bCs/>
          <w:sz w:val="24"/>
          <w:szCs w:val="24"/>
          <w:lang w:val="en-US" w:eastAsia="zh-CN"/>
        </w:rPr>
        <w:t>作用部位</w:t>
      </w:r>
    </w:p>
    <w:p w14:paraId="21F391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70C0"/>
          <w:sz w:val="24"/>
          <w:szCs w:val="24"/>
        </w:rPr>
      </w:pPr>
      <w:r>
        <w:rPr>
          <w:rFonts w:hint="eastAsia" w:ascii="宋体" w:hAnsi="宋体" w:eastAsia="宋体" w:cs="宋体"/>
          <w:color w:val="0070C0"/>
          <w:sz w:val="24"/>
          <w:szCs w:val="24"/>
        </w:rPr>
        <w:t>利用低频电刺激技术，在非睡眠期间刺激舌肌，恢复舌肌纤维功能，加强舌肌张力。</w:t>
      </w:r>
    </w:p>
    <w:p w14:paraId="73C597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70C0"/>
          <w:sz w:val="24"/>
          <w:szCs w:val="24"/>
        </w:rPr>
      </w:pPr>
    </w:p>
    <w:p w14:paraId="2F0780F7">
      <w:pPr>
        <w:numPr>
          <w:ilvl w:val="1"/>
          <w:numId w:val="8"/>
        </w:numPr>
        <w:spacing w:line="360" w:lineRule="auto"/>
        <w:rPr>
          <w:rFonts w:hint="eastAsia" w:ascii="宋体" w:hAnsi="宋体" w:eastAsia="宋体" w:cs="宋体"/>
          <w:b/>
          <w:bCs/>
          <w:sz w:val="24"/>
          <w:szCs w:val="24"/>
        </w:rPr>
      </w:pPr>
      <w:r>
        <w:rPr>
          <w:rFonts w:hint="eastAsia" w:ascii="宋体" w:hAnsi="宋体" w:eastAsia="宋体" w:cs="宋体"/>
          <w:b/>
          <w:bCs/>
          <w:sz w:val="24"/>
          <w:szCs w:val="24"/>
        </w:rPr>
        <w:t>状况</w:t>
      </w:r>
    </w:p>
    <w:p w14:paraId="2532293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hanging="425" w:firstLineChars="0"/>
        <w:textAlignment w:val="auto"/>
        <w:rPr>
          <w:rFonts w:hint="eastAsia" w:ascii="宋体" w:hAnsi="宋体" w:eastAsia="宋体" w:cs="宋体"/>
          <w:color w:val="0070C0"/>
          <w:sz w:val="24"/>
          <w:szCs w:val="24"/>
        </w:rPr>
      </w:pPr>
      <w:r>
        <w:rPr>
          <w:rFonts w:hint="eastAsia" w:ascii="宋体" w:hAnsi="宋体" w:eastAsia="宋体" w:cs="宋体"/>
          <w:color w:val="0070C0"/>
          <w:sz w:val="24"/>
          <w:szCs w:val="24"/>
        </w:rPr>
        <w:t>与患者进行侵入式接触。</w:t>
      </w:r>
    </w:p>
    <w:p w14:paraId="4BAD9E1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hanging="425" w:firstLineChars="0"/>
        <w:textAlignment w:val="auto"/>
        <w:rPr>
          <w:rFonts w:hint="eastAsia" w:ascii="宋体" w:hAnsi="宋体" w:eastAsia="宋体" w:cs="宋体"/>
          <w:color w:val="0070C0"/>
          <w:sz w:val="24"/>
          <w:szCs w:val="24"/>
        </w:rPr>
      </w:pPr>
      <w:r>
        <w:rPr>
          <w:rFonts w:hint="eastAsia" w:ascii="宋体" w:hAnsi="宋体" w:eastAsia="宋体" w:cs="宋体"/>
          <w:color w:val="0070C0"/>
          <w:sz w:val="24"/>
          <w:szCs w:val="24"/>
          <w:lang w:val="en-US" w:eastAsia="zh-CN"/>
        </w:rPr>
        <w:t>口腔周围无损伤的皮肤</w:t>
      </w:r>
      <w:r>
        <w:rPr>
          <w:rFonts w:hint="eastAsia" w:ascii="宋体" w:hAnsi="宋体" w:eastAsia="宋体" w:cs="宋体"/>
          <w:color w:val="0070C0"/>
          <w:sz w:val="24"/>
          <w:szCs w:val="24"/>
        </w:rPr>
        <w:t>。</w:t>
      </w:r>
    </w:p>
    <w:p w14:paraId="7CF7D0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eastAsia" w:ascii="宋体" w:hAnsi="宋体" w:eastAsia="宋体" w:cs="宋体"/>
          <w:color w:val="0070C0"/>
          <w:sz w:val="24"/>
          <w:szCs w:val="24"/>
        </w:rPr>
      </w:pPr>
    </w:p>
    <w:p w14:paraId="1BC238AF">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32" w:name="_Toc26480"/>
      <w:bookmarkStart w:id="33" w:name="_Toc19259"/>
      <w:r>
        <w:rPr>
          <w:rFonts w:hint="eastAsia" w:ascii="Arial Regular" w:hAnsi="Arial Regular" w:cs="Arial Regular"/>
          <w:bCs/>
          <w:lang w:eastAsia="zh-CN"/>
        </w:rPr>
        <w:t>用户特征</w:t>
      </w:r>
      <w:bookmarkEnd w:id="32"/>
      <w:bookmarkEnd w:id="33"/>
    </w:p>
    <w:p w14:paraId="1E650929">
      <w:pPr>
        <w:spacing w:line="360" w:lineRule="auto"/>
        <w:ind w:firstLine="482" w:firstLineChars="200"/>
        <w:rPr>
          <w:rFonts w:hint="default" w:ascii="Arial" w:hAnsi="Arial" w:eastAsia="宋体" w:cs="Arial"/>
          <w:sz w:val="24"/>
          <w:szCs w:val="24"/>
          <w:lang w:val="en-US" w:eastAsia="zh-CN"/>
        </w:rPr>
      </w:pPr>
      <w:r>
        <w:rPr>
          <w:rFonts w:hint="eastAsia" w:ascii="宋体" w:hAnsi="宋体" w:eastAsia="宋体" w:cs="Calibri"/>
          <w:b/>
          <w:bCs/>
          <w:color w:val="000000"/>
          <w:sz w:val="24"/>
          <w:szCs w:val="24"/>
          <w:lang w:eastAsia="zh-CN"/>
        </w:rPr>
        <w:t>低频止鼾声器</w:t>
      </w:r>
      <w:r>
        <w:rPr>
          <w:rFonts w:hint="eastAsia" w:ascii="宋体" w:hAnsi="宋体" w:eastAsia="宋体" w:cs="Calibri"/>
          <w:b/>
          <w:bCs/>
          <w:color w:val="000000"/>
          <w:sz w:val="24"/>
          <w:szCs w:val="24"/>
        </w:rPr>
        <w:t>的患者</w:t>
      </w:r>
      <w:r>
        <w:rPr>
          <w:rFonts w:hint="eastAsia" w:ascii="宋体" w:hAnsi="宋体" w:eastAsia="宋体" w:cs="Calibri"/>
          <w:b/>
          <w:bCs/>
          <w:color w:val="000000"/>
          <w:sz w:val="24"/>
          <w:szCs w:val="24"/>
          <w:lang w:val="en-US" w:eastAsia="zh-CN"/>
        </w:rPr>
        <w:t>的用户特征。</w:t>
      </w:r>
    </w:p>
    <w:tbl>
      <w:tblPr>
        <w:tblStyle w:val="21"/>
        <w:tblpPr w:leftFromText="180" w:rightFromText="180" w:vertAnchor="text" w:tblpXSpec="center" w:tblpY="1"/>
        <w:tblOverlap w:val="never"/>
        <w:tblW w:w="9180" w:type="dxa"/>
        <w:tblInd w:w="-6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6"/>
        <w:gridCol w:w="7544"/>
      </w:tblGrid>
      <w:tr w14:paraId="7BDB2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180" w:type="dxa"/>
            <w:gridSpan w:val="2"/>
            <w:noWrap w:val="0"/>
            <w:vAlign w:val="center"/>
          </w:tcPr>
          <w:p w14:paraId="32E49D9F">
            <w:pPr>
              <w:keepNext w:val="0"/>
              <w:keepLines w:val="0"/>
              <w:suppressLineNumbers w:val="0"/>
              <w:spacing w:before="0" w:beforeAutospacing="0" w:after="0" w:afterAutospacing="0" w:line="440" w:lineRule="exact"/>
              <w:ind w:left="0" w:right="0"/>
              <w:jc w:val="center"/>
              <w:rPr>
                <w:rFonts w:hint="default"/>
                <w:b/>
                <w:bCs/>
                <w:color w:val="000000"/>
                <w:sz w:val="21"/>
                <w:szCs w:val="21"/>
              </w:rPr>
            </w:pPr>
            <w:r>
              <w:rPr>
                <w:rFonts w:hint="eastAsia" w:ascii="宋体" w:hAnsi="宋体" w:eastAsia="宋体" w:cs="Calibri"/>
                <w:b/>
                <w:bCs/>
                <w:color w:val="000000"/>
                <w:lang w:eastAsia="zh-CN"/>
              </w:rPr>
              <w:t>低频止鼾声器</w:t>
            </w:r>
            <w:r>
              <w:rPr>
                <w:rFonts w:hint="eastAsia" w:ascii="宋体" w:hAnsi="宋体" w:eastAsia="宋体" w:cs="Calibri"/>
                <w:b/>
                <w:bCs/>
                <w:color w:val="000000"/>
              </w:rPr>
              <w:t>的患者</w:t>
            </w:r>
          </w:p>
        </w:tc>
      </w:tr>
      <w:tr w14:paraId="5A45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6" w:type="dxa"/>
            <w:noWrap w:val="0"/>
            <w:vAlign w:val="center"/>
          </w:tcPr>
          <w:p w14:paraId="747775C8">
            <w:pPr>
              <w:keepNext w:val="0"/>
              <w:keepLines w:val="0"/>
              <w:suppressLineNumbers w:val="0"/>
              <w:spacing w:before="0" w:beforeAutospacing="0" w:after="0" w:afterAutospacing="0" w:line="440" w:lineRule="exact"/>
              <w:ind w:left="0" w:right="0"/>
              <w:rPr>
                <w:rFonts w:hint="default"/>
                <w:color w:val="0070C0"/>
                <w:sz w:val="21"/>
                <w:szCs w:val="21"/>
              </w:rPr>
            </w:pPr>
            <w:r>
              <w:rPr>
                <w:rFonts w:hint="default"/>
                <w:color w:val="0070C0"/>
                <w:sz w:val="21"/>
                <w:szCs w:val="21"/>
              </w:rPr>
              <w:t>职业</w:t>
            </w:r>
            <w:r>
              <w:rPr>
                <w:rFonts w:hint="eastAsia"/>
                <w:color w:val="0070C0"/>
                <w:sz w:val="21"/>
                <w:szCs w:val="21"/>
              </w:rPr>
              <w:t>描述</w:t>
            </w:r>
          </w:p>
        </w:tc>
        <w:tc>
          <w:tcPr>
            <w:tcW w:w="7544" w:type="dxa"/>
            <w:noWrap w:val="0"/>
            <w:vAlign w:val="center"/>
          </w:tcPr>
          <w:p w14:paraId="79830EB5">
            <w:pPr>
              <w:pStyle w:val="29"/>
              <w:keepNext w:val="0"/>
              <w:keepLines w:val="0"/>
              <w:numPr>
                <w:ilvl w:val="0"/>
                <w:numId w:val="10"/>
              </w:numPr>
              <w:suppressLineNumbers w:val="0"/>
              <w:spacing w:before="0" w:beforeAutospacing="0" w:after="0" w:afterAutospacing="0" w:line="440" w:lineRule="exact"/>
              <w:ind w:right="0" w:firstLineChars="0"/>
              <w:rPr>
                <w:rFonts w:hint="default" w:ascii="Segoe UI" w:hAnsi="Segoe UI" w:cs="Segoe UI"/>
                <w:color w:val="0070C0"/>
                <w:szCs w:val="21"/>
                <w:shd w:val="clear" w:color="auto" w:fill="FFFFFF"/>
              </w:rPr>
            </w:pPr>
            <w:r>
              <w:rPr>
                <w:rFonts w:hint="default" w:ascii="Segoe UI" w:hAnsi="Segoe UI" w:cs="Segoe UI"/>
                <w:color w:val="0070C0"/>
                <w:szCs w:val="21"/>
                <w:shd w:val="clear" w:color="auto" w:fill="FFFFFF"/>
              </w:rPr>
              <w:t xml:space="preserve">影像专业大专以上学历，具有初中级医师资格证书 </w:t>
            </w:r>
          </w:p>
          <w:p w14:paraId="25A2B36C">
            <w:pPr>
              <w:pStyle w:val="29"/>
              <w:keepNext w:val="0"/>
              <w:keepLines w:val="0"/>
              <w:numPr>
                <w:ilvl w:val="0"/>
                <w:numId w:val="10"/>
              </w:numPr>
              <w:suppressLineNumbers w:val="0"/>
              <w:spacing w:before="0" w:beforeAutospacing="0" w:after="0" w:afterAutospacing="0" w:line="440" w:lineRule="exact"/>
              <w:ind w:right="0" w:firstLineChars="0"/>
              <w:rPr>
                <w:rFonts w:hint="default" w:ascii="Segoe UI" w:hAnsi="Segoe UI" w:cs="Segoe UI"/>
                <w:color w:val="0070C0"/>
                <w:szCs w:val="21"/>
                <w:shd w:val="clear" w:color="auto" w:fill="FFFFFF"/>
              </w:rPr>
            </w:pPr>
            <w:r>
              <w:rPr>
                <w:rFonts w:hint="default" w:ascii="Segoe UI" w:hAnsi="Segoe UI" w:cs="Segoe UI"/>
                <w:color w:val="0070C0"/>
                <w:szCs w:val="21"/>
                <w:shd w:val="clear" w:color="auto" w:fill="FFFFFF"/>
              </w:rPr>
              <w:t>3年以上影像诊断医生工作经验，二甲以上公立医院或海外工作经验优先</w:t>
            </w:r>
          </w:p>
        </w:tc>
      </w:tr>
      <w:tr w14:paraId="1C072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6" w:type="dxa"/>
            <w:noWrap w:val="0"/>
            <w:vAlign w:val="center"/>
          </w:tcPr>
          <w:p w14:paraId="181F866B">
            <w:pPr>
              <w:keepNext w:val="0"/>
              <w:keepLines w:val="0"/>
              <w:suppressLineNumbers w:val="0"/>
              <w:spacing w:before="0" w:beforeAutospacing="0" w:after="0" w:afterAutospacing="0" w:line="440" w:lineRule="exact"/>
              <w:ind w:left="0" w:right="0"/>
              <w:rPr>
                <w:rFonts w:hint="default"/>
                <w:color w:val="0070C0"/>
                <w:sz w:val="21"/>
                <w:szCs w:val="21"/>
              </w:rPr>
            </w:pPr>
            <w:r>
              <w:rPr>
                <w:rFonts w:hint="default"/>
                <w:color w:val="0070C0"/>
                <w:sz w:val="21"/>
                <w:szCs w:val="21"/>
              </w:rPr>
              <w:t>人口特征</w:t>
            </w:r>
          </w:p>
        </w:tc>
        <w:tc>
          <w:tcPr>
            <w:tcW w:w="7544" w:type="dxa"/>
            <w:noWrap w:val="0"/>
            <w:vAlign w:val="center"/>
          </w:tcPr>
          <w:p w14:paraId="5EDD84DC">
            <w:pPr>
              <w:pStyle w:val="29"/>
              <w:keepNext w:val="0"/>
              <w:keepLines w:val="0"/>
              <w:numPr>
                <w:ilvl w:val="0"/>
                <w:numId w:val="11"/>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性别:超过93%的</w:t>
            </w:r>
            <w:r>
              <w:rPr>
                <w:rFonts w:hint="default" w:ascii="宋体" w:hAnsi="宋体" w:cs="宋体"/>
                <w:color w:val="0070C0"/>
                <w:szCs w:val="21"/>
              </w:rPr>
              <w:t>放射科医师</w:t>
            </w:r>
            <w:r>
              <w:rPr>
                <w:rFonts w:hint="default"/>
                <w:color w:val="0070C0"/>
                <w:szCs w:val="21"/>
              </w:rPr>
              <w:t>为女性，7%为男性。</w:t>
            </w:r>
          </w:p>
          <w:p w14:paraId="139BF8F9">
            <w:pPr>
              <w:pStyle w:val="29"/>
              <w:keepNext w:val="0"/>
              <w:keepLines w:val="0"/>
              <w:numPr>
                <w:ilvl w:val="0"/>
                <w:numId w:val="11"/>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年龄范围:(22-65+)岁，平均47岁。</w:t>
            </w:r>
          </w:p>
          <w:p w14:paraId="4D6AE650">
            <w:pPr>
              <w:pStyle w:val="29"/>
              <w:keepNext w:val="0"/>
              <w:keepLines w:val="0"/>
              <w:numPr>
                <w:ilvl w:val="0"/>
                <w:numId w:val="11"/>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教育:4年大学学历。具有执业医师证和大型医用设备上岗证者</w:t>
            </w:r>
          </w:p>
        </w:tc>
      </w:tr>
      <w:tr w14:paraId="5F5F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6" w:type="dxa"/>
            <w:noWrap w:val="0"/>
            <w:vAlign w:val="center"/>
          </w:tcPr>
          <w:p w14:paraId="37B39C87">
            <w:pPr>
              <w:keepNext w:val="0"/>
              <w:keepLines w:val="0"/>
              <w:suppressLineNumbers w:val="0"/>
              <w:spacing w:before="0" w:beforeAutospacing="0" w:after="0" w:afterAutospacing="0" w:line="440" w:lineRule="exact"/>
              <w:ind w:left="0" w:right="0"/>
              <w:rPr>
                <w:rFonts w:hint="default"/>
                <w:color w:val="0070C0"/>
                <w:sz w:val="21"/>
                <w:szCs w:val="21"/>
              </w:rPr>
            </w:pPr>
            <w:r>
              <w:rPr>
                <w:rFonts w:hint="default"/>
                <w:color w:val="0070C0"/>
                <w:sz w:val="21"/>
                <w:szCs w:val="21"/>
              </w:rPr>
              <w:t>物理特性</w:t>
            </w:r>
          </w:p>
          <w:p w14:paraId="65CA3FE6">
            <w:pPr>
              <w:keepNext w:val="0"/>
              <w:keepLines w:val="0"/>
              <w:suppressLineNumbers w:val="0"/>
              <w:spacing w:before="0" w:beforeAutospacing="0" w:after="0" w:afterAutospacing="0" w:line="440" w:lineRule="exact"/>
              <w:ind w:left="0" w:right="0"/>
              <w:rPr>
                <w:rFonts w:hint="default"/>
                <w:color w:val="0070C0"/>
                <w:sz w:val="21"/>
                <w:szCs w:val="21"/>
              </w:rPr>
            </w:pPr>
          </w:p>
        </w:tc>
        <w:tc>
          <w:tcPr>
            <w:tcW w:w="7544" w:type="dxa"/>
            <w:noWrap w:val="0"/>
            <w:vAlign w:val="center"/>
          </w:tcPr>
          <w:p w14:paraId="4B80D63A">
            <w:pPr>
              <w:pStyle w:val="29"/>
              <w:keepNext w:val="0"/>
              <w:keepLines w:val="0"/>
              <w:numPr>
                <w:ilvl w:val="0"/>
                <w:numId w:val="12"/>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手长:95百分位男性(40岁，美国，2000):20,6 cm (8,1 in.)</w:t>
            </w:r>
          </w:p>
          <w:p w14:paraId="47329AA7">
            <w:pPr>
              <w:pStyle w:val="29"/>
              <w:keepNext w:val="0"/>
              <w:keepLines w:val="0"/>
              <w:numPr>
                <w:ilvl w:val="0"/>
                <w:numId w:val="12"/>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男性和女性都可能有长头发。</w:t>
            </w:r>
          </w:p>
          <w:p w14:paraId="50639EEC">
            <w:pPr>
              <w:pStyle w:val="29"/>
              <w:keepNext w:val="0"/>
              <w:keepLines w:val="0"/>
              <w:numPr>
                <w:ilvl w:val="0"/>
                <w:numId w:val="12"/>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许多女性的指甲都很长。</w:t>
            </w:r>
          </w:p>
          <w:p w14:paraId="10D0700C">
            <w:pPr>
              <w:pStyle w:val="29"/>
              <w:keepNext w:val="0"/>
              <w:keepLines w:val="0"/>
              <w:numPr>
                <w:ilvl w:val="0"/>
                <w:numId w:val="12"/>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大约8%的男性和0.5%的女性有色觉障碍。</w:t>
            </w:r>
          </w:p>
        </w:tc>
      </w:tr>
      <w:tr w14:paraId="18A4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6" w:type="dxa"/>
            <w:noWrap w:val="0"/>
            <w:vAlign w:val="center"/>
          </w:tcPr>
          <w:p w14:paraId="0F351E80">
            <w:pPr>
              <w:keepNext w:val="0"/>
              <w:keepLines w:val="0"/>
              <w:suppressLineNumbers w:val="0"/>
              <w:spacing w:before="0" w:beforeAutospacing="0" w:after="0" w:afterAutospacing="0" w:line="440" w:lineRule="exact"/>
              <w:ind w:left="0" w:right="0"/>
              <w:rPr>
                <w:rFonts w:hint="default"/>
                <w:color w:val="0070C0"/>
                <w:sz w:val="21"/>
                <w:szCs w:val="21"/>
              </w:rPr>
            </w:pPr>
            <w:r>
              <w:rPr>
                <w:rFonts w:hint="eastAsia"/>
                <w:color w:val="0070C0"/>
                <w:sz w:val="21"/>
                <w:szCs w:val="21"/>
              </w:rPr>
              <w:t>技能</w:t>
            </w:r>
          </w:p>
        </w:tc>
        <w:tc>
          <w:tcPr>
            <w:tcW w:w="7544" w:type="dxa"/>
            <w:noWrap w:val="0"/>
            <w:vAlign w:val="center"/>
          </w:tcPr>
          <w:p w14:paraId="19258AA1">
            <w:pPr>
              <w:pStyle w:val="29"/>
              <w:keepNext w:val="0"/>
              <w:keepLines w:val="0"/>
              <w:numPr>
                <w:ilvl w:val="0"/>
                <w:numId w:val="13"/>
              </w:numPr>
              <w:suppressLineNumbers w:val="0"/>
              <w:spacing w:before="0" w:beforeAutospacing="0" w:after="0" w:afterAutospacing="0" w:line="440" w:lineRule="exact"/>
              <w:ind w:right="0" w:firstLineChars="0"/>
              <w:rPr>
                <w:rFonts w:hint="default"/>
                <w:color w:val="0070C0"/>
                <w:szCs w:val="21"/>
              </w:rPr>
            </w:pPr>
            <w:r>
              <w:rPr>
                <w:rFonts w:hint="default" w:ascii="Segoe UI" w:hAnsi="Segoe UI" w:cs="Segoe UI"/>
                <w:color w:val="0070C0"/>
                <w:szCs w:val="21"/>
                <w:shd w:val="clear" w:color="auto" w:fill="FFFFFF"/>
              </w:rPr>
              <w:t>熟练使用计算机等相关办公软件</w:t>
            </w:r>
          </w:p>
        </w:tc>
      </w:tr>
      <w:tr w14:paraId="5272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6" w:type="dxa"/>
            <w:noWrap w:val="0"/>
            <w:vAlign w:val="center"/>
          </w:tcPr>
          <w:p w14:paraId="74C9B6A3">
            <w:pPr>
              <w:keepNext w:val="0"/>
              <w:keepLines w:val="0"/>
              <w:suppressLineNumbers w:val="0"/>
              <w:spacing w:before="0" w:beforeAutospacing="0" w:after="0" w:afterAutospacing="0" w:line="440" w:lineRule="exact"/>
              <w:ind w:left="0" w:right="0"/>
              <w:rPr>
                <w:rFonts w:hint="default"/>
                <w:color w:val="0070C0"/>
                <w:sz w:val="21"/>
                <w:szCs w:val="21"/>
              </w:rPr>
            </w:pPr>
            <w:r>
              <w:rPr>
                <w:rFonts w:hint="default"/>
                <w:color w:val="0070C0"/>
                <w:sz w:val="21"/>
                <w:szCs w:val="21"/>
              </w:rPr>
              <w:t>潜在的障碍</w:t>
            </w:r>
          </w:p>
        </w:tc>
        <w:tc>
          <w:tcPr>
            <w:tcW w:w="7544" w:type="dxa"/>
            <w:noWrap w:val="0"/>
            <w:vAlign w:val="center"/>
          </w:tcPr>
          <w:p w14:paraId="3AA563AD">
            <w:pPr>
              <w:pStyle w:val="29"/>
              <w:keepNext w:val="0"/>
              <w:keepLines w:val="0"/>
              <w:numPr>
                <w:ilvl w:val="0"/>
                <w:numId w:val="14"/>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一些视网膜病变患者</w:t>
            </w:r>
            <w:r>
              <w:rPr>
                <w:rFonts w:hint="eastAsia"/>
                <w:color w:val="0070C0"/>
                <w:szCs w:val="21"/>
              </w:rPr>
              <w:t>，</w:t>
            </w:r>
            <w:r>
              <w:rPr>
                <w:rFonts w:hint="default"/>
                <w:color w:val="0070C0"/>
                <w:szCs w:val="21"/>
              </w:rPr>
              <w:t>尤其是那些40多岁或更大的人</w:t>
            </w:r>
            <w:r>
              <w:rPr>
                <w:rFonts w:hint="eastAsia"/>
                <w:color w:val="0070C0"/>
                <w:szCs w:val="21"/>
              </w:rPr>
              <w:t>，</w:t>
            </w:r>
            <w:r>
              <w:rPr>
                <w:rFonts w:hint="default"/>
                <w:color w:val="0070C0"/>
                <w:szCs w:val="21"/>
              </w:rPr>
              <w:t>聚焦近物体的能力会下降(远视是由一种形式的老花眼引起的)，因此，他们需要老花镜，</w:t>
            </w:r>
            <w:r>
              <w:rPr>
                <w:rFonts w:hint="eastAsia"/>
                <w:color w:val="0070C0"/>
                <w:szCs w:val="21"/>
              </w:rPr>
              <w:t>不影响阅片</w:t>
            </w:r>
            <w:r>
              <w:rPr>
                <w:rFonts w:hint="default"/>
                <w:color w:val="0070C0"/>
                <w:szCs w:val="21"/>
              </w:rPr>
              <w:t>。</w:t>
            </w:r>
          </w:p>
          <w:p w14:paraId="02D48B8E">
            <w:pPr>
              <w:pStyle w:val="29"/>
              <w:keepNext w:val="0"/>
              <w:keepLines w:val="0"/>
              <w:numPr>
                <w:ilvl w:val="0"/>
                <w:numId w:val="14"/>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一些鼻窦炎患者</w:t>
            </w:r>
            <w:r>
              <w:rPr>
                <w:rFonts w:hint="eastAsia"/>
                <w:color w:val="0070C0"/>
                <w:szCs w:val="21"/>
              </w:rPr>
              <w:t>，</w:t>
            </w:r>
            <w:r>
              <w:rPr>
                <w:rFonts w:hint="default"/>
                <w:color w:val="0070C0"/>
                <w:szCs w:val="21"/>
              </w:rPr>
              <w:t>特别是50岁出头及以上的男性</w:t>
            </w:r>
            <w:r>
              <w:rPr>
                <w:rFonts w:hint="eastAsia"/>
                <w:color w:val="0070C0"/>
                <w:szCs w:val="21"/>
              </w:rPr>
              <w:t>，</w:t>
            </w:r>
            <w:r>
              <w:rPr>
                <w:rFonts w:hint="default"/>
                <w:color w:val="0070C0"/>
                <w:szCs w:val="21"/>
              </w:rPr>
              <w:t>可能会有渐进性高频听力损失(即老年性耳聋)，这可能会</w:t>
            </w:r>
            <w:r>
              <w:rPr>
                <w:rFonts w:hint="eastAsia"/>
                <w:color w:val="0070C0"/>
                <w:szCs w:val="21"/>
              </w:rPr>
              <w:t>要求</w:t>
            </w:r>
            <w:r>
              <w:rPr>
                <w:rFonts w:hint="default"/>
                <w:color w:val="0070C0"/>
                <w:szCs w:val="21"/>
              </w:rPr>
              <w:t>限制声音感知频率≤3 000 Hz。</w:t>
            </w:r>
          </w:p>
          <w:p w14:paraId="5CDCF092">
            <w:pPr>
              <w:pStyle w:val="29"/>
              <w:keepNext w:val="0"/>
              <w:keepLines w:val="0"/>
              <w:numPr>
                <w:ilvl w:val="0"/>
                <w:numId w:val="14"/>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一些</w:t>
            </w:r>
            <w:r>
              <w:rPr>
                <w:rFonts w:hint="eastAsia"/>
                <w:color w:val="0070C0"/>
                <w:szCs w:val="21"/>
              </w:rPr>
              <w:t>技师，</w:t>
            </w:r>
            <w:r>
              <w:rPr>
                <w:rFonts w:hint="default"/>
                <w:color w:val="0070C0"/>
                <w:szCs w:val="21"/>
              </w:rPr>
              <w:t>尤其是那些55岁以上的人</w:t>
            </w:r>
            <w:r>
              <w:rPr>
                <w:rFonts w:hint="eastAsia"/>
                <w:color w:val="0070C0"/>
                <w:szCs w:val="21"/>
              </w:rPr>
              <w:t>，</w:t>
            </w:r>
            <w:r>
              <w:rPr>
                <w:rFonts w:hint="default"/>
                <w:color w:val="0070C0"/>
                <w:szCs w:val="21"/>
              </w:rPr>
              <w:t>可能有灵活性和力量受限的情况，比如颤抖和关节炎。</w:t>
            </w:r>
          </w:p>
          <w:p w14:paraId="0CE8D19C">
            <w:pPr>
              <w:pStyle w:val="29"/>
              <w:keepNext w:val="0"/>
              <w:keepLines w:val="0"/>
              <w:numPr>
                <w:ilvl w:val="0"/>
                <w:numId w:val="14"/>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一些</w:t>
            </w:r>
            <w:r>
              <w:rPr>
                <w:rFonts w:hint="eastAsia"/>
                <w:color w:val="0070C0"/>
                <w:szCs w:val="21"/>
              </w:rPr>
              <w:t>技师</w:t>
            </w:r>
            <w:r>
              <w:rPr>
                <w:rFonts w:hint="default"/>
                <w:color w:val="0070C0"/>
                <w:szCs w:val="21"/>
              </w:rPr>
              <w:t>可能有轻微的短期记忆问题，这通常是年龄增长的功能，但不认为有临床意义或职业资格丧失。</w:t>
            </w:r>
          </w:p>
          <w:p w14:paraId="69961408">
            <w:pPr>
              <w:pStyle w:val="29"/>
              <w:keepNext w:val="0"/>
              <w:keepLines w:val="0"/>
              <w:numPr>
                <w:ilvl w:val="0"/>
                <w:numId w:val="14"/>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年长的</w:t>
            </w:r>
            <w:r>
              <w:rPr>
                <w:rFonts w:hint="eastAsia"/>
                <w:color w:val="0070C0"/>
                <w:szCs w:val="21"/>
              </w:rPr>
              <w:t>技师</w:t>
            </w:r>
            <w:r>
              <w:rPr>
                <w:rFonts w:hint="default"/>
                <w:color w:val="0070C0"/>
                <w:szCs w:val="21"/>
              </w:rPr>
              <w:t>很可能有老年性老花眼(不戴矫正镜就难以聚焦近距离物体)。</w:t>
            </w:r>
          </w:p>
          <w:p w14:paraId="33475EEB">
            <w:pPr>
              <w:pStyle w:val="29"/>
              <w:keepNext w:val="0"/>
              <w:keepLines w:val="0"/>
              <w:numPr>
                <w:ilvl w:val="0"/>
                <w:numId w:val="14"/>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年长的</w:t>
            </w:r>
            <w:r>
              <w:rPr>
                <w:rFonts w:hint="eastAsia"/>
                <w:color w:val="0070C0"/>
                <w:szCs w:val="21"/>
              </w:rPr>
              <w:t>技师</w:t>
            </w:r>
            <w:r>
              <w:rPr>
                <w:rFonts w:hint="default"/>
                <w:color w:val="0070C0"/>
                <w:szCs w:val="21"/>
              </w:rPr>
              <w:t>可能有一定程度的骨关节炎。</w:t>
            </w:r>
          </w:p>
        </w:tc>
      </w:tr>
      <w:tr w14:paraId="213A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6" w:type="dxa"/>
            <w:noWrap w:val="0"/>
            <w:vAlign w:val="center"/>
          </w:tcPr>
          <w:p w14:paraId="4098A086">
            <w:pPr>
              <w:keepNext w:val="0"/>
              <w:keepLines w:val="0"/>
              <w:suppressLineNumbers w:val="0"/>
              <w:spacing w:before="0" w:beforeAutospacing="0" w:after="0" w:afterAutospacing="0" w:line="440" w:lineRule="exact"/>
              <w:ind w:left="0" w:right="0"/>
              <w:rPr>
                <w:rFonts w:hint="default"/>
                <w:color w:val="0070C0"/>
                <w:sz w:val="21"/>
                <w:szCs w:val="21"/>
              </w:rPr>
            </w:pPr>
            <w:r>
              <w:rPr>
                <w:rFonts w:hint="eastAsia"/>
                <w:color w:val="0070C0"/>
                <w:sz w:val="21"/>
                <w:szCs w:val="21"/>
              </w:rPr>
              <w:t>技能</w:t>
            </w:r>
            <w:r>
              <w:rPr>
                <w:rFonts w:hint="default"/>
                <w:color w:val="0070C0"/>
                <w:sz w:val="21"/>
                <w:szCs w:val="21"/>
              </w:rPr>
              <w:t>形成因素</w:t>
            </w:r>
          </w:p>
          <w:p w14:paraId="13CC057D">
            <w:pPr>
              <w:keepNext w:val="0"/>
              <w:keepLines w:val="0"/>
              <w:suppressLineNumbers w:val="0"/>
              <w:spacing w:before="0" w:beforeAutospacing="0" w:after="0" w:afterAutospacing="0" w:line="440" w:lineRule="exact"/>
              <w:ind w:left="0" w:right="0"/>
              <w:rPr>
                <w:rFonts w:hint="default"/>
                <w:color w:val="0070C0"/>
                <w:sz w:val="21"/>
                <w:szCs w:val="21"/>
              </w:rPr>
            </w:pPr>
          </w:p>
        </w:tc>
        <w:tc>
          <w:tcPr>
            <w:tcW w:w="7544" w:type="dxa"/>
            <w:noWrap w:val="0"/>
            <w:vAlign w:val="center"/>
          </w:tcPr>
          <w:p w14:paraId="31819E0B">
            <w:pPr>
              <w:pStyle w:val="29"/>
              <w:keepNext w:val="0"/>
              <w:keepLines w:val="0"/>
              <w:numPr>
                <w:ilvl w:val="0"/>
                <w:numId w:val="15"/>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大多数</w:t>
            </w:r>
            <w:r>
              <w:rPr>
                <w:rFonts w:hint="eastAsia"/>
                <w:color w:val="0070C0"/>
                <w:szCs w:val="21"/>
              </w:rPr>
              <w:t>技师</w:t>
            </w:r>
            <w:r>
              <w:rPr>
                <w:rFonts w:hint="default"/>
                <w:color w:val="0070C0"/>
                <w:szCs w:val="21"/>
              </w:rPr>
              <w:t>都有很高的工作负载，这导致他们尽可能快地工作和多任务。</w:t>
            </w:r>
          </w:p>
          <w:p w14:paraId="0913BCD0">
            <w:pPr>
              <w:pStyle w:val="29"/>
              <w:keepNext w:val="0"/>
              <w:keepLines w:val="0"/>
              <w:numPr>
                <w:ilvl w:val="0"/>
                <w:numId w:val="15"/>
              </w:numPr>
              <w:suppressLineNumbers w:val="0"/>
              <w:spacing w:before="0" w:beforeAutospacing="0" w:after="0" w:afterAutospacing="0" w:line="440" w:lineRule="exact"/>
              <w:ind w:right="0" w:firstLineChars="0"/>
              <w:rPr>
                <w:rFonts w:hint="default"/>
                <w:color w:val="0070C0"/>
                <w:szCs w:val="21"/>
              </w:rPr>
            </w:pPr>
            <w:r>
              <w:rPr>
                <w:rFonts w:hint="eastAsia"/>
                <w:color w:val="0070C0"/>
                <w:szCs w:val="21"/>
              </w:rPr>
              <w:t>技师</w:t>
            </w:r>
            <w:r>
              <w:rPr>
                <w:rFonts w:hint="default"/>
                <w:color w:val="0070C0"/>
                <w:szCs w:val="21"/>
              </w:rPr>
              <w:t>们被教导要仔细检查他们的工作，例如</w:t>
            </w:r>
            <w:r>
              <w:rPr>
                <w:rFonts w:hint="eastAsia"/>
                <w:color w:val="0070C0"/>
                <w:szCs w:val="21"/>
              </w:rPr>
              <w:t>阅片</w:t>
            </w:r>
            <w:r>
              <w:rPr>
                <w:rFonts w:hint="default"/>
                <w:color w:val="0070C0"/>
                <w:szCs w:val="21"/>
              </w:rPr>
              <w:t>。通常，他们需要有一个同事检查他们的工作(即进行复查)。</w:t>
            </w:r>
          </w:p>
          <w:p w14:paraId="08FCF776">
            <w:pPr>
              <w:pStyle w:val="29"/>
              <w:keepNext w:val="0"/>
              <w:keepLines w:val="0"/>
              <w:numPr>
                <w:ilvl w:val="0"/>
                <w:numId w:val="15"/>
              </w:numPr>
              <w:suppressLineNumbers w:val="0"/>
              <w:spacing w:before="0" w:beforeAutospacing="0" w:after="0" w:afterAutospacing="0" w:line="440" w:lineRule="exact"/>
              <w:ind w:right="0" w:firstLineChars="0"/>
              <w:rPr>
                <w:rFonts w:hint="default"/>
                <w:color w:val="0070C0"/>
                <w:szCs w:val="21"/>
              </w:rPr>
            </w:pPr>
            <w:r>
              <w:rPr>
                <w:rFonts w:hint="eastAsia"/>
                <w:color w:val="0070C0"/>
                <w:szCs w:val="21"/>
              </w:rPr>
              <w:t>为了节约时间，技师</w:t>
            </w:r>
            <w:r>
              <w:rPr>
                <w:rFonts w:hint="default"/>
                <w:color w:val="0070C0"/>
                <w:szCs w:val="21"/>
              </w:rPr>
              <w:t>倾向于尽可能多地了解如何使用医疗设备，以便在预期的使用场景中“使</w:t>
            </w:r>
            <w:r>
              <w:rPr>
                <w:rFonts w:hint="eastAsia"/>
                <w:color w:val="0070C0"/>
                <w:szCs w:val="21"/>
              </w:rPr>
              <w:t>设备</w:t>
            </w:r>
            <w:r>
              <w:rPr>
                <w:rFonts w:hint="default"/>
                <w:color w:val="0070C0"/>
                <w:szCs w:val="21"/>
              </w:rPr>
              <w:t>工作”。</w:t>
            </w:r>
          </w:p>
        </w:tc>
      </w:tr>
      <w:tr w14:paraId="6157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6" w:type="dxa"/>
            <w:noWrap w:val="0"/>
            <w:vAlign w:val="center"/>
          </w:tcPr>
          <w:p w14:paraId="4E683F38">
            <w:pPr>
              <w:keepNext w:val="0"/>
              <w:keepLines w:val="0"/>
              <w:suppressLineNumbers w:val="0"/>
              <w:spacing w:before="0" w:beforeAutospacing="0" w:after="0" w:afterAutospacing="0" w:line="440" w:lineRule="exact"/>
              <w:ind w:left="0" w:right="0"/>
              <w:rPr>
                <w:rFonts w:hint="default"/>
                <w:color w:val="0070C0"/>
                <w:sz w:val="21"/>
                <w:szCs w:val="21"/>
              </w:rPr>
            </w:pPr>
            <w:r>
              <w:rPr>
                <w:rFonts w:hint="default"/>
                <w:color w:val="0070C0"/>
                <w:sz w:val="21"/>
                <w:szCs w:val="21"/>
              </w:rPr>
              <w:t>学习</w:t>
            </w:r>
            <w:r>
              <w:rPr>
                <w:rFonts w:hint="eastAsia"/>
                <w:color w:val="0070C0"/>
                <w:sz w:val="21"/>
                <w:szCs w:val="21"/>
              </w:rPr>
              <w:t>方式</w:t>
            </w:r>
          </w:p>
        </w:tc>
        <w:tc>
          <w:tcPr>
            <w:tcW w:w="7544" w:type="dxa"/>
            <w:noWrap w:val="0"/>
            <w:vAlign w:val="center"/>
          </w:tcPr>
          <w:p w14:paraId="262D7654">
            <w:pPr>
              <w:pStyle w:val="29"/>
              <w:keepNext w:val="0"/>
              <w:keepLines w:val="0"/>
              <w:numPr>
                <w:ilvl w:val="0"/>
                <w:numId w:val="16"/>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大多数</w:t>
            </w:r>
            <w:r>
              <w:rPr>
                <w:rFonts w:hint="eastAsia"/>
                <w:color w:val="0070C0"/>
                <w:szCs w:val="21"/>
              </w:rPr>
              <w:t>技师</w:t>
            </w:r>
            <w:r>
              <w:rPr>
                <w:rFonts w:hint="default"/>
                <w:color w:val="0070C0"/>
                <w:szCs w:val="21"/>
              </w:rPr>
              <w:t>更喜欢通过知识渊博的同事或制造商代表向他们展示新的医疗设备的工作原理来学习使用。</w:t>
            </w:r>
          </w:p>
          <w:p w14:paraId="106BD2FE">
            <w:pPr>
              <w:pStyle w:val="29"/>
              <w:keepNext w:val="0"/>
              <w:keepLines w:val="0"/>
              <w:numPr>
                <w:ilvl w:val="0"/>
                <w:numId w:val="16"/>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在职培训通常持续20-40分钟，由于参加单个培训的</w:t>
            </w:r>
            <w:r>
              <w:rPr>
                <w:rFonts w:hint="eastAsia"/>
                <w:color w:val="0070C0"/>
                <w:szCs w:val="21"/>
              </w:rPr>
              <w:t>技师</w:t>
            </w:r>
            <w:r>
              <w:rPr>
                <w:rFonts w:hint="default"/>
                <w:color w:val="0070C0"/>
                <w:szCs w:val="21"/>
              </w:rPr>
              <w:t>数量有限，可能涉及有限程度的医疗器械的实际使用。</w:t>
            </w:r>
          </w:p>
          <w:p w14:paraId="6CCC9159">
            <w:pPr>
              <w:pStyle w:val="29"/>
              <w:keepNext w:val="0"/>
              <w:keepLines w:val="0"/>
              <w:numPr>
                <w:ilvl w:val="0"/>
                <w:numId w:val="16"/>
              </w:numPr>
              <w:suppressLineNumbers w:val="0"/>
              <w:spacing w:before="0" w:beforeAutospacing="0" w:after="0" w:afterAutospacing="0" w:line="440" w:lineRule="exact"/>
              <w:ind w:right="0" w:firstLineChars="0"/>
              <w:rPr>
                <w:rFonts w:hint="default"/>
                <w:color w:val="0070C0"/>
                <w:szCs w:val="21"/>
              </w:rPr>
            </w:pPr>
            <w:r>
              <w:rPr>
                <w:rFonts w:hint="default"/>
                <w:color w:val="0070C0"/>
                <w:szCs w:val="21"/>
              </w:rPr>
              <w:t>小部分</w:t>
            </w:r>
            <w:r>
              <w:rPr>
                <w:rFonts w:hint="eastAsia"/>
                <w:color w:val="0070C0"/>
                <w:szCs w:val="21"/>
              </w:rPr>
              <w:t>技师</w:t>
            </w:r>
            <w:r>
              <w:rPr>
                <w:rFonts w:hint="default"/>
                <w:color w:val="0070C0"/>
                <w:szCs w:val="21"/>
              </w:rPr>
              <w:t>需要时间来彻底阅读医疗器械的说明书</w:t>
            </w:r>
            <w:r>
              <w:rPr>
                <w:rFonts w:hint="eastAsia"/>
                <w:color w:val="0070C0"/>
                <w:szCs w:val="21"/>
              </w:rPr>
              <w:t>，</w:t>
            </w:r>
            <w:r>
              <w:rPr>
                <w:rFonts w:hint="default"/>
                <w:color w:val="0070C0"/>
                <w:szCs w:val="21"/>
              </w:rPr>
              <w:t>附带的文档。他们更有可能提到陪同当他们遇到无法立即、直接解决的问题时，要记录或向同事寻求帮助。</w:t>
            </w:r>
          </w:p>
          <w:p w14:paraId="49BA707D">
            <w:pPr>
              <w:pStyle w:val="29"/>
              <w:keepNext w:val="0"/>
              <w:keepLines w:val="0"/>
              <w:numPr>
                <w:ilvl w:val="0"/>
                <w:numId w:val="16"/>
              </w:numPr>
              <w:suppressLineNumbers w:val="0"/>
              <w:spacing w:before="0" w:beforeAutospacing="0" w:after="0" w:afterAutospacing="0" w:line="440" w:lineRule="exact"/>
              <w:ind w:right="0" w:firstLineChars="0"/>
              <w:rPr>
                <w:rFonts w:hint="default"/>
                <w:color w:val="0070C0"/>
                <w:szCs w:val="21"/>
              </w:rPr>
            </w:pPr>
            <w:r>
              <w:rPr>
                <w:rFonts w:hint="eastAsia"/>
                <w:color w:val="0070C0"/>
                <w:szCs w:val="21"/>
              </w:rPr>
              <w:t>说明书是，技师</w:t>
            </w:r>
            <w:r>
              <w:rPr>
                <w:rFonts w:hint="default"/>
                <w:color w:val="0070C0"/>
                <w:szCs w:val="21"/>
              </w:rPr>
              <w:t>处理常见和复杂问题的快速参考和故障排除指南。</w:t>
            </w:r>
          </w:p>
          <w:p w14:paraId="5DFCEDAC">
            <w:pPr>
              <w:pStyle w:val="29"/>
              <w:keepNext w:val="0"/>
              <w:keepLines w:val="0"/>
              <w:numPr>
                <w:ilvl w:val="0"/>
                <w:numId w:val="16"/>
              </w:numPr>
              <w:suppressLineNumbers w:val="0"/>
              <w:spacing w:before="0" w:beforeAutospacing="0" w:after="0" w:afterAutospacing="0" w:line="440" w:lineRule="exact"/>
              <w:ind w:right="0" w:firstLineChars="0"/>
              <w:rPr>
                <w:rFonts w:hint="default"/>
                <w:color w:val="0070C0"/>
                <w:szCs w:val="21"/>
              </w:rPr>
            </w:pPr>
            <w:r>
              <w:rPr>
                <w:rFonts w:hint="default" w:ascii="Segoe UI" w:hAnsi="Segoe UI" w:cs="Segoe UI"/>
                <w:color w:val="0070C0"/>
                <w:szCs w:val="21"/>
                <w:shd w:val="clear" w:color="auto" w:fill="FFFFFF"/>
              </w:rPr>
              <w:t>.具有高度责任心和服务意识、良好的职业道德、严谨的工作态度</w:t>
            </w:r>
          </w:p>
        </w:tc>
      </w:tr>
    </w:tbl>
    <w:p w14:paraId="7ED05114">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34" w:name="_Toc27726"/>
      <w:bookmarkStart w:id="35" w:name="_Toc19430"/>
      <w:r>
        <w:rPr>
          <w:rFonts w:hint="eastAsia" w:ascii="Arial Regular" w:hAnsi="Arial Regular" w:cs="Arial Regular"/>
          <w:bCs/>
          <w:lang w:eastAsia="zh-CN"/>
        </w:rPr>
        <w:t>预期的使用环境</w:t>
      </w:r>
      <w:bookmarkEnd w:id="34"/>
      <w:bookmarkEnd w:id="35"/>
    </w:p>
    <w:tbl>
      <w:tblPr>
        <w:tblStyle w:val="21"/>
        <w:tblW w:w="9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6"/>
        <w:gridCol w:w="8283"/>
      </w:tblGrid>
      <w:tr w14:paraId="2E91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9779" w:type="dxa"/>
            <w:gridSpan w:val="2"/>
            <w:noWrap w:val="0"/>
            <w:vAlign w:val="center"/>
          </w:tcPr>
          <w:p w14:paraId="77FC96C3">
            <w:pPr>
              <w:keepNext w:val="0"/>
              <w:keepLines w:val="0"/>
              <w:suppressLineNumbers w:val="0"/>
              <w:spacing w:before="0" w:beforeAutospacing="0" w:after="0" w:afterAutospacing="0" w:line="440" w:lineRule="exact"/>
              <w:ind w:left="0" w:right="0" w:firstLine="422" w:firstLineChars="200"/>
              <w:jc w:val="center"/>
              <w:rPr>
                <w:rFonts w:hint="eastAsia" w:ascii="宋体" w:hAnsi="宋体" w:eastAsia="宋体" w:cs="宋体"/>
                <w:b/>
                <w:bCs/>
                <w:color w:val="0070C0"/>
                <w:sz w:val="21"/>
                <w:szCs w:val="21"/>
              </w:rPr>
            </w:pPr>
            <w:r>
              <w:rPr>
                <w:rFonts w:hint="eastAsia" w:ascii="宋体" w:hAnsi="宋体" w:eastAsia="宋体" w:cs="宋体"/>
                <w:b/>
                <w:bCs/>
                <w:color w:val="0070C0"/>
                <w:sz w:val="21"/>
                <w:szCs w:val="21"/>
              </w:rPr>
              <w:t>XXXXX门诊/科室/ICU/家用</w:t>
            </w:r>
          </w:p>
        </w:tc>
      </w:tr>
      <w:tr w14:paraId="37AB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3" w:hRule="atLeast"/>
          <w:jc w:val="center"/>
        </w:trPr>
        <w:tc>
          <w:tcPr>
            <w:tcW w:w="1496" w:type="dxa"/>
            <w:noWrap w:val="0"/>
            <w:vAlign w:val="center"/>
          </w:tcPr>
          <w:p w14:paraId="6B10C70B">
            <w:pPr>
              <w:keepNext w:val="0"/>
              <w:keepLines w:val="0"/>
              <w:suppressLineNumbers w:val="0"/>
              <w:spacing w:before="0" w:beforeAutospacing="0" w:after="0" w:afterAutospacing="0" w:line="440" w:lineRule="exact"/>
              <w:ind w:left="0" w:right="0"/>
              <w:rPr>
                <w:rFonts w:hint="eastAsia" w:ascii="宋体" w:hAnsi="宋体" w:eastAsia="宋体" w:cs="宋体"/>
                <w:b/>
                <w:bCs/>
                <w:color w:val="0070C0"/>
                <w:sz w:val="21"/>
                <w:szCs w:val="21"/>
              </w:rPr>
            </w:pPr>
            <w:r>
              <w:rPr>
                <w:rFonts w:hint="eastAsia" w:ascii="宋体" w:hAnsi="宋体" w:eastAsia="宋体" w:cs="宋体"/>
                <w:b/>
                <w:bCs/>
                <w:color w:val="0070C0"/>
                <w:sz w:val="21"/>
                <w:szCs w:val="21"/>
              </w:rPr>
              <w:t>1.空间</w:t>
            </w:r>
          </w:p>
        </w:tc>
        <w:tc>
          <w:tcPr>
            <w:tcW w:w="8283" w:type="dxa"/>
            <w:noWrap w:val="0"/>
            <w:vAlign w:val="center"/>
          </w:tcPr>
          <w:p w14:paraId="18FC86AE">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医疗器械人因设计需要结合医疗器械的物理尺寸、连接关系以及用户的可触及范围、心理影响等因素，综合考虑使用环境的空间条件，如面积、层高、布局、朝向等，明确空间条件的最低要求并告知用户。</w:t>
            </w:r>
          </w:p>
          <w:p w14:paraId="1FA076E5">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医疗器械若可用于多个使用场合，需要保证医疗器械在每个预期使用场合的空间条件下均能安全有效使用。</w:t>
            </w:r>
          </w:p>
        </w:tc>
      </w:tr>
      <w:tr w14:paraId="2CEA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0" w:hRule="atLeast"/>
          <w:jc w:val="center"/>
        </w:trPr>
        <w:tc>
          <w:tcPr>
            <w:tcW w:w="1496" w:type="dxa"/>
            <w:noWrap w:val="0"/>
            <w:vAlign w:val="center"/>
          </w:tcPr>
          <w:p w14:paraId="6BCDF631">
            <w:pPr>
              <w:keepNext w:val="0"/>
              <w:keepLines w:val="0"/>
              <w:suppressLineNumbers w:val="0"/>
              <w:spacing w:before="0" w:beforeAutospacing="0" w:after="0" w:afterAutospacing="0" w:line="440" w:lineRule="exact"/>
              <w:ind w:left="0" w:right="0"/>
              <w:rPr>
                <w:rFonts w:hint="eastAsia" w:ascii="宋体" w:hAnsi="宋体" w:eastAsia="宋体" w:cs="宋体"/>
                <w:b/>
                <w:bCs/>
                <w:color w:val="0070C0"/>
                <w:sz w:val="21"/>
                <w:szCs w:val="21"/>
              </w:rPr>
            </w:pPr>
            <w:r>
              <w:rPr>
                <w:rFonts w:hint="eastAsia" w:ascii="宋体" w:hAnsi="宋体" w:eastAsia="宋体" w:cs="宋体"/>
                <w:b/>
                <w:bCs/>
                <w:color w:val="0070C0"/>
                <w:sz w:val="21"/>
                <w:szCs w:val="21"/>
              </w:rPr>
              <w:t>2.照明</w:t>
            </w:r>
          </w:p>
        </w:tc>
        <w:tc>
          <w:tcPr>
            <w:tcW w:w="8283" w:type="dxa"/>
            <w:noWrap w:val="0"/>
            <w:vAlign w:val="center"/>
          </w:tcPr>
          <w:p w14:paraId="4721CBF0">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良好的照明条件是用户正确使用医疗器械的必要条件。医疗器械人因设计需要结合环境光考虑照明要求，如光源、照度、颜色等，必要时自带照明功能或者使用医用照明设备，特殊情况使用护目镜。</w:t>
            </w:r>
          </w:p>
          <w:p w14:paraId="6BA9C634">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环境光需要考虑空间布局、纹理颜色、采光条件、阳光直射、反光等因素影响。不同使用场合的照度要求不同，如手术场合需要高亮聚焦的照明条件，门诊场合照度要求通常与普通办公环境相当。照明颜色不仅可用于区分使用场合，而且能够对用户心理产生影响。</w:t>
            </w:r>
          </w:p>
          <w:p w14:paraId="38F8C73F">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医疗器械若可用于多个使用场合，需要考虑不同使用场合照明条件的差异，保证医疗器械在每个预期使用场合的照明条件下均能安全有效使用。</w:t>
            </w:r>
          </w:p>
        </w:tc>
      </w:tr>
      <w:tr w14:paraId="3EAC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1" w:hRule="atLeast"/>
          <w:jc w:val="center"/>
        </w:trPr>
        <w:tc>
          <w:tcPr>
            <w:tcW w:w="1496" w:type="dxa"/>
            <w:noWrap w:val="0"/>
            <w:vAlign w:val="center"/>
          </w:tcPr>
          <w:p w14:paraId="7F0FDB31">
            <w:pPr>
              <w:keepNext w:val="0"/>
              <w:keepLines w:val="0"/>
              <w:suppressLineNumbers w:val="0"/>
              <w:spacing w:before="0" w:beforeAutospacing="0" w:after="0" w:afterAutospacing="0" w:line="440" w:lineRule="exact"/>
              <w:ind w:left="0" w:right="0"/>
              <w:rPr>
                <w:rFonts w:hint="eastAsia" w:ascii="宋体" w:hAnsi="宋体" w:eastAsia="宋体" w:cs="宋体"/>
                <w:b/>
                <w:bCs/>
                <w:color w:val="0070C0"/>
                <w:sz w:val="21"/>
                <w:szCs w:val="21"/>
              </w:rPr>
            </w:pPr>
            <w:r>
              <w:rPr>
                <w:rFonts w:hint="eastAsia" w:ascii="宋体" w:hAnsi="宋体" w:eastAsia="宋体" w:cs="宋体"/>
                <w:b/>
                <w:bCs/>
                <w:color w:val="0070C0"/>
                <w:sz w:val="21"/>
                <w:szCs w:val="21"/>
              </w:rPr>
              <w:t>3.温度、湿度与气压</w:t>
            </w:r>
          </w:p>
          <w:p w14:paraId="639EEC47">
            <w:pPr>
              <w:keepNext w:val="0"/>
              <w:keepLines w:val="0"/>
              <w:suppressLineNumbers w:val="0"/>
              <w:spacing w:before="0" w:beforeAutospacing="0" w:after="0" w:afterAutospacing="0" w:line="440" w:lineRule="exact"/>
              <w:ind w:left="0" w:right="0"/>
              <w:rPr>
                <w:rFonts w:hint="eastAsia" w:ascii="宋体" w:hAnsi="宋体" w:eastAsia="宋体" w:cs="宋体"/>
                <w:b/>
                <w:bCs/>
                <w:color w:val="0070C0"/>
                <w:sz w:val="21"/>
                <w:szCs w:val="21"/>
              </w:rPr>
            </w:pPr>
          </w:p>
        </w:tc>
        <w:tc>
          <w:tcPr>
            <w:tcW w:w="8283" w:type="dxa"/>
            <w:noWrap w:val="0"/>
            <w:vAlign w:val="center"/>
          </w:tcPr>
          <w:p w14:paraId="2992C54A">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使用环境的温度、湿度与气压不仅会影响医疗器械的性能，而且会影响用户基础能力，同时某些医疗器械也会对使用环境的温度、湿度和气压产生影响。因此，医疗器械人因设计需要兼顾上述两方面情况。</w:t>
            </w:r>
          </w:p>
          <w:p w14:paraId="1C98F48B">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预期在高温或低温环境使用的医疗器械需要考虑用户的耐受能力，尽量减少长时间操作。同时，医疗器械表面温度过高或过低可能会对用户产生伤害，需要根据表面温度限值进行设计，表面温度限值取决于接触部分材质、接触时间、接触面积等因素。</w:t>
            </w:r>
          </w:p>
          <w:p w14:paraId="07D52CBE">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预期在潮湿环境使用的医疗器械需要考虑防滑设计，如采用表面纹理处理，保证用户手部弄湿后仍能准确操作。有源医疗器械还需考虑电气安全风险。某些医疗器械在使用过程中会提高周围环境湿度，需要采取控制措施以保证环境湿度处于合理水平。</w:t>
            </w:r>
          </w:p>
          <w:p w14:paraId="593FEFDA">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预期在高压环境使用的医疗器械不仅要考虑自身抗压限值，而且要考虑高压对于用户基础能力的影响，如高压会影响用户视力，需要采用更大、更亮的显示装置。预期在低压环境使用的医疗器械需要考虑用户的耐受能力，尽量减少长时间操作。</w:t>
            </w:r>
          </w:p>
        </w:tc>
      </w:tr>
      <w:tr w14:paraId="6593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2" w:hRule="atLeast"/>
          <w:jc w:val="center"/>
        </w:trPr>
        <w:tc>
          <w:tcPr>
            <w:tcW w:w="1496" w:type="dxa"/>
            <w:noWrap w:val="0"/>
            <w:vAlign w:val="center"/>
          </w:tcPr>
          <w:p w14:paraId="49898834">
            <w:pPr>
              <w:keepNext w:val="0"/>
              <w:keepLines w:val="0"/>
              <w:suppressLineNumbers w:val="0"/>
              <w:spacing w:before="0" w:beforeAutospacing="0" w:after="0" w:afterAutospacing="0" w:line="440" w:lineRule="exact"/>
              <w:ind w:left="0" w:right="0"/>
              <w:rPr>
                <w:rFonts w:hint="eastAsia" w:ascii="宋体" w:hAnsi="宋体" w:eastAsia="宋体" w:cs="宋体"/>
                <w:b/>
                <w:bCs/>
                <w:color w:val="0070C0"/>
                <w:sz w:val="21"/>
                <w:szCs w:val="21"/>
              </w:rPr>
            </w:pPr>
            <w:r>
              <w:rPr>
                <w:rFonts w:hint="eastAsia" w:ascii="宋体" w:hAnsi="宋体" w:eastAsia="宋体" w:cs="宋体"/>
                <w:b/>
                <w:bCs/>
                <w:color w:val="0070C0"/>
                <w:sz w:val="21"/>
                <w:szCs w:val="21"/>
              </w:rPr>
              <w:t>4.洁净度</w:t>
            </w:r>
          </w:p>
          <w:p w14:paraId="522AE470">
            <w:pPr>
              <w:keepNext w:val="0"/>
              <w:keepLines w:val="0"/>
              <w:suppressLineNumbers w:val="0"/>
              <w:spacing w:before="0" w:beforeAutospacing="0" w:after="0" w:afterAutospacing="0" w:line="440" w:lineRule="exact"/>
              <w:ind w:left="0" w:right="0"/>
              <w:rPr>
                <w:rFonts w:hint="eastAsia" w:ascii="宋体" w:hAnsi="宋体" w:eastAsia="宋体" w:cs="宋体"/>
                <w:b/>
                <w:bCs/>
                <w:color w:val="0070C0"/>
                <w:sz w:val="21"/>
                <w:szCs w:val="21"/>
              </w:rPr>
            </w:pPr>
          </w:p>
        </w:tc>
        <w:tc>
          <w:tcPr>
            <w:tcW w:w="8283" w:type="dxa"/>
            <w:noWrap w:val="0"/>
            <w:vAlign w:val="center"/>
          </w:tcPr>
          <w:p w14:paraId="29EB34EE">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对于有洁净度要求的医疗器械，表面尽量光滑，没有缝隙，易于清洗和消毒，同时重要位置和部件采取防尘措施，如标签、开关、显示装置、连接装置、控制装置、通风口等。</w:t>
            </w:r>
          </w:p>
          <w:p w14:paraId="3097E55A">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对于在无菌环境使用的医疗器械，可考虑设计为一次性使用，若为可重复使用需要考虑所用灭菌方法对于医疗器械的影响。使用无菌罩保证其不会影响医疗器械的正常使用，包括医疗信息的显示。有源医疗器械可考虑采用远程控制，此时需要保证远端能够准确显示无菌环境中的医疗信息。</w:t>
            </w:r>
          </w:p>
        </w:tc>
      </w:tr>
      <w:tr w14:paraId="5F63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4" w:hRule="atLeast"/>
          <w:jc w:val="center"/>
        </w:trPr>
        <w:tc>
          <w:tcPr>
            <w:tcW w:w="1496" w:type="dxa"/>
            <w:noWrap w:val="0"/>
            <w:vAlign w:val="center"/>
          </w:tcPr>
          <w:p w14:paraId="29F25AC5">
            <w:pPr>
              <w:keepNext w:val="0"/>
              <w:keepLines w:val="0"/>
              <w:suppressLineNumbers w:val="0"/>
              <w:spacing w:before="0" w:beforeAutospacing="0" w:after="0" w:afterAutospacing="0" w:line="440" w:lineRule="exact"/>
              <w:ind w:left="0" w:right="0"/>
              <w:rPr>
                <w:rFonts w:hint="eastAsia" w:ascii="宋体" w:hAnsi="宋体" w:eastAsia="宋体" w:cs="宋体"/>
                <w:b/>
                <w:bCs/>
                <w:color w:val="0070C0"/>
                <w:sz w:val="21"/>
                <w:szCs w:val="21"/>
              </w:rPr>
            </w:pPr>
            <w:r>
              <w:rPr>
                <w:rFonts w:hint="eastAsia" w:ascii="宋体" w:hAnsi="宋体" w:eastAsia="宋体" w:cs="宋体"/>
                <w:b/>
                <w:bCs/>
                <w:color w:val="0070C0"/>
                <w:sz w:val="21"/>
                <w:szCs w:val="21"/>
              </w:rPr>
              <w:t>5.噪声</w:t>
            </w:r>
          </w:p>
        </w:tc>
        <w:tc>
          <w:tcPr>
            <w:tcW w:w="8283" w:type="dxa"/>
            <w:noWrap w:val="0"/>
            <w:vAlign w:val="center"/>
          </w:tcPr>
          <w:p w14:paraId="46E1218B">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噪声会产生听觉干扰，影响用户正常使用和患者休息，甚至可能伤害用户和患者的听力。医疗器械人因设计需要考虑使用环境的背景噪声以及医疗器械所产生的噪声。</w:t>
            </w:r>
          </w:p>
          <w:p w14:paraId="558F42AC">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背景噪声与使用场合、地理位置、噪声源、时间段（白天/黑夜）等因素密切相关，需要进行综合评估。医疗器械所产生的噪声较为普遍，典型噪声源自报警声音，一方面背景噪声不能掩盖报警声音，另一方面音量过大的、频繁的报警声音会对用户和患者产生心理压力，报警提示音可设计为可调节方式。</w:t>
            </w:r>
          </w:p>
          <w:p w14:paraId="0C17CC71">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噪声会干扰人员交流以及用户正常使用，而过强、过长的噪声会产生听力损伤乃至听力丧失，因此需要基于噪声限值进行医疗器械人因设计，控制医疗器械所产生的噪声水平，必要时使用防护耳罩，并采用视觉、触觉或混合操作方式。</w:t>
            </w:r>
          </w:p>
        </w:tc>
      </w:tr>
      <w:tr w14:paraId="69DE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3" w:hRule="atLeast"/>
          <w:jc w:val="center"/>
        </w:trPr>
        <w:tc>
          <w:tcPr>
            <w:tcW w:w="1496" w:type="dxa"/>
            <w:noWrap w:val="0"/>
            <w:vAlign w:val="center"/>
          </w:tcPr>
          <w:p w14:paraId="7A5C4F47">
            <w:pPr>
              <w:keepNext w:val="0"/>
              <w:keepLines w:val="0"/>
              <w:suppressLineNumbers w:val="0"/>
              <w:spacing w:before="0" w:beforeAutospacing="0" w:after="0" w:afterAutospacing="0" w:line="440" w:lineRule="exact"/>
              <w:ind w:left="0" w:right="0"/>
              <w:rPr>
                <w:rFonts w:hint="eastAsia" w:ascii="宋体" w:hAnsi="宋体" w:eastAsia="宋体" w:cs="宋体"/>
                <w:b/>
                <w:bCs/>
                <w:color w:val="0070C0"/>
                <w:sz w:val="21"/>
                <w:szCs w:val="21"/>
              </w:rPr>
            </w:pPr>
            <w:r>
              <w:rPr>
                <w:rFonts w:hint="eastAsia" w:ascii="宋体" w:hAnsi="宋体" w:eastAsia="宋体" w:cs="宋体"/>
                <w:b/>
                <w:bCs/>
                <w:color w:val="0070C0"/>
                <w:sz w:val="21"/>
                <w:szCs w:val="21"/>
              </w:rPr>
              <w:t>6.振动</w:t>
            </w:r>
          </w:p>
        </w:tc>
        <w:tc>
          <w:tcPr>
            <w:tcW w:w="8283" w:type="dxa"/>
            <w:noWrap w:val="0"/>
            <w:vAlign w:val="center"/>
          </w:tcPr>
          <w:p w14:paraId="29058C0B">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使用环境和医疗器械自身的振动均会干扰医疗器械正常运行，可能造成用户操作困难。在急救转运等场合下尤其需要考虑振动的影响，例如显示装置的振动不仅会产生干扰杂波，而且会增加用户识别信息的难度。因此，需要基于使用场合，结合振动的幅度、加速度等特性进行医疗器械人因设计，如采用减振措施、使用大尺寸控制装置。</w:t>
            </w:r>
          </w:p>
        </w:tc>
      </w:tr>
      <w:tr w14:paraId="75C4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3" w:hRule="atLeast"/>
          <w:jc w:val="center"/>
        </w:trPr>
        <w:tc>
          <w:tcPr>
            <w:tcW w:w="1496" w:type="dxa"/>
            <w:noWrap w:val="0"/>
            <w:vAlign w:val="center"/>
          </w:tcPr>
          <w:p w14:paraId="58E3B89A">
            <w:pPr>
              <w:keepNext w:val="0"/>
              <w:keepLines w:val="0"/>
              <w:suppressLineNumbers w:val="0"/>
              <w:spacing w:before="0" w:beforeAutospacing="0" w:after="0" w:afterAutospacing="0" w:line="440" w:lineRule="exact"/>
              <w:ind w:left="0" w:right="0"/>
              <w:rPr>
                <w:rFonts w:hint="eastAsia" w:ascii="宋体" w:hAnsi="宋体" w:eastAsia="宋体" w:cs="宋体"/>
                <w:b/>
                <w:bCs/>
                <w:color w:val="0070C0"/>
                <w:sz w:val="21"/>
                <w:szCs w:val="21"/>
              </w:rPr>
            </w:pPr>
            <w:r>
              <w:rPr>
                <w:rFonts w:hint="eastAsia" w:ascii="宋体" w:hAnsi="宋体" w:eastAsia="宋体" w:cs="宋体"/>
                <w:b/>
                <w:bCs/>
                <w:color w:val="0070C0"/>
                <w:sz w:val="21"/>
                <w:szCs w:val="21"/>
              </w:rPr>
              <w:t>7.辐射</w:t>
            </w:r>
          </w:p>
        </w:tc>
        <w:tc>
          <w:tcPr>
            <w:tcW w:w="8283" w:type="dxa"/>
            <w:noWrap w:val="0"/>
            <w:vAlign w:val="center"/>
          </w:tcPr>
          <w:p w14:paraId="24753C66">
            <w:pPr>
              <w:keepNext w:val="0"/>
              <w:keepLines w:val="0"/>
              <w:suppressLineNumbers w:val="0"/>
              <w:spacing w:before="0" w:beforeAutospacing="0" w:after="0" w:afterAutospacing="0" w:line="440" w:lineRule="exact"/>
              <w:ind w:left="0" w:right="0" w:firstLine="420" w:firstLineChars="200"/>
              <w:rPr>
                <w:rFonts w:hint="eastAsia" w:ascii="宋体" w:hAnsi="宋体" w:eastAsia="宋体" w:cs="宋体"/>
                <w:color w:val="0070C0"/>
                <w:sz w:val="21"/>
                <w:szCs w:val="21"/>
              </w:rPr>
            </w:pPr>
            <w:r>
              <w:rPr>
                <w:rFonts w:hint="eastAsia" w:ascii="宋体" w:hAnsi="宋体" w:eastAsia="宋体" w:cs="宋体"/>
                <w:color w:val="0070C0"/>
                <w:sz w:val="21"/>
                <w:szCs w:val="21"/>
              </w:rPr>
              <w:t>预期在辐射环境使用的医疗器械除了考虑人员防护、警示信息等要求之外，还需考虑个人防护用具对于用户行动能力的影响，一方面可能会限制用户某些动作的运动幅度，另一方面对用户耐力的要求较高，需要考虑用户疲劳问题。另外，医疗器械有些元器件对放射线敏感，在辐射环境中使用也需考虑防护问题。</w:t>
            </w:r>
          </w:p>
        </w:tc>
      </w:tr>
    </w:tbl>
    <w:p w14:paraId="3E46DFF3">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36" w:name="_Toc13060"/>
      <w:bookmarkStart w:id="37" w:name="_Toc639"/>
      <w:r>
        <w:rPr>
          <w:rFonts w:hint="eastAsia" w:ascii="Arial Regular" w:hAnsi="Arial Regular" w:cs="Arial Regular"/>
          <w:bCs/>
          <w:lang w:eastAsia="zh-CN"/>
        </w:rPr>
        <w:t>操作原理及工作机理</w:t>
      </w:r>
      <w:bookmarkEnd w:id="36"/>
      <w:bookmarkEnd w:id="37"/>
    </w:p>
    <w:p w14:paraId="1B533AE2">
      <w:pPr>
        <w:pStyle w:val="4"/>
        <w:bidi w:val="0"/>
        <w:ind w:left="720" w:leftChars="0" w:hanging="720" w:firstLineChars="0"/>
        <w:rPr>
          <w:rFonts w:hint="eastAsia"/>
          <w:b w:val="0"/>
          <w:bCs w:val="0"/>
          <w:lang w:val="en-US" w:eastAsia="zh-CN"/>
        </w:rPr>
      </w:pPr>
      <w:bookmarkStart w:id="38" w:name="_Toc8027"/>
      <w:bookmarkStart w:id="39" w:name="_Toc17954"/>
      <w:r>
        <w:rPr>
          <w:rFonts w:hint="eastAsia"/>
          <w:b w:val="0"/>
          <w:bCs w:val="0"/>
          <w:lang w:val="en-US" w:eastAsia="zh-CN"/>
        </w:rPr>
        <w:t>操作原理</w:t>
      </w:r>
      <w:bookmarkEnd w:id="38"/>
      <w:bookmarkEnd w:id="39"/>
    </w:p>
    <w:p w14:paraId="770271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r>
        <w:rPr>
          <w:rFonts w:hint="eastAsia" w:ascii="宋体" w:hAnsi="宋体" w:eastAsia="宋体"/>
          <w:color w:val="0070C0"/>
          <w:sz w:val="24"/>
          <w:szCs w:val="24"/>
        </w:rPr>
        <w:t>在医院的问诊室内，透析医护人员会仔细询问患者的病情，</w:t>
      </w:r>
      <w:r>
        <w:rPr>
          <w:rFonts w:hint="eastAsia" w:ascii="宋体" w:hAnsi="宋体" w:eastAsia="宋体"/>
          <w:color w:val="0070C0"/>
          <w:sz w:val="24"/>
          <w:szCs w:val="24"/>
          <w:lang w:val="en-US" w:eastAsia="zh-CN"/>
        </w:rPr>
        <w:t>患者</w:t>
      </w:r>
      <w:r>
        <w:rPr>
          <w:rFonts w:hint="eastAsia" w:ascii="宋体" w:hAnsi="宋体" w:eastAsia="宋体"/>
          <w:color w:val="0070C0"/>
          <w:sz w:val="24"/>
          <w:szCs w:val="24"/>
        </w:rPr>
        <w:t>并根据具体情况</w:t>
      </w:r>
      <w:r>
        <w:rPr>
          <w:rFonts w:hint="eastAsia" w:ascii="宋体" w:hAnsi="宋体" w:eastAsia="宋体"/>
          <w:color w:val="0070C0"/>
          <w:sz w:val="24"/>
          <w:szCs w:val="24"/>
          <w:lang w:val="en-US" w:eastAsia="zh-CN"/>
        </w:rPr>
        <w:t>决定是否购买</w:t>
      </w:r>
      <w:r>
        <w:rPr>
          <w:rFonts w:hint="eastAsia" w:ascii="宋体" w:hAnsi="宋体" w:eastAsia="宋体"/>
          <w:color w:val="0070C0"/>
          <w:sz w:val="24"/>
          <w:szCs w:val="24"/>
          <w:lang w:eastAsia="zh-CN"/>
        </w:rPr>
        <w:t>低频止鼾声器</w:t>
      </w:r>
      <w:r>
        <w:rPr>
          <w:rFonts w:hint="eastAsia" w:ascii="宋体" w:hAnsi="宋体" w:eastAsia="宋体"/>
          <w:color w:val="0070C0"/>
          <w:sz w:val="24"/>
          <w:szCs w:val="24"/>
        </w:rPr>
        <w:t>。随后，</w:t>
      </w:r>
      <w:r>
        <w:rPr>
          <w:rFonts w:hint="eastAsia" w:ascii="宋体" w:hAnsi="宋体" w:eastAsia="宋体"/>
          <w:color w:val="0070C0"/>
          <w:sz w:val="24"/>
          <w:szCs w:val="24"/>
          <w:lang w:val="en-US" w:eastAsia="zh-CN"/>
        </w:rPr>
        <w:t>患者按照</w:t>
      </w:r>
      <w:r>
        <w:rPr>
          <w:rFonts w:hint="eastAsia" w:ascii="宋体" w:hAnsi="宋体" w:eastAsia="宋体"/>
          <w:color w:val="0070C0"/>
          <w:sz w:val="24"/>
          <w:szCs w:val="24"/>
          <w:lang w:eastAsia="zh-CN"/>
        </w:rPr>
        <w:t>低频止鼾声器</w:t>
      </w:r>
      <w:r>
        <w:rPr>
          <w:rFonts w:hint="eastAsia" w:ascii="宋体" w:hAnsi="宋体" w:eastAsia="宋体"/>
          <w:color w:val="0070C0"/>
          <w:sz w:val="24"/>
          <w:szCs w:val="24"/>
          <w:lang w:val="en-US" w:eastAsia="zh-CN"/>
        </w:rPr>
        <w:t>在详细阅读说明书或者视频后</w:t>
      </w:r>
      <w:r>
        <w:rPr>
          <w:rFonts w:hint="eastAsia" w:ascii="宋体" w:hAnsi="宋体" w:eastAsia="宋体"/>
          <w:color w:val="0070C0"/>
          <w:sz w:val="24"/>
          <w:szCs w:val="24"/>
        </w:rPr>
        <w:t>，熟练地操控各种</w:t>
      </w:r>
      <w:r>
        <w:rPr>
          <w:rFonts w:hint="eastAsia" w:ascii="宋体" w:hAnsi="宋体" w:eastAsia="宋体"/>
          <w:color w:val="0070C0"/>
          <w:sz w:val="24"/>
          <w:szCs w:val="24"/>
          <w:lang w:eastAsia="zh-CN"/>
        </w:rPr>
        <w:t>低频止鼾声器</w:t>
      </w:r>
      <w:r>
        <w:rPr>
          <w:rFonts w:hint="eastAsia" w:ascii="宋体" w:hAnsi="宋体" w:eastAsia="宋体"/>
          <w:color w:val="0070C0"/>
          <w:sz w:val="24"/>
          <w:szCs w:val="24"/>
          <w:lang w:val="en-US" w:eastAsia="zh-CN"/>
        </w:rPr>
        <w:t>的使用方法</w:t>
      </w:r>
      <w:r>
        <w:rPr>
          <w:rFonts w:hint="eastAsia" w:ascii="宋体" w:hAnsi="宋体" w:eastAsia="宋体"/>
          <w:color w:val="0070C0"/>
          <w:sz w:val="24"/>
          <w:szCs w:val="24"/>
        </w:rPr>
        <w:t>，</w:t>
      </w:r>
      <w:r>
        <w:rPr>
          <w:rFonts w:hint="eastAsia" w:ascii="宋体" w:hAnsi="宋体" w:eastAsia="宋体"/>
          <w:color w:val="0070C0"/>
          <w:sz w:val="24"/>
          <w:szCs w:val="24"/>
          <w:lang w:val="en-US" w:eastAsia="zh-CN"/>
        </w:rPr>
        <w:t>并进行</w:t>
      </w:r>
      <w:r>
        <w:rPr>
          <w:rFonts w:hint="eastAsia" w:ascii="宋体" w:hAnsi="宋体" w:eastAsia="宋体"/>
          <w:color w:val="0070C0"/>
          <w:sz w:val="24"/>
          <w:szCs w:val="24"/>
          <w:lang w:eastAsia="zh-CN"/>
        </w:rPr>
        <w:t>原发性鼾症和轻中度阻塞性睡眠呼吸暂停</w:t>
      </w:r>
      <w:r>
        <w:rPr>
          <w:rFonts w:hint="eastAsia" w:ascii="宋体" w:hAnsi="宋体" w:eastAsia="宋体"/>
          <w:color w:val="0070C0"/>
          <w:sz w:val="24"/>
          <w:szCs w:val="24"/>
        </w:rPr>
        <w:t>。</w:t>
      </w:r>
    </w:p>
    <w:p w14:paraId="3CA4C3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p>
    <w:p w14:paraId="64C58196">
      <w:pPr>
        <w:pStyle w:val="4"/>
        <w:bidi w:val="0"/>
        <w:ind w:left="720" w:leftChars="0" w:hanging="720" w:firstLineChars="0"/>
        <w:rPr>
          <w:rFonts w:hint="eastAsia" w:eastAsia="宋体"/>
          <w:b w:val="0"/>
          <w:bCs w:val="0"/>
          <w:lang w:val="en-US" w:eastAsia="zh-CN"/>
        </w:rPr>
      </w:pPr>
      <w:bookmarkStart w:id="40" w:name="_Toc24951"/>
      <w:bookmarkStart w:id="41" w:name="_Toc1917"/>
      <w:r>
        <w:rPr>
          <w:rFonts w:hint="eastAsia" w:eastAsia="宋体"/>
          <w:b w:val="0"/>
          <w:bCs w:val="0"/>
          <w:lang w:val="en-US" w:eastAsia="zh-CN"/>
        </w:rPr>
        <w:t>产品原理</w:t>
      </w:r>
      <w:bookmarkEnd w:id="40"/>
      <w:bookmarkEnd w:id="41"/>
    </w:p>
    <w:p w14:paraId="21B56F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lang w:eastAsia="zh-CN"/>
        </w:rPr>
      </w:pPr>
      <w:r>
        <w:rPr>
          <w:rFonts w:hint="eastAsia" w:ascii="宋体" w:hAnsi="宋体" w:eastAsia="宋体"/>
          <w:color w:val="0070C0"/>
          <w:sz w:val="24"/>
          <w:szCs w:val="24"/>
          <w:lang w:eastAsia="zh-CN"/>
        </w:rPr>
        <w:t>预期用途：适用于通过电刺激肌肉增强舌肌以减少18岁或以上患者的原发性鼾症和轻中度阻塞性睡眠呼吸暂停（AHI＜30）；</w:t>
      </w:r>
    </w:p>
    <w:p w14:paraId="143E29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lang w:eastAsia="zh-CN"/>
        </w:rPr>
      </w:pPr>
      <w:r>
        <w:rPr>
          <w:rFonts w:hint="eastAsia" w:ascii="宋体" w:hAnsi="宋体" w:eastAsia="宋体"/>
          <w:color w:val="0070C0"/>
          <w:sz w:val="24"/>
          <w:szCs w:val="24"/>
          <w:lang w:eastAsia="zh-CN"/>
        </w:rPr>
        <w:t>适应症：原发性鼾症和轻中度阻塞性呼吸暂停（AHI＜30）；</w:t>
      </w:r>
    </w:p>
    <w:p w14:paraId="0F2C74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lang w:eastAsia="zh-CN"/>
        </w:rPr>
      </w:pPr>
      <w:r>
        <w:rPr>
          <w:rFonts w:hint="eastAsia" w:ascii="宋体" w:hAnsi="宋体" w:eastAsia="宋体"/>
          <w:color w:val="0070C0"/>
          <w:sz w:val="24"/>
          <w:szCs w:val="24"/>
          <w:lang w:eastAsia="zh-CN"/>
        </w:rPr>
        <w:t>简单原理：利用低频电刺激技术，在非睡眠期间刺激舌肌，恢复舌肌纤维功能，加强舌肌张力。同时刺激神经，恢复神经对舌肌控制的敏感性。通过这两个方面，缓解睡眠期间的上呼吸道肌肉塌陷，达到治疗OSA的目的。</w:t>
      </w:r>
    </w:p>
    <w:p w14:paraId="643210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lang w:eastAsia="zh-CN"/>
        </w:rPr>
      </w:pPr>
    </w:p>
    <w:p w14:paraId="3D15BDF5">
      <w:pPr>
        <w:pStyle w:val="2"/>
        <w:rPr>
          <w:rFonts w:hint="eastAsia" w:eastAsia="宋体" w:cs="Times New Roman"/>
          <w:lang w:val="en-US" w:eastAsia="zh-CN"/>
        </w:rPr>
      </w:pPr>
      <w:bookmarkStart w:id="42" w:name="_Toc12825"/>
      <w:bookmarkStart w:id="43" w:name="_Toc20708"/>
      <w:r>
        <w:rPr>
          <w:rFonts w:hint="eastAsia" w:eastAsia="宋体" w:cs="Times New Roman"/>
          <w:lang w:val="en-US" w:eastAsia="zh-CN"/>
        </w:rPr>
        <w:t>人机交互方式</w:t>
      </w:r>
      <w:bookmarkEnd w:id="42"/>
      <w:bookmarkEnd w:id="43"/>
    </w:p>
    <w:p w14:paraId="529A3414">
      <w:pPr>
        <w:numPr>
          <w:ilvl w:val="0"/>
          <w:numId w:val="17"/>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设备的尺寸和形状（特别是手持和可穿戴设备的问题）。</w:t>
      </w:r>
    </w:p>
    <w:p w14:paraId="616B8A1A">
      <w:pPr>
        <w:numPr>
          <w:ilvl w:val="0"/>
          <w:numId w:val="17"/>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向用户提供信息的元素，例如指示灯、显示器、听觉和视觉警报。</w:t>
      </w:r>
    </w:p>
    <w:p w14:paraId="0CBF6D55">
      <w:pPr>
        <w:numPr>
          <w:ilvl w:val="0"/>
          <w:numId w:val="17"/>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设备软件系统的图形用户界面。</w:t>
      </w:r>
    </w:p>
    <w:p w14:paraId="3E32A145">
      <w:pPr>
        <w:numPr>
          <w:ilvl w:val="0"/>
          <w:numId w:val="17"/>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整体用户-系统交互的逻辑，包括如何、何时以及以何种形式向用户提供信息（即反馈）。</w:t>
      </w:r>
    </w:p>
    <w:p w14:paraId="02575651">
      <w:pPr>
        <w:numPr>
          <w:ilvl w:val="0"/>
          <w:numId w:val="17"/>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操作员连接、定位、配置或操作的组件。</w:t>
      </w:r>
    </w:p>
    <w:p w14:paraId="13868C5D">
      <w:pPr>
        <w:numPr>
          <w:ilvl w:val="0"/>
          <w:numId w:val="17"/>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用户处理用于 控制设备操作的硬件组件，例如开关、按钮和旋钮。</w:t>
      </w:r>
    </w:p>
    <w:p w14:paraId="0ABB9B1F">
      <w:pPr>
        <w:numPr>
          <w:ilvl w:val="0"/>
          <w:numId w:val="17"/>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应用或连接到患者的组件或配件。</w:t>
      </w:r>
    </w:p>
    <w:p w14:paraId="7B8E92FC">
      <w:pPr>
        <w:numPr>
          <w:ilvl w:val="0"/>
          <w:numId w:val="17"/>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en-US" w:eastAsia="zh-CN"/>
        </w:rPr>
        <w:t>说明书、</w:t>
      </w:r>
      <w:r>
        <w:rPr>
          <w:rFonts w:hint="eastAsia" w:ascii="宋体" w:hAnsi="宋体" w:eastAsia="宋体"/>
          <w:color w:val="0070C0"/>
          <w:sz w:val="24"/>
          <w:szCs w:val="24"/>
          <w:lang w:val="zh-Hans" w:eastAsia="zh-CN"/>
        </w:rPr>
        <w:t>包装和标签，包括操作说明、培训材料和其他材料。</w:t>
      </w:r>
    </w:p>
    <w:p w14:paraId="33D8C3A6">
      <w:pPr>
        <w:numPr>
          <w:numId w:val="0"/>
        </w:numPr>
        <w:spacing w:line="440" w:lineRule="exact"/>
        <w:rPr>
          <w:rFonts w:hint="eastAsia" w:ascii="宋体" w:hAnsi="宋体" w:eastAsia="宋体"/>
          <w:color w:val="0070C0"/>
          <w:sz w:val="24"/>
          <w:szCs w:val="24"/>
          <w:lang w:val="zh-Hans" w:eastAsia="zh-CN"/>
        </w:rPr>
      </w:pPr>
    </w:p>
    <w:p w14:paraId="771A8FC0">
      <w:pPr>
        <w:rPr>
          <w:rFonts w:hint="eastAsia"/>
          <w:lang w:eastAsia="zh-CN"/>
        </w:rPr>
      </w:pPr>
    </w:p>
    <w:p w14:paraId="7C4DF25C">
      <w:pPr>
        <w:pStyle w:val="4"/>
        <w:bidi w:val="0"/>
        <w:ind w:left="720" w:leftChars="0" w:hanging="720" w:firstLineChars="0"/>
        <w:rPr>
          <w:rFonts w:hint="eastAsia" w:eastAsia="宋体"/>
          <w:b w:val="0"/>
          <w:bCs w:val="0"/>
          <w:lang w:val="en-US" w:eastAsia="zh-CN"/>
        </w:rPr>
      </w:pPr>
      <w:bookmarkStart w:id="44" w:name="_Toc13895"/>
      <w:bookmarkStart w:id="45" w:name="_Toc30075"/>
      <w:r>
        <w:rPr>
          <w:rFonts w:hint="eastAsia" w:eastAsia="宋体"/>
          <w:b w:val="0"/>
          <w:bCs w:val="0"/>
          <w:lang w:val="en-US" w:eastAsia="zh-CN"/>
        </w:rPr>
        <w:t>人机交互方式总览</w:t>
      </w:r>
      <w:bookmarkEnd w:id="44"/>
      <w:bookmarkEnd w:id="45"/>
    </w:p>
    <w:p w14:paraId="06EF8F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设备生命周期内已明确常见使用功能，涵盖用户与设备软硬件的交互，整体功能目标为：用户可对系统状态进行调整（含开关机、移动、待机），将设备移至所需位置并完成患者摆位，通过平板应用系统软件部署成像相关任务，确保患者安全完成扫描后，在软件中读取扫描图像。</w:t>
      </w:r>
    </w:p>
    <w:p w14:paraId="04DECE8C">
      <w:pPr>
        <w:ind w:firstLine="221" w:firstLineChars="100"/>
        <w:jc w:val="center"/>
        <w:rPr>
          <w:rFonts w:hint="eastAsia"/>
          <w:b/>
          <w:bCs/>
          <w:strike w:val="0"/>
          <w:dstrike w:val="0"/>
          <w:sz w:val="22"/>
          <w:szCs w:val="28"/>
          <w:lang w:val="en-US" w:eastAsia="zh-CN"/>
        </w:rPr>
      </w:pPr>
      <w:r>
        <w:rPr>
          <w:rFonts w:hint="eastAsia"/>
          <w:b/>
          <w:bCs/>
          <w:strike w:val="0"/>
          <w:dstrike w:val="0"/>
          <w:sz w:val="22"/>
          <w:szCs w:val="28"/>
          <w:lang w:val="en-US" w:eastAsia="zh-CN"/>
        </w:rPr>
        <w:t>图3-1 人机交互方式总览</w:t>
      </w:r>
    </w:p>
    <w:p w14:paraId="1DEC6846">
      <w:pPr>
        <w:ind w:firstLine="221" w:firstLineChars="100"/>
        <w:jc w:val="center"/>
        <w:rPr>
          <w:rFonts w:hint="default"/>
          <w:b/>
          <w:bCs/>
          <w:strike w:val="0"/>
          <w:dstrike w:val="0"/>
          <w:sz w:val="22"/>
          <w:szCs w:val="28"/>
          <w:lang w:val="en-US" w:eastAsia="zh-CN"/>
        </w:rPr>
      </w:pPr>
    </w:p>
    <w:p w14:paraId="4DEE4ACE">
      <w:pPr>
        <w:pStyle w:val="4"/>
        <w:bidi w:val="0"/>
        <w:ind w:left="720" w:leftChars="0" w:hanging="720" w:firstLineChars="0"/>
        <w:rPr>
          <w:rFonts w:hint="eastAsia" w:eastAsia="宋体"/>
          <w:b w:val="0"/>
          <w:bCs w:val="0"/>
          <w:lang w:val="en-US" w:eastAsia="zh-CN"/>
        </w:rPr>
      </w:pPr>
      <w:bookmarkStart w:id="46" w:name="_Toc12992"/>
      <w:bookmarkStart w:id="47" w:name="_Toc28082"/>
      <w:r>
        <w:rPr>
          <w:rFonts w:hint="default" w:eastAsia="宋体"/>
          <w:b w:val="0"/>
          <w:bCs w:val="0"/>
          <w:lang w:val="en-US" w:eastAsia="zh-CN"/>
        </w:rPr>
        <w:t>物理交互</w:t>
      </w:r>
      <w:r>
        <w:rPr>
          <w:rFonts w:hint="eastAsia" w:eastAsia="宋体"/>
          <w:b w:val="0"/>
          <w:bCs w:val="0"/>
          <w:lang w:val="en-US" w:eastAsia="zh-CN"/>
        </w:rPr>
        <w:t>方式</w:t>
      </w:r>
      <w:bookmarkEnd w:id="46"/>
      <w:bookmarkEnd w:id="47"/>
    </w:p>
    <w:p w14:paraId="1FC005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控制旋钮/模式位：0关机/1充电/2移动/3扫描；对应子系统开闭逻辑与明显的色彩/图标提示（</w:t>
      </w:r>
      <w:r>
        <w:rPr>
          <w:rFonts w:hint="eastAsia" w:ascii="宋体" w:hAnsi="宋体" w:eastAsia="宋体" w:cs="Calibri"/>
          <w:strike w:val="0"/>
          <w:dstrike w:val="0"/>
          <w:color w:val="0070C0"/>
          <w:sz w:val="24"/>
          <w:szCs w:val="24"/>
          <w:lang w:val="en-US" w:eastAsia="zh-CN"/>
        </w:rPr>
        <w:t>如</w:t>
      </w:r>
      <w:r>
        <w:rPr>
          <w:rFonts w:hint="eastAsia" w:ascii="宋体" w:hAnsi="宋体" w:eastAsia="宋体" w:cs="Calibri"/>
          <w:strike w:val="0"/>
          <w:dstrike w:val="0"/>
          <w:color w:val="0070C0"/>
          <w:sz w:val="24"/>
          <w:szCs w:val="24"/>
        </w:rPr>
        <w:t>扫描模式绿色</w:t>
      </w:r>
      <w:r>
        <w:rPr>
          <w:rFonts w:hint="eastAsia" w:ascii="宋体" w:hAnsi="宋体" w:eastAsia="宋体" w:cs="Calibri"/>
          <w:strike w:val="0"/>
          <w:dstrike w:val="0"/>
          <w:color w:val="0070C0"/>
          <w:sz w:val="24"/>
          <w:szCs w:val="24"/>
          <w:lang w:eastAsia="zh-CN"/>
        </w:rPr>
        <w:t>，</w:t>
      </w:r>
      <w:r>
        <w:rPr>
          <w:rFonts w:hint="eastAsia" w:ascii="宋体" w:hAnsi="宋体" w:eastAsia="宋体" w:cs="Calibri"/>
          <w:strike w:val="0"/>
          <w:dstrike w:val="0"/>
          <w:color w:val="0070C0"/>
          <w:sz w:val="24"/>
          <w:szCs w:val="24"/>
          <w:lang w:val="en-US" w:eastAsia="zh-CN"/>
        </w:rPr>
        <w:t>电源开关机按钮使用红色</w:t>
      </w:r>
      <w:r>
        <w:rPr>
          <w:rFonts w:hint="eastAsia" w:ascii="宋体" w:hAnsi="宋体" w:eastAsia="宋体" w:cs="Calibri"/>
          <w:strike w:val="0"/>
          <w:dstrike w:val="0"/>
          <w:color w:val="0070C0"/>
          <w:sz w:val="24"/>
          <w:szCs w:val="24"/>
        </w:rPr>
        <w:t>）。要求模式间互斥互锁，并有越权防护（如移动模式禁扫描；扫描时禁移动</w:t>
      </w:r>
      <w:r>
        <w:rPr>
          <w:rFonts w:hint="eastAsia" w:ascii="宋体" w:hAnsi="宋体" w:eastAsia="宋体" w:cs="Calibri"/>
          <w:strike w:val="0"/>
          <w:dstrike w:val="0"/>
          <w:color w:val="0070C0"/>
          <w:sz w:val="24"/>
          <w:szCs w:val="24"/>
          <w:lang w:val="en-US" w:eastAsia="zh-CN"/>
        </w:rPr>
        <w:t>培训</w:t>
      </w:r>
      <w:r>
        <w:rPr>
          <w:rFonts w:hint="eastAsia" w:ascii="宋体" w:hAnsi="宋体" w:eastAsia="宋体" w:cs="Calibri"/>
          <w:strike w:val="0"/>
          <w:dstrike w:val="0"/>
          <w:color w:val="0070C0"/>
          <w:sz w:val="24"/>
          <w:szCs w:val="24"/>
        </w:rPr>
        <w:t>）。</w:t>
      </w:r>
    </w:p>
    <w:p w14:paraId="2125FD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急停按钮：移动过程一键停机，按钮应触感清晰、误触难；位置在平板放置区左侧，</w:t>
      </w:r>
      <w:r>
        <w:rPr>
          <w:rFonts w:hint="eastAsia" w:ascii="宋体" w:hAnsi="宋体" w:eastAsia="宋体" w:cs="Calibri"/>
          <w:strike w:val="0"/>
          <w:dstrike w:val="0"/>
          <w:color w:val="0070C0"/>
          <w:sz w:val="24"/>
          <w:szCs w:val="24"/>
          <w:lang w:val="en-US" w:eastAsia="zh-CN"/>
        </w:rPr>
        <w:t>底部</w:t>
      </w:r>
      <w:r>
        <w:rPr>
          <w:rFonts w:hint="eastAsia" w:ascii="宋体" w:hAnsi="宋体" w:eastAsia="宋体" w:cs="Calibri"/>
          <w:strike w:val="0"/>
          <w:dstrike w:val="0"/>
          <w:color w:val="0070C0"/>
          <w:sz w:val="24"/>
          <w:szCs w:val="24"/>
        </w:rPr>
        <w:t>贴黄色急停符号。</w:t>
      </w:r>
    </w:p>
    <w:p w14:paraId="43A4B4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警示与标签：电气、磁场、万向轮夹手、5高斯范围等图形化标签，就近贴附、在可视路径内。</w:t>
      </w:r>
    </w:p>
    <w:p w14:paraId="3A40F0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Calibri"/>
          <w:strike w:val="0"/>
          <w:dstrike w:val="0"/>
          <w:color w:val="0070C0"/>
          <w:sz w:val="24"/>
          <w:szCs w:val="24"/>
        </w:rPr>
      </w:pPr>
    </w:p>
    <w:p w14:paraId="58AECE86">
      <w:pPr>
        <w:pStyle w:val="4"/>
        <w:bidi w:val="0"/>
        <w:ind w:left="720" w:leftChars="0" w:hanging="720" w:firstLineChars="0"/>
        <w:rPr>
          <w:rFonts w:hint="default" w:eastAsia="宋体"/>
          <w:b w:val="0"/>
          <w:bCs w:val="0"/>
          <w:lang w:val="en-US" w:eastAsia="zh-CN"/>
        </w:rPr>
      </w:pPr>
      <w:bookmarkStart w:id="48" w:name="_Toc18691"/>
      <w:bookmarkStart w:id="49" w:name="_Toc12674"/>
      <w:r>
        <w:rPr>
          <w:rFonts w:hint="default" w:eastAsia="宋体"/>
          <w:b w:val="0"/>
          <w:bCs w:val="0"/>
          <w:lang w:val="en-US" w:eastAsia="zh-CN"/>
        </w:rPr>
        <w:t>软件交互方式</w:t>
      </w:r>
      <w:bookmarkEnd w:id="48"/>
      <w:bookmarkEnd w:id="49"/>
    </w:p>
    <w:p w14:paraId="61FC8759">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登录/紧急扫描：标准登录外，提供免登录“紧急扫描”入口，自动生成患者并直达扫描，缩短黄金时间。</w:t>
      </w:r>
    </w:p>
    <w:p w14:paraId="6A8EBCC6">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三大导航：注册/扫描/浏览固定侧边栏切换；布局清晰、任务导向。</w:t>
      </w:r>
    </w:p>
    <w:p w14:paraId="5D180D05">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注册：最小必填字段（ID/姓名/性别/年龄），RIS检索导入；检查状态A/a/S/R/N可视化。</w:t>
      </w:r>
    </w:p>
    <w:p w14:paraId="1DBA9D3A">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扫描界面：左序列协议、下扫描列表、右参数展示（参数锁定，不让临床用户改），一键全部扫描/取消；序列状态（未运行/运行中/已运行/已取消）用一致的图标/色彩表达。</w:t>
      </w:r>
    </w:p>
    <w:p w14:paraId="3DE8A963">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浏览界面：支持窗宽窗位、缩放平移、距离/角度/ROI、布局切换、对比查看、Overlay开关等</w:t>
      </w:r>
      <w:r>
        <w:rPr>
          <w:rFonts w:hint="eastAsia" w:ascii="宋体" w:hAnsi="宋体" w:eastAsia="宋体" w:cs="Calibri"/>
          <w:strike w:val="0"/>
          <w:dstrike w:val="0"/>
          <w:color w:val="0070C0"/>
          <w:sz w:val="24"/>
          <w:szCs w:val="24"/>
          <w:lang w:eastAsia="zh-CN"/>
        </w:rPr>
        <w:t>，</w:t>
      </w:r>
      <w:r>
        <w:rPr>
          <w:rFonts w:hint="eastAsia" w:ascii="宋体" w:hAnsi="宋体" w:eastAsia="宋体" w:cs="Calibri"/>
          <w:strike w:val="0"/>
          <w:dstrike w:val="0"/>
          <w:color w:val="0070C0"/>
          <w:sz w:val="24"/>
          <w:szCs w:val="24"/>
          <w:lang w:val="en-US" w:eastAsia="zh-CN"/>
        </w:rPr>
        <w:t>使用符合用户认知习惯的符号进行指引。</w:t>
      </w:r>
    </w:p>
    <w:p w14:paraId="6CB61FC3">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 xml:space="preserve">系统工具栏：顶部显示正在扫描患者、SAR、PNS、B1RMS与主机/平板电量、谱仪/数据盘状态，异常弹窗默认开启，红绿双色直观。 </w:t>
      </w:r>
      <w:r>
        <w:rPr>
          <w:rFonts w:hint="eastAsia" w:ascii="宋体" w:hAnsi="宋体" w:eastAsia="宋体" w:cs="Calibri"/>
          <w:strike w:val="0"/>
          <w:dstrike w:val="0"/>
          <w:color w:val="0070C0"/>
          <w:sz w:val="24"/>
          <w:szCs w:val="24"/>
          <w:lang w:val="en-US" w:eastAsia="zh-CN"/>
        </w:rPr>
        <w:tab/>
      </w:r>
      <w:r>
        <w:rPr>
          <w:rFonts w:hint="eastAsia" w:ascii="宋体" w:hAnsi="宋体" w:eastAsia="宋体" w:cs="Calibri"/>
          <w:strike w:val="0"/>
          <w:dstrike w:val="0"/>
          <w:color w:val="0070C0"/>
          <w:sz w:val="24"/>
          <w:szCs w:val="24"/>
          <w:lang w:val="en-US" w:eastAsia="zh-CN"/>
        </w:rPr>
        <w:tab/>
      </w:r>
    </w:p>
    <w:p w14:paraId="498699E4">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自动注销：已登录30分钟无操作自动登出，紧急扫描5分钟无操作自动退出，控制旁路风险。</w:t>
      </w:r>
    </w:p>
    <w:p w14:paraId="4A68911B">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状态与告警：顶部状态区常驻显示当前患者、SAR、PNS、B1RMS与主机电池/控制台/谱仪/数据盘/系统电量/平板电量；异常自动弹窗（默认开启），红/绿双色指示一致。</w:t>
      </w:r>
    </w:p>
    <w:p w14:paraId="5F0A0C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宋体" w:hAnsi="宋体" w:eastAsia="宋体" w:cs="Calibri"/>
          <w:strike w:val="0"/>
          <w:dstrike w:val="0"/>
          <w:color w:val="0070C0"/>
          <w:sz w:val="24"/>
          <w:szCs w:val="24"/>
        </w:rPr>
      </w:pPr>
    </w:p>
    <w:p w14:paraId="05A2FD3A">
      <w:pPr>
        <w:pStyle w:val="4"/>
        <w:bidi w:val="0"/>
        <w:ind w:left="720" w:leftChars="0" w:hanging="720" w:firstLineChars="0"/>
        <w:rPr>
          <w:rFonts w:hint="default" w:eastAsia="宋体"/>
          <w:b w:val="0"/>
          <w:bCs w:val="0"/>
          <w:lang w:val="en-US" w:eastAsia="zh-CN"/>
        </w:rPr>
      </w:pPr>
      <w:bookmarkStart w:id="50" w:name="_Toc10871"/>
      <w:bookmarkStart w:id="51" w:name="_Toc2569"/>
      <w:r>
        <w:rPr>
          <w:rFonts w:hint="default" w:eastAsia="宋体"/>
          <w:b w:val="0"/>
          <w:bCs w:val="0"/>
          <w:lang w:val="en-US" w:eastAsia="zh-CN"/>
        </w:rPr>
        <w:t>外观设计人因部分</w:t>
      </w:r>
      <w:bookmarkEnd w:id="50"/>
      <w:bookmarkEnd w:id="51"/>
    </w:p>
    <w:p w14:paraId="430FE362">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Calibri"/>
          <w:strike w:val="0"/>
          <w:dstrike w:val="0"/>
          <w:color w:val="0070C0"/>
          <w:sz w:val="24"/>
          <w:szCs w:val="24"/>
          <w:lang w:val="en-US" w:eastAsia="zh-CN"/>
        </w:rPr>
      </w:pPr>
      <w:r>
        <w:rPr>
          <w:rFonts w:hint="eastAsia" w:ascii="宋体" w:hAnsi="宋体" w:eastAsia="宋体" w:cs="Calibri"/>
          <w:strike w:val="0"/>
          <w:dstrike w:val="0"/>
          <w:color w:val="0070C0"/>
          <w:sz w:val="24"/>
          <w:szCs w:val="24"/>
        </w:rPr>
        <w:t>机身整体采用大圆角（四向过渡）与倒角处理，表面连续光顺，无突兀尖点；外壳转角采用大半径过渡，边缘位于非抓握/非撞击主路径之外。</w:t>
      </w:r>
    </w:p>
    <w:p w14:paraId="3A11502F">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Calibri"/>
          <w:strike w:val="0"/>
          <w:dstrike w:val="0"/>
          <w:color w:val="0070C0"/>
          <w:sz w:val="24"/>
          <w:szCs w:val="24"/>
          <w:lang w:val="en-US" w:eastAsia="zh-CN"/>
        </w:rPr>
      </w:pPr>
      <w:r>
        <w:rPr>
          <w:rFonts w:hint="eastAsia" w:ascii="宋体" w:hAnsi="宋体" w:eastAsia="宋体" w:cs="Calibri"/>
          <w:strike w:val="0"/>
          <w:dstrike w:val="0"/>
          <w:color w:val="0070C0"/>
          <w:sz w:val="24"/>
          <w:szCs w:val="24"/>
        </w:rPr>
        <w:t>前侧“窗口式”开口横向与纵向尺寸充裕，内部成像区与头部支撑/线圈腔体在视觉上开放；内缘圆角并与外壳过渡连续。</w:t>
      </w:r>
    </w:p>
    <w:p w14:paraId="0E13E955">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Calibri"/>
          <w:strike w:val="0"/>
          <w:dstrike w:val="0"/>
          <w:color w:val="0070C0"/>
          <w:sz w:val="24"/>
          <w:szCs w:val="24"/>
        </w:rPr>
      </w:pPr>
      <w:r>
        <w:rPr>
          <w:rFonts w:hint="eastAsia" w:ascii="宋体" w:hAnsi="宋体" w:eastAsia="宋体" w:cs="Calibri"/>
          <w:strike w:val="0"/>
          <w:dstrike w:val="0"/>
          <w:color w:val="0070C0"/>
          <w:sz w:val="24"/>
          <w:szCs w:val="24"/>
        </w:rPr>
        <w:t>机身双侧集成大截面把手，前后转角均有可握持区域；下部设大直径行走轮（便于越门槛/地沟盖），重心在轮轴附近。</w:t>
      </w:r>
    </w:p>
    <w:p w14:paraId="6C8C754B">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Calibri"/>
          <w:strike w:val="0"/>
          <w:dstrike w:val="0"/>
          <w:color w:val="0070C0"/>
          <w:sz w:val="24"/>
          <w:szCs w:val="24"/>
          <w:lang w:val="en-US" w:eastAsia="zh-CN"/>
        </w:rPr>
      </w:pPr>
      <w:r>
        <w:rPr>
          <w:rFonts w:hint="eastAsia" w:ascii="宋体" w:hAnsi="宋体" w:eastAsia="宋体" w:cs="Calibri"/>
          <w:strike w:val="0"/>
          <w:dstrike w:val="0"/>
          <w:color w:val="0070C0"/>
          <w:sz w:val="24"/>
          <w:szCs w:val="24"/>
        </w:rPr>
        <w:t>平板停放座设置于机身上前方，高于把手并有仰角，便于站立查看；取放路径不与推行路径冲突。</w:t>
      </w:r>
    </w:p>
    <w:p w14:paraId="0DDBC8F5">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Calibri"/>
          <w:strike w:val="0"/>
          <w:dstrike w:val="0"/>
          <w:color w:val="0070C0"/>
          <w:sz w:val="24"/>
          <w:szCs w:val="24"/>
          <w:lang w:val="en-US" w:eastAsia="zh-CN"/>
        </w:rPr>
      </w:pPr>
      <w:r>
        <w:rPr>
          <w:rFonts w:hint="eastAsia" w:ascii="宋体" w:hAnsi="宋体" w:eastAsia="宋体" w:cs="Calibri"/>
          <w:strike w:val="0"/>
          <w:dstrike w:val="0"/>
          <w:color w:val="0070C0"/>
          <w:sz w:val="24"/>
          <w:szCs w:val="24"/>
        </w:rPr>
        <w:t>主体为低饱和中性白/浅灰，辅以细蓝色腰线与适度对比的状态指示；整体克制、不眩目。</w:t>
      </w:r>
    </w:p>
    <w:p w14:paraId="2211163F">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Calibri"/>
          <w:strike w:val="0"/>
          <w:dstrike w:val="0"/>
          <w:color w:val="0070C0"/>
          <w:sz w:val="24"/>
          <w:szCs w:val="24"/>
          <w:lang w:val="en-US" w:eastAsia="zh-CN"/>
        </w:rPr>
      </w:pPr>
      <w:r>
        <w:rPr>
          <w:rFonts w:hint="eastAsia" w:ascii="宋体" w:hAnsi="宋体" w:eastAsia="宋体" w:cs="Calibri"/>
          <w:strike w:val="0"/>
          <w:dstrike w:val="0"/>
          <w:color w:val="0070C0"/>
          <w:sz w:val="24"/>
          <w:szCs w:val="24"/>
        </w:rPr>
        <w:t>外壳连续曲面、少分缝，低台阶，通风/扬声器网面边缘内倒角；顶面略带导流，减少液体滞留。</w:t>
      </w:r>
    </w:p>
    <w:p w14:paraId="640AD6AB">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Calibri"/>
          <w:strike w:val="0"/>
          <w:dstrike w:val="0"/>
          <w:color w:val="0070C0"/>
          <w:sz w:val="24"/>
          <w:szCs w:val="24"/>
          <w:lang w:val="en-US" w:eastAsia="zh-CN"/>
        </w:rPr>
      </w:pPr>
      <w:r>
        <w:rPr>
          <w:rFonts w:hint="eastAsia" w:ascii="宋体" w:hAnsi="宋体" w:eastAsia="宋体" w:cs="Calibri"/>
          <w:strike w:val="0"/>
          <w:dstrike w:val="0"/>
          <w:color w:val="0070C0"/>
          <w:sz w:val="24"/>
          <w:szCs w:val="24"/>
        </w:rPr>
        <w:t>外露轮罩与壳体平顺过渡，把手/平板座与推行路径不形成剪式夹角；机身下缘回缩，脚尖可伸入，减少轮/脚干涉。</w:t>
      </w:r>
    </w:p>
    <w:p w14:paraId="532DEC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default" w:ascii="宋体" w:hAnsi="宋体" w:eastAsia="宋体" w:cs="Calibri"/>
          <w:strike w:val="0"/>
          <w:dstrike w:val="0"/>
          <w:color w:val="0070C0"/>
          <w:sz w:val="24"/>
          <w:szCs w:val="24"/>
          <w:lang w:val="en-US" w:eastAsia="zh-CN"/>
        </w:rPr>
      </w:pPr>
    </w:p>
    <w:p w14:paraId="107E32F7">
      <w:pPr>
        <w:pStyle w:val="4"/>
        <w:bidi w:val="0"/>
        <w:ind w:left="720" w:leftChars="0" w:hanging="720" w:firstLineChars="0"/>
        <w:rPr>
          <w:rFonts w:hint="eastAsia" w:eastAsia="宋体"/>
          <w:b w:val="0"/>
          <w:bCs w:val="0"/>
          <w:lang w:val="en-US" w:eastAsia="zh-CN"/>
        </w:rPr>
      </w:pPr>
      <w:bookmarkStart w:id="52" w:name="_Toc21781"/>
      <w:bookmarkStart w:id="53" w:name="_Toc1786"/>
      <w:r>
        <w:rPr>
          <w:rFonts w:hint="eastAsia" w:eastAsia="宋体"/>
          <w:b w:val="0"/>
          <w:bCs w:val="0"/>
          <w:lang w:val="en-US" w:eastAsia="zh-CN"/>
        </w:rPr>
        <w:t>说明书</w:t>
      </w:r>
      <w:bookmarkEnd w:id="52"/>
      <w:bookmarkEnd w:id="53"/>
    </w:p>
    <w:p w14:paraId="1231E1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Calibri"/>
          <w:strike w:val="0"/>
          <w:dstrike w:val="0"/>
          <w:color w:val="0070C0"/>
          <w:sz w:val="24"/>
          <w:szCs w:val="24"/>
          <w:lang w:val="en-US" w:eastAsia="zh-CN"/>
        </w:rPr>
      </w:pPr>
      <w:r>
        <w:rPr>
          <w:rFonts w:hint="eastAsia" w:ascii="宋体" w:hAnsi="宋体" w:eastAsia="宋体" w:cs="Calibri"/>
          <w:strike w:val="0"/>
          <w:dstrike w:val="0"/>
          <w:color w:val="0070C0"/>
          <w:sz w:val="24"/>
          <w:szCs w:val="24"/>
          <w:lang w:val="en-US" w:eastAsia="zh-CN"/>
        </w:rPr>
        <w:t>正文。</w:t>
      </w:r>
    </w:p>
    <w:p w14:paraId="2C9B0D95">
      <w:pPr>
        <w:spacing w:line="440" w:lineRule="exact"/>
        <w:rPr>
          <w:rFonts w:hint="default" w:ascii="宋体" w:hAnsi="宋体" w:eastAsia="宋体"/>
          <w:color w:val="0070C0"/>
          <w:sz w:val="24"/>
          <w:szCs w:val="24"/>
          <w:lang w:val="en-US" w:eastAsia="zh-CN"/>
        </w:rPr>
      </w:pPr>
      <w:bookmarkStart w:id="62" w:name="_GoBack"/>
      <w:bookmarkEnd w:id="62"/>
    </w:p>
    <w:p w14:paraId="6031306A">
      <w:pPr>
        <w:pStyle w:val="4"/>
        <w:bidi w:val="0"/>
        <w:ind w:left="720" w:leftChars="0" w:hanging="720" w:firstLineChars="0"/>
        <w:rPr>
          <w:rFonts w:hint="eastAsia" w:eastAsia="宋体"/>
          <w:b w:val="0"/>
          <w:bCs w:val="0"/>
          <w:lang w:val="en-US" w:eastAsia="zh-CN"/>
        </w:rPr>
      </w:pPr>
      <w:bookmarkStart w:id="54" w:name="_Toc30004"/>
      <w:bookmarkStart w:id="55" w:name="_Toc25932"/>
      <w:r>
        <w:rPr>
          <w:rFonts w:hint="eastAsia" w:eastAsia="宋体"/>
          <w:b w:val="0"/>
          <w:bCs w:val="0"/>
          <w:lang w:val="en-US" w:eastAsia="zh-CN"/>
        </w:rPr>
        <w:t>标签</w:t>
      </w:r>
      <w:bookmarkEnd w:id="54"/>
      <w:bookmarkEnd w:id="55"/>
    </w:p>
    <w:p w14:paraId="0B6722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Calibri"/>
          <w:strike w:val="0"/>
          <w:dstrike w:val="0"/>
          <w:color w:val="0070C0"/>
          <w:sz w:val="24"/>
          <w:szCs w:val="24"/>
          <w:lang w:val="en-US" w:eastAsia="zh-CN"/>
        </w:rPr>
      </w:pPr>
      <w:r>
        <w:rPr>
          <w:rFonts w:hint="eastAsia" w:ascii="宋体" w:hAnsi="宋体" w:eastAsia="宋体" w:cs="Calibri"/>
          <w:strike w:val="0"/>
          <w:dstrike w:val="0"/>
          <w:color w:val="0070C0"/>
          <w:sz w:val="24"/>
          <w:szCs w:val="24"/>
          <w:lang w:val="en-US" w:eastAsia="zh-CN"/>
        </w:rPr>
        <w:t>正文。</w:t>
      </w:r>
    </w:p>
    <w:p w14:paraId="7C95EF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Calibri"/>
          <w:strike w:val="0"/>
          <w:dstrike w:val="0"/>
          <w:color w:val="0070C0"/>
          <w:sz w:val="24"/>
          <w:szCs w:val="24"/>
          <w:lang w:val="en-US" w:eastAsia="zh-CN"/>
        </w:rPr>
      </w:pPr>
    </w:p>
    <w:p w14:paraId="639BF090">
      <w:pPr>
        <w:rPr>
          <w:rFonts w:hint="eastAsia"/>
          <w:lang w:val="en-US" w:eastAsia="zh-CN"/>
        </w:rPr>
      </w:pPr>
    </w:p>
    <w:p w14:paraId="2213468D">
      <w:pPr>
        <w:pStyle w:val="4"/>
        <w:bidi w:val="0"/>
        <w:ind w:left="720" w:leftChars="0" w:hanging="720" w:firstLineChars="0"/>
        <w:rPr>
          <w:rFonts w:hint="eastAsia" w:eastAsia="宋体"/>
          <w:b w:val="0"/>
          <w:bCs w:val="0"/>
          <w:lang w:val="en-US" w:eastAsia="zh-CN"/>
        </w:rPr>
      </w:pPr>
      <w:bookmarkStart w:id="56" w:name="_Toc19285"/>
      <w:bookmarkStart w:id="57" w:name="_Toc21409"/>
      <w:r>
        <w:rPr>
          <w:rFonts w:hint="eastAsia" w:eastAsia="宋体"/>
          <w:b w:val="0"/>
          <w:bCs w:val="0"/>
          <w:lang w:val="en-US" w:eastAsia="zh-CN"/>
        </w:rPr>
        <w:t>包装</w:t>
      </w:r>
      <w:bookmarkEnd w:id="24"/>
      <w:bookmarkEnd w:id="56"/>
      <w:bookmarkEnd w:id="57"/>
      <w:bookmarkStart w:id="58" w:name="_Toc26637"/>
    </w:p>
    <w:p w14:paraId="0A3595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Calibri"/>
          <w:strike w:val="0"/>
          <w:dstrike w:val="0"/>
          <w:color w:val="0070C0"/>
          <w:sz w:val="24"/>
          <w:szCs w:val="24"/>
          <w:lang w:val="en-US" w:eastAsia="zh-CN"/>
        </w:rPr>
      </w:pPr>
      <w:r>
        <w:rPr>
          <w:rFonts w:hint="eastAsia" w:ascii="宋体" w:hAnsi="宋体" w:eastAsia="宋体" w:cs="Calibri"/>
          <w:strike w:val="0"/>
          <w:dstrike w:val="0"/>
          <w:color w:val="0070C0"/>
          <w:sz w:val="24"/>
          <w:szCs w:val="24"/>
          <w:lang w:val="en-US" w:eastAsia="zh-CN"/>
        </w:rPr>
        <w:t>正文。</w:t>
      </w:r>
      <w:bookmarkEnd w:id="58"/>
    </w:p>
    <w:p w14:paraId="75E9C361">
      <w:pPr>
        <w:rPr>
          <w:rFonts w:hint="eastAsia" w:eastAsia="宋体"/>
          <w:b w:val="0"/>
          <w:bCs w:val="0"/>
          <w:lang w:val="en-US" w:eastAsia="zh-CN"/>
        </w:rPr>
      </w:pPr>
    </w:p>
    <w:p w14:paraId="3907E1B7">
      <w:pPr>
        <w:pStyle w:val="2"/>
        <w:rPr>
          <w:rFonts w:hint="eastAsia" w:ascii="Times New Roman" w:hAnsi="Times New Roman" w:cs="Times New Roman"/>
          <w:lang w:eastAsia="zh-CN"/>
        </w:rPr>
      </w:pPr>
      <w:bookmarkStart w:id="59" w:name="_Toc4945"/>
      <w:bookmarkStart w:id="60" w:name="_Toc487994539"/>
      <w:bookmarkStart w:id="61" w:name="_Toc24560"/>
      <w:r>
        <w:rPr>
          <w:rFonts w:hint="eastAsia" w:ascii="Times New Roman" w:hAnsi="Times New Roman" w:cs="Times New Roman"/>
          <w:lang w:eastAsia="zh-CN"/>
        </w:rPr>
        <w:t>未决事项</w:t>
      </w:r>
      <w:bookmarkEnd w:id="59"/>
      <w:bookmarkEnd w:id="60"/>
      <w:bookmarkEnd w:id="61"/>
    </w:p>
    <w:p w14:paraId="4DC78E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Calibri"/>
          <w:strike w:val="0"/>
          <w:dstrike w:val="0"/>
          <w:color w:val="0070C0"/>
          <w:sz w:val="24"/>
          <w:szCs w:val="24"/>
          <w:lang w:val="en-US" w:eastAsia="zh-CN"/>
        </w:rPr>
      </w:pPr>
      <w:r>
        <w:rPr>
          <w:rFonts w:hint="eastAsia" w:ascii="宋体" w:hAnsi="宋体" w:eastAsia="宋体" w:cs="Calibri"/>
          <w:strike w:val="0"/>
          <w:dstrike w:val="0"/>
          <w:color w:val="0070C0"/>
          <w:sz w:val="24"/>
          <w:szCs w:val="24"/>
          <w:lang w:val="en-US" w:eastAsia="zh-CN"/>
        </w:rPr>
        <w:t>N/A</w:t>
      </w:r>
    </w:p>
    <w:p w14:paraId="0DBEBFDE">
      <w:pPr>
        <w:rPr>
          <w:rFonts w:hint="eastAsia"/>
          <w:color w:val="0070C0"/>
        </w:rPr>
      </w:pPr>
    </w:p>
    <w:sectPr>
      <w:headerReference r:id="rId6" w:type="default"/>
      <w:footerReference r:id="rId7" w:type="default"/>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MT">
    <w:altName w:val="Times New Roman"/>
    <w:panose1 w:val="00000000000000000000"/>
    <w:charset w:val="00"/>
    <w:family w:val="auto"/>
    <w:pitch w:val="default"/>
    <w:sig w:usb0="00000000" w:usb1="00000000" w:usb2="00000000" w:usb3="00000000" w:csb0="00000000" w:csb1="00000000"/>
  </w:font>
  <w:font w:name="Arial Regular">
    <w:altName w:val="Arial"/>
    <w:panose1 w:val="00000000000000000000"/>
    <w:charset w:val="00"/>
    <w:family w:val="auto"/>
    <w:pitch w:val="default"/>
    <w:sig w:usb0="00000000" w:usb1="00000000" w:usb2="00000001" w:usb3="00000000" w:csb0="400001BF" w:csb1="DFF7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4"/>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729E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520C238E">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6F3C1D6F">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18C63369">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2BDD9EE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2CF4F496">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49B4157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27BBE6F0">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4AC37D6">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可用性使用规范</w:t>
          </w:r>
        </w:p>
      </w:tc>
      <w:tc>
        <w:tcPr>
          <w:tcW w:w="1417" w:type="dxa"/>
          <w:vAlign w:val="center"/>
        </w:tcPr>
        <w:p w14:paraId="6990144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1882233">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20X4</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5"/>
    </w:pPr>
  </w:p>
  <w:p w14:paraId="31BA0FD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108F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3414BA8F">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C8EA641">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可用性使用规范</w:t>
          </w:r>
        </w:p>
      </w:tc>
      <w:tc>
        <w:tcPr>
          <w:tcW w:w="1417" w:type="dxa"/>
          <w:vAlign w:val="center"/>
        </w:tcPr>
        <w:p w14:paraId="41B11B8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D4E0FF7">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1E7D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6F6ABD4C">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45190481">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607F6F65">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6153A46">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657F26FA">
    <w:pP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C638E8"/>
    <w:multiLevelType w:val="singleLevel"/>
    <w:tmpl w:val="CCC638E8"/>
    <w:lvl w:ilvl="0" w:tentative="0">
      <w:start w:val="1"/>
      <w:numFmt w:val="decimal"/>
      <w:lvlText w:val="(%1)"/>
      <w:lvlJc w:val="left"/>
      <w:pPr>
        <w:tabs>
          <w:tab w:val="left" w:pos="420"/>
        </w:tabs>
        <w:ind w:left="845" w:hanging="425"/>
      </w:pPr>
      <w:rPr>
        <w:rFonts w:hint="default"/>
      </w:rPr>
    </w:lvl>
  </w:abstractNum>
  <w:abstractNum w:abstractNumId="1">
    <w:nsid w:val="FCC87712"/>
    <w:multiLevelType w:val="singleLevel"/>
    <w:tmpl w:val="FCC87712"/>
    <w:lvl w:ilvl="0" w:tentative="0">
      <w:start w:val="1"/>
      <w:numFmt w:val="decimal"/>
      <w:lvlText w:val="%1."/>
      <w:lvlJc w:val="left"/>
      <w:pPr>
        <w:ind w:left="425" w:hanging="425"/>
      </w:pPr>
      <w:rPr>
        <w:rFonts w:hint="default"/>
      </w:rPr>
    </w:lvl>
  </w:abstractNum>
  <w:abstractNum w:abstractNumId="2">
    <w:nsid w:val="0D361484"/>
    <w:multiLevelType w:val="multilevel"/>
    <w:tmpl w:val="0D36148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6698B55"/>
    <w:multiLevelType w:val="singleLevel"/>
    <w:tmpl w:val="16698B55"/>
    <w:lvl w:ilvl="0" w:tentative="0">
      <w:start w:val="1"/>
      <w:numFmt w:val="bullet"/>
      <w:lvlText w:val=""/>
      <w:lvlJc w:val="left"/>
      <w:pPr>
        <w:tabs>
          <w:tab w:val="left" w:pos="420"/>
        </w:tabs>
        <w:ind w:left="840" w:hanging="420"/>
      </w:pPr>
      <w:rPr>
        <w:rFonts w:hint="default" w:ascii="Wingdings" w:hAnsi="Wingdings"/>
      </w:rPr>
    </w:lvl>
  </w:abstractNum>
  <w:abstractNum w:abstractNumId="4">
    <w:nsid w:val="24080D2F"/>
    <w:multiLevelType w:val="multilevel"/>
    <w:tmpl w:val="24080D2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4A72B52"/>
    <w:multiLevelType w:val="singleLevel"/>
    <w:tmpl w:val="24A72B52"/>
    <w:lvl w:ilvl="0" w:tentative="0">
      <w:start w:val="1"/>
      <w:numFmt w:val="bullet"/>
      <w:lvlText w:val=""/>
      <w:lvlJc w:val="left"/>
      <w:pPr>
        <w:tabs>
          <w:tab w:val="left" w:pos="420"/>
        </w:tabs>
        <w:ind w:left="840" w:hanging="420"/>
      </w:pPr>
      <w:rPr>
        <w:rFonts w:hint="default" w:ascii="Wingdings" w:hAnsi="Wingdings"/>
      </w:rPr>
    </w:lvl>
  </w:abstractNum>
  <w:abstractNum w:abstractNumId="6">
    <w:nsid w:val="35246F04"/>
    <w:multiLevelType w:val="singleLevel"/>
    <w:tmpl w:val="35246F04"/>
    <w:lvl w:ilvl="0" w:tentative="0">
      <w:start w:val="1"/>
      <w:numFmt w:val="decimal"/>
      <w:lvlText w:val="%1."/>
      <w:lvlJc w:val="left"/>
      <w:pPr>
        <w:tabs>
          <w:tab w:val="left" w:pos="420"/>
        </w:tabs>
        <w:ind w:left="845" w:hanging="425"/>
      </w:pPr>
      <w:rPr>
        <w:rFonts w:hint="default"/>
      </w:rPr>
    </w:lvl>
  </w:abstractNum>
  <w:abstractNum w:abstractNumId="7">
    <w:nsid w:val="3CEA2B45"/>
    <w:multiLevelType w:val="singleLevel"/>
    <w:tmpl w:val="3CEA2B45"/>
    <w:lvl w:ilvl="0" w:tentative="0">
      <w:start w:val="1"/>
      <w:numFmt w:val="decimal"/>
      <w:lvlText w:val="%1."/>
      <w:lvlJc w:val="left"/>
      <w:pPr>
        <w:ind w:left="425" w:hanging="425"/>
      </w:pPr>
      <w:rPr>
        <w:rFonts w:hint="default"/>
      </w:rPr>
    </w:lvl>
  </w:abstractNum>
  <w:abstractNum w:abstractNumId="8">
    <w:nsid w:val="3DF69BD9"/>
    <w:multiLevelType w:val="singleLevel"/>
    <w:tmpl w:val="3DF69BD9"/>
    <w:lvl w:ilvl="0" w:tentative="0">
      <w:start w:val="1"/>
      <w:numFmt w:val="bullet"/>
      <w:lvlText w:val=""/>
      <w:lvlJc w:val="left"/>
      <w:pPr>
        <w:tabs>
          <w:tab w:val="left" w:pos="420"/>
        </w:tabs>
        <w:ind w:left="840" w:hanging="420"/>
      </w:pPr>
      <w:rPr>
        <w:rFonts w:hint="default" w:ascii="Wingdings" w:hAnsi="Wingdings"/>
      </w:rPr>
    </w:lvl>
  </w:abstractNum>
  <w:abstractNum w:abstractNumId="9">
    <w:nsid w:val="4A904705"/>
    <w:multiLevelType w:val="multilevel"/>
    <w:tmpl w:val="4A90470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4BFB11EB"/>
    <w:multiLevelType w:val="multilevel"/>
    <w:tmpl w:val="4BFB11E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D2D00DE"/>
    <w:multiLevelType w:val="multilevel"/>
    <w:tmpl w:val="4D2D00D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01460AD"/>
    <w:multiLevelType w:val="multilevel"/>
    <w:tmpl w:val="501460A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4">
    <w:nsid w:val="5C295A66"/>
    <w:multiLevelType w:val="multilevel"/>
    <w:tmpl w:val="5C295A6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E75F4C2"/>
    <w:multiLevelType w:val="multilevel"/>
    <w:tmpl w:val="5E75F4C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64B52B7F"/>
    <w:multiLevelType w:val="multilevel"/>
    <w:tmpl w:val="64B52B7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66F21512"/>
    <w:multiLevelType w:val="multilevel"/>
    <w:tmpl w:val="66F21512"/>
    <w:lvl w:ilvl="0" w:tentative="0">
      <w:start w:val="1"/>
      <w:numFmt w:val="decimal"/>
      <w:lvlText w:val="[%1]"/>
      <w:lvlJc w:val="left"/>
      <w:pPr>
        <w:ind w:left="900" w:hanging="420"/>
      </w:pPr>
      <w:rPr>
        <w:rFonts w:hint="eastAsia"/>
      </w:rPr>
    </w:lvl>
    <w:lvl w:ilvl="1" w:tentative="0">
      <w:start w:val="1"/>
      <w:numFmt w:val="decimal"/>
      <w:lvlText w:val="%2."/>
      <w:lvlJc w:val="left"/>
      <w:pPr>
        <w:ind w:left="1260" w:hanging="36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
    <w:nsid w:val="725D7075"/>
    <w:multiLevelType w:val="singleLevel"/>
    <w:tmpl w:val="725D7075"/>
    <w:lvl w:ilvl="0" w:tentative="0">
      <w:start w:val="1"/>
      <w:numFmt w:val="bullet"/>
      <w:lvlText w:val=""/>
      <w:lvlJc w:val="left"/>
      <w:pPr>
        <w:tabs>
          <w:tab w:val="left" w:pos="420"/>
        </w:tabs>
        <w:ind w:left="840" w:hanging="420"/>
      </w:pPr>
      <w:rPr>
        <w:rFonts w:hint="default" w:ascii="Wingdings" w:hAnsi="Wingdings"/>
      </w:rPr>
    </w:lvl>
  </w:abstractNum>
  <w:num w:numId="1">
    <w:abstractNumId w:val="13"/>
  </w:num>
  <w:num w:numId="2">
    <w:abstractNumId w:val="17"/>
  </w:num>
  <w:num w:numId="3">
    <w:abstractNumId w:val="18"/>
  </w:num>
  <w:num w:numId="4">
    <w:abstractNumId w:val="3"/>
  </w:num>
  <w:num w:numId="5">
    <w:abstractNumId w:val="5"/>
  </w:num>
  <w:num w:numId="6">
    <w:abstractNumId w:val="8"/>
  </w:num>
  <w:num w:numId="7">
    <w:abstractNumId w:val="16"/>
  </w:num>
  <w:num w:numId="8">
    <w:abstractNumId w:val="15"/>
  </w:num>
  <w:num w:numId="9">
    <w:abstractNumId w:val="0"/>
  </w:num>
  <w:num w:numId="10">
    <w:abstractNumId w:val="10"/>
  </w:num>
  <w:num w:numId="11">
    <w:abstractNumId w:val="2"/>
  </w:num>
  <w:num w:numId="12">
    <w:abstractNumId w:val="14"/>
  </w:num>
  <w:num w:numId="13">
    <w:abstractNumId w:val="11"/>
  </w:num>
  <w:num w:numId="14">
    <w:abstractNumId w:val="9"/>
  </w:num>
  <w:num w:numId="15">
    <w:abstractNumId w:val="4"/>
  </w:num>
  <w:num w:numId="16">
    <w:abstractNumId w:val="12"/>
  </w:num>
  <w:num w:numId="17">
    <w:abstractNumId w:val="6"/>
  </w:num>
  <w:num w:numId="18">
    <w:abstractNumId w:val="1"/>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0647"/>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5CDD"/>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655E65"/>
    <w:rsid w:val="017B57D9"/>
    <w:rsid w:val="017E0CD4"/>
    <w:rsid w:val="02DE7C7D"/>
    <w:rsid w:val="038720C2"/>
    <w:rsid w:val="06D82C35"/>
    <w:rsid w:val="07D86FDF"/>
    <w:rsid w:val="07DC6755"/>
    <w:rsid w:val="080A1514"/>
    <w:rsid w:val="093200E5"/>
    <w:rsid w:val="094822F4"/>
    <w:rsid w:val="099C619C"/>
    <w:rsid w:val="0A173A74"/>
    <w:rsid w:val="0A200B7B"/>
    <w:rsid w:val="0A2148F3"/>
    <w:rsid w:val="0B2E72C7"/>
    <w:rsid w:val="0B7F73A1"/>
    <w:rsid w:val="0CE33FBB"/>
    <w:rsid w:val="0D3F756A"/>
    <w:rsid w:val="0F7FD01B"/>
    <w:rsid w:val="116F1852"/>
    <w:rsid w:val="12863E8D"/>
    <w:rsid w:val="1731204F"/>
    <w:rsid w:val="190778F3"/>
    <w:rsid w:val="1A6C1BBA"/>
    <w:rsid w:val="1B724FAE"/>
    <w:rsid w:val="1D3544E5"/>
    <w:rsid w:val="1D5C4168"/>
    <w:rsid w:val="1E7DDD8D"/>
    <w:rsid w:val="1FEF31D1"/>
    <w:rsid w:val="20032247"/>
    <w:rsid w:val="20340A84"/>
    <w:rsid w:val="20BD6CCC"/>
    <w:rsid w:val="221E379A"/>
    <w:rsid w:val="24E76A0D"/>
    <w:rsid w:val="266320C3"/>
    <w:rsid w:val="26CF1507"/>
    <w:rsid w:val="2765271F"/>
    <w:rsid w:val="27D112AE"/>
    <w:rsid w:val="29CA2459"/>
    <w:rsid w:val="2A16744D"/>
    <w:rsid w:val="2C7A1122"/>
    <w:rsid w:val="2EB931C8"/>
    <w:rsid w:val="2FFF3020"/>
    <w:rsid w:val="3010152E"/>
    <w:rsid w:val="30BD6874"/>
    <w:rsid w:val="31FE5396"/>
    <w:rsid w:val="35466F4B"/>
    <w:rsid w:val="36097A13"/>
    <w:rsid w:val="36323860"/>
    <w:rsid w:val="366F23BE"/>
    <w:rsid w:val="37441A9D"/>
    <w:rsid w:val="37DD3CC5"/>
    <w:rsid w:val="384B0C09"/>
    <w:rsid w:val="39755F3E"/>
    <w:rsid w:val="3A555D6F"/>
    <w:rsid w:val="3AEC0481"/>
    <w:rsid w:val="3B7B5A2D"/>
    <w:rsid w:val="3C2B6D87"/>
    <w:rsid w:val="3DE713D4"/>
    <w:rsid w:val="3E55633E"/>
    <w:rsid w:val="3E5A3954"/>
    <w:rsid w:val="3F7F40FC"/>
    <w:rsid w:val="3FF786F5"/>
    <w:rsid w:val="3FFE7CC7"/>
    <w:rsid w:val="40994C08"/>
    <w:rsid w:val="4269685C"/>
    <w:rsid w:val="446217B4"/>
    <w:rsid w:val="45576E3F"/>
    <w:rsid w:val="45D87F80"/>
    <w:rsid w:val="46ED7A5B"/>
    <w:rsid w:val="47A10846"/>
    <w:rsid w:val="47F65935"/>
    <w:rsid w:val="48401E0D"/>
    <w:rsid w:val="48CB5B7A"/>
    <w:rsid w:val="4AFF5FAF"/>
    <w:rsid w:val="4BB46D99"/>
    <w:rsid w:val="4D7752CE"/>
    <w:rsid w:val="4E375A60"/>
    <w:rsid w:val="4FFD7496"/>
    <w:rsid w:val="5221680B"/>
    <w:rsid w:val="527E3C5D"/>
    <w:rsid w:val="52976ACD"/>
    <w:rsid w:val="529C2335"/>
    <w:rsid w:val="52F27808"/>
    <w:rsid w:val="530D6D8F"/>
    <w:rsid w:val="53C438F2"/>
    <w:rsid w:val="53D63625"/>
    <w:rsid w:val="53EDEF4C"/>
    <w:rsid w:val="55A340F5"/>
    <w:rsid w:val="573B7247"/>
    <w:rsid w:val="584D65AC"/>
    <w:rsid w:val="58913FBE"/>
    <w:rsid w:val="58FC58DC"/>
    <w:rsid w:val="59575208"/>
    <w:rsid w:val="59C56616"/>
    <w:rsid w:val="5A0E3B19"/>
    <w:rsid w:val="5A274BDA"/>
    <w:rsid w:val="5A6E7BFA"/>
    <w:rsid w:val="5B914A01"/>
    <w:rsid w:val="5BBC2845"/>
    <w:rsid w:val="5BD40D92"/>
    <w:rsid w:val="5E2751A9"/>
    <w:rsid w:val="5E5E2B95"/>
    <w:rsid w:val="5E84084D"/>
    <w:rsid w:val="5EAA7B88"/>
    <w:rsid w:val="5FF75E37"/>
    <w:rsid w:val="63691DC0"/>
    <w:rsid w:val="63962A83"/>
    <w:rsid w:val="63B948B0"/>
    <w:rsid w:val="663F14FE"/>
    <w:rsid w:val="667E2026"/>
    <w:rsid w:val="67AC4971"/>
    <w:rsid w:val="67E939AC"/>
    <w:rsid w:val="6888718C"/>
    <w:rsid w:val="6A0C7949"/>
    <w:rsid w:val="6AC36259"/>
    <w:rsid w:val="6C0B610A"/>
    <w:rsid w:val="6C8B724B"/>
    <w:rsid w:val="6DA16F26"/>
    <w:rsid w:val="6DBEEE08"/>
    <w:rsid w:val="6DCE3893"/>
    <w:rsid w:val="6E1F5E9D"/>
    <w:rsid w:val="6FEBE292"/>
    <w:rsid w:val="705F6A24"/>
    <w:rsid w:val="71B75A5B"/>
    <w:rsid w:val="71EDDD5C"/>
    <w:rsid w:val="72A921D9"/>
    <w:rsid w:val="73C66DBA"/>
    <w:rsid w:val="7522503C"/>
    <w:rsid w:val="75232716"/>
    <w:rsid w:val="764240E2"/>
    <w:rsid w:val="78A23952"/>
    <w:rsid w:val="7AC21775"/>
    <w:rsid w:val="7AD4000F"/>
    <w:rsid w:val="7AE83ABA"/>
    <w:rsid w:val="7AEEF96C"/>
    <w:rsid w:val="7B4C5DF7"/>
    <w:rsid w:val="7B7E72C5"/>
    <w:rsid w:val="7BDF90D9"/>
    <w:rsid w:val="7BF56C2E"/>
    <w:rsid w:val="7BF87D2D"/>
    <w:rsid w:val="7C3E1792"/>
    <w:rsid w:val="7CD73DE6"/>
    <w:rsid w:val="7CEFE15A"/>
    <w:rsid w:val="7D2E7EAA"/>
    <w:rsid w:val="7D6E9FCB"/>
    <w:rsid w:val="7DF4246F"/>
    <w:rsid w:val="7F313C82"/>
    <w:rsid w:val="7F3E5D0B"/>
    <w:rsid w:val="7F5D138A"/>
    <w:rsid w:val="7F840255"/>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3">
    <w:name w:val="VISSLM-表格文本样式"/>
    <w:qFormat/>
    <w:uiPriority w:val="0"/>
    <w:rPr>
      <w:rFonts w:ascii="Times New Roman" w:hAnsi="Times New Roman" w:eastAsia="宋体" w:cs="Times New Roman"/>
      <w:sz w:val="21"/>
      <w:szCs w:val="24"/>
      <w:lang w:val="en-US" w:eastAsia="zh-CN" w:bidi="ar-SA"/>
    </w:rPr>
  </w:style>
  <w:style w:type="paragraph" w:customStyle="1" w:styleId="84">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 w:type="table" w:customStyle="1" w:styleId="85">
    <w:name w:val="修订表格"/>
    <w:basedOn w:val="21"/>
    <w:qFormat/>
    <w:uiPriority w:val="99"/>
    <w:pPr>
      <w:widowControl/>
      <w:adjustRightInd w:val="0"/>
      <w:snapToGrid w:val="0"/>
      <w:jc w:val="left"/>
    </w:pPr>
    <w:rPr>
      <w:rFonts w:ascii="Arial" w:hAnsi="Arial" w:eastAsia="微软雅黑" w:cs="Times New Roman"/>
    </w:rPr>
    <w:tblPr>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Pr>
    <w:tblStylePr w:type="firstRow">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Arial" w:hAnsi="Arial" w:eastAsia="微软雅黑"/>
        <w:b/>
        <w:i w:val="0"/>
        <w:caps w:val="0"/>
        <w:smallCaps w:val="0"/>
        <w:strike w:val="0"/>
        <w:dstrike w:val="0"/>
        <w:vanish w:val="0"/>
        <w:color w:val="000000"/>
        <w:sz w:val="21"/>
        <w:u w:val="none"/>
        <w:vertAlign w:val="baseline"/>
      </w:rPr>
      <w:tblPr>
        <w:jc w:val="center"/>
      </w:tblPr>
      <w:trPr>
        <w:jc w:val="center"/>
      </w:trPr>
    </w:tblStylePr>
  </w:style>
  <w:style w:type="table" w:customStyle="1" w:styleId="86">
    <w:name w:val="网格型1"/>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
    <w:name w:val="网格型2"/>
    <w:basedOn w:val="20"/>
    <w:autoRedefine/>
    <w:qFormat/>
    <w:uiPriority w:val="59"/>
    <w:rPr>
      <w:rFonts w:ascii="Times New Roman" w:hAnsi="Times New Roman" w:eastAsia="宋体" w:cs="Times New Roman"/>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8">
    <w:name w:val="fontstyle21"/>
    <w:basedOn w:val="22"/>
    <w:qFormat/>
    <w:uiPriority w:val="0"/>
    <w:rPr>
      <w:rFonts w:ascii="ArialMT" w:hAnsi="ArialMT" w:eastAsia="ArialMT" w:cs="ArialMT"/>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12</Pages>
  <Words>5221</Words>
  <Characters>5939</Characters>
  <Lines>547</Lines>
  <Paragraphs>559</Paragraphs>
  <TotalTime>12</TotalTime>
  <ScaleCrop>false</ScaleCrop>
  <LinksUpToDate>false</LinksUpToDate>
  <CharactersWithSpaces>6086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2026-03-23T05:42:54Z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