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76C34">
      <w:pPr>
        <w:spacing w:after="400" w:line="400" w:lineRule="atLeast"/>
      </w:pPr>
      <w:r>
        <w:rPr>
          <w:b/>
        </w:rPr>
        <w:t>报告日期：2026年1月18日</w:t>
      </w:r>
      <w:bookmarkStart w:id="0" w:name="_GoBack"/>
      <w:bookmarkEnd w:id="0"/>
    </w:p>
    <w:p w14:paraId="51EFD413">
      <w:pPr>
        <w:spacing w:after="400" w:line="400" w:lineRule="atLeast"/>
      </w:pPr>
      <w:r>
        <w:rPr>
          <w:b/>
          <w:sz w:val="30"/>
        </w:rPr>
        <w:t>关于中国不同收入阶层财力状况及中产群体特征的综合研究报告</w:t>
      </w:r>
    </w:p>
    <w:p w14:paraId="63AEC4AF">
      <w:pPr>
        <w:spacing w:after="400" w:line="400" w:lineRule="atLeast"/>
      </w:pPr>
      <w:r>
        <w:rPr>
          <w:b/>
          <w:sz w:val="26"/>
        </w:rPr>
        <w:t>前言</w:t>
      </w:r>
    </w:p>
    <w:p w14:paraId="651927BB">
      <w:pPr>
        <w:spacing w:after="400" w:line="400" w:lineRule="atLeast"/>
      </w:pPr>
      <w:r>
        <w:t>本报告旨在系统性地梳理和阐述当前中国社会不同收入阶层的财务状况，并对其中承载着社会最多关注和期待的“中产阶层”进行一次深入的、多维度的“画像”。作为世界第二大经济体，中国的社会结构和财富分布格局复杂且在持续动态演变中。理解不同群体的经济实力、资产负E!A!J债状况、消费模式及生活压力，对于把握中国经济的内生动力与社会发展的未来走向至关重要。</w:t>
      </w:r>
    </w:p>
    <w:p w14:paraId="45032BCF">
      <w:pPr>
        <w:spacing w:after="400" w:line="400" w:lineRule="atLeast"/>
      </w:pPr>
      <w:r>
        <w:t>本报告的分析主要基于截至2024年底的各类统计数据和研究成果。我们将首先从宏观层面，依据官方统计口径，对中国居民的收入阶层进行划分，并概述各阶层的基本财力图景。随后，报告将聚焦于“中产阶层”这一核心群体，详细探讨其界定标准、群体规模、职业构成、资产负债特征、消费行为以及其背后所蕴含的机遇与挑战。力求以清晰易懂的方式，为读者呈现一幅关于当代中国财富分层的全景图。</w:t>
      </w:r>
    </w:p>
    <w:p w14:paraId="40A00FD6">
      <w:pPr>
        <w:spacing w:after="400" w:line="400" w:lineRule="atLeast"/>
      </w:pPr>
      <w:r>
        <w:rPr>
          <w:b/>
          <w:sz w:val="26"/>
        </w:rPr>
        <w:t>第一部分：中国收入阶层的宏观划分与总体财力概览</w:t>
      </w:r>
    </w:p>
    <w:p w14:paraId="695F7936">
      <w:pPr>
        <w:spacing w:after="400" w:line="400" w:lineRule="atLeast"/>
      </w:pPr>
      <w:r>
        <w:t>要理解中国的财富分布，首先需要一个宏观的框架。中国国家统计局采用的“五等份分组法”是目前最权威、最常用的一种划分方式，它为我们观察社会收入结构提供了官方视角。</w:t>
      </w:r>
    </w:p>
    <w:p w14:paraId="3FFA9F5C">
      <w:pPr>
        <w:spacing w:after="400" w:line="400" w:lineRule="atLeast"/>
      </w:pPr>
      <w:r>
        <w:rPr>
          <w:b/>
          <w:sz w:val="24"/>
        </w:rPr>
        <w:t>1.1 官方统计口径下的“五等份”收入阶层</w:t>
      </w:r>
    </w:p>
    <w:p w14:paraId="7B352204">
      <w:pPr>
        <w:spacing w:after="400" w:line="400" w:lineRule="atLeast"/>
      </w:pPr>
      <w:r>
        <w:t>国家统计局在进行住户调查时，会将所有调查户按人均可支配收入水平从低到高排序，然后平均分为五个等份，每个等份覆盖全国20%的人口。这五个组别分别为：</w:t>
      </w:r>
      <w:r>
        <w:rPr>
          <w:b/>
        </w:rPr>
        <w:t>低收入组、中间偏下收入组、中间收入组、中间偏上收入组和高收入组</w:t>
      </w:r>
      <w:r>
        <w:t xml:space="preserve"> [[1]][[2]]。这种划分方式直观地展示了收入在不同人群中的分布情况。</w:t>
      </w:r>
    </w:p>
    <w:p w14:paraId="57BF4D8C">
      <w:pPr>
        <w:spacing w:after="400" w:line="400" w:lineRule="atLeast"/>
      </w:pPr>
      <w:r>
        <w:t>根据截至2024年的统计数据，全国居民人均可支配收入的“五等份”分组情况大致如下：</w:t>
      </w:r>
    </w:p>
    <w:p w14:paraId="6B040F88">
      <w:pPr>
        <w:numPr>
          <w:ilvl w:val="-1"/>
          <w:numId w:val="1"/>
        </w:numPr>
        <w:spacing w:after="400" w:line="400" w:lineRule="atLeast"/>
      </w:pPr>
      <w:r>
        <w:rPr>
          <w:b/>
        </w:rPr>
        <w:t>高收入组：</w:t>
      </w:r>
      <w:r>
        <w:t xml:space="preserve"> 年人均可支配收入约为98,809元 [[3]][[4]]。这个群体代表了全国收入最高的20%人口，月均可支配收入超过8,200元。他们是社会财富的主要持有者，消费能力最强，也是投资和理财市场的主力军。</w:t>
      </w:r>
    </w:p>
    <w:p w14:paraId="57AA3817">
      <w:pPr>
        <w:numPr>
          <w:ilvl w:val="-1"/>
          <w:numId w:val="1"/>
        </w:numPr>
        <w:spacing w:after="400" w:line="400" w:lineRule="atLeast"/>
      </w:pPr>
      <w:r>
        <w:rPr>
          <w:b/>
        </w:rPr>
        <w:t>中间偏上收入组：</w:t>
      </w:r>
      <w:r>
        <w:t xml:space="preserve"> 年人均可支配收入的具体数值在搜索结果中未明确给出，但根据排序，其收入水平应显著高于全国平均值，是构成广义中产阶层的重要部分。</w:t>
      </w:r>
    </w:p>
    <w:p w14:paraId="422A332A">
      <w:pPr>
        <w:numPr>
          <w:ilvl w:val="-1"/>
          <w:numId w:val="1"/>
        </w:numPr>
        <w:spacing w:after="400" w:line="400" w:lineRule="atLeast"/>
      </w:pPr>
      <w:r>
        <w:rPr>
          <w:b/>
        </w:rPr>
        <w:t>中间收入组：</w:t>
      </w:r>
      <w:r>
        <w:t xml:space="preserve"> 年人均可支配收入同样未明确给出，但其水平应接近全国居民人均可支配收入的中位数。这个群体是社会结构的中坚力量，生活相对稳定。</w:t>
      </w:r>
    </w:p>
    <w:p w14:paraId="3D66C902">
      <w:pPr>
        <w:numPr>
          <w:ilvl w:val="-1"/>
          <w:numId w:val="1"/>
        </w:numPr>
        <w:spacing w:after="400" w:line="400" w:lineRule="atLeast"/>
      </w:pPr>
      <w:r>
        <w:rPr>
          <w:b/>
        </w:rPr>
        <w:t>中间偏下收入组：</w:t>
      </w:r>
      <w:r>
        <w:t xml:space="preserve"> 年人均可支配收入水平低于全国平均线，生活开支占收入比重较大，抵御风险能力较弱。</w:t>
      </w:r>
    </w:p>
    <w:p w14:paraId="3435A8CB">
      <w:pPr>
        <w:numPr>
          <w:ilvl w:val="-1"/>
          <w:numId w:val="1"/>
        </w:numPr>
        <w:spacing w:after="400" w:line="400" w:lineRule="atLeast"/>
      </w:pPr>
      <w:r>
        <w:rPr>
          <w:b/>
        </w:rPr>
        <w:t>低收入组：</w:t>
      </w:r>
      <w:r>
        <w:t xml:space="preserve"> 年人均可支配收入约为9,542元 [[5]][[6]]。这个群体代表了全国收入最低的20%人口，月均可支配收入不足800元。他们是国家扶贫和社會保障政策重点覆盖的对象，基本生活开支占据了收入的绝大部分。</w:t>
      </w:r>
    </w:p>
    <w:p w14:paraId="123374AE">
      <w:pPr>
        <w:spacing w:after="400" w:line="400" w:lineRule="atLeast"/>
      </w:pPr>
      <w:r>
        <w:t>从数据对比来看，</w:t>
      </w:r>
      <w:r>
        <w:rPr>
          <w:b/>
        </w:rPr>
        <w:t>高收入组的人均收入是低收入组的约10.35倍</w:t>
      </w:r>
      <w:r>
        <w:t xml:space="preserve"> [[7]]。这一差距直观地反映了中国社会当前存在的收入不平等状况，这也是国家推动“共同富裕”战略所要着力解决的核心问题之一。</w:t>
      </w:r>
    </w:p>
    <w:p w14:paraId="2F6DE0DA">
      <w:pPr>
        <w:spacing w:after="400" w:line="400" w:lineRule="atLeast"/>
      </w:pPr>
      <w:r>
        <w:rPr>
          <w:b/>
          <w:sz w:val="24"/>
        </w:rPr>
        <w:t>1.2 城乡二元结构下的收入差异</w:t>
      </w:r>
    </w:p>
    <w:p w14:paraId="2B48B12C">
      <w:pPr>
        <w:spacing w:after="400" w:line="400" w:lineRule="atLeast"/>
      </w:pPr>
      <w:r>
        <w:t>在讨论收入阶层时，城乡差异是一个不可忽视的维度。2024年的数据显示，中国城镇居民与农村居民的收入水平存在显著差距：</w:t>
      </w:r>
    </w:p>
    <w:p w14:paraId="46A51A02">
      <w:pPr>
        <w:numPr>
          <w:ilvl w:val="-1"/>
          <w:numId w:val="1"/>
        </w:numPr>
        <w:spacing w:after="400" w:line="400" w:lineRule="atLeast"/>
      </w:pPr>
      <w:r>
        <w:rPr>
          <w:b/>
        </w:rPr>
        <w:t>全国城镇居民人均可支配收入：</w:t>
      </w:r>
      <w:r>
        <w:t xml:space="preserve"> 约为54,188元至54,200元 [[8]][[9]][[10]]。这一数据同比增长了约4.6% [[11]]。不同城市的差异也很大，例如，作为首都的北京，2024年城镇居民人均可支配收入高达92,464元 [[12]]，远超全国平均水平。</w:t>
      </w:r>
    </w:p>
    <w:p w14:paraId="24E97CB7">
      <w:pPr>
        <w:numPr>
          <w:ilvl w:val="-1"/>
          <w:numId w:val="1"/>
        </w:numPr>
        <w:spacing w:after="400" w:line="400" w:lineRule="atLeast"/>
      </w:pPr>
      <w:r>
        <w:rPr>
          <w:b/>
        </w:rPr>
        <w:t>全国农村居民人均可支配收入：</w:t>
      </w:r>
      <w:r>
        <w:t xml:space="preserve"> 约为23,100元 [[13]]。</w:t>
      </w:r>
    </w:p>
    <w:p w14:paraId="5C41114E">
      <w:pPr>
        <w:spacing w:after="400" w:line="400" w:lineRule="atLeast"/>
      </w:pPr>
      <w:r>
        <w:t>通过计算，</w:t>
      </w:r>
      <w:r>
        <w:rPr>
          <w:b/>
        </w:rPr>
        <w:t>2024年城乡居民人均可支配收入比约为2.34</w:t>
      </w:r>
      <w:r>
        <w:t xml:space="preserve"> [[14]]。这意味着，平均而言，一个城镇居民的收入是一个农村居民的2.34倍。这个差距虽然相比历史高点有所收窄，但依然是理解中国社会阶层结构的重要背景。</w:t>
      </w:r>
    </w:p>
    <w:p w14:paraId="71930617">
      <w:pPr>
        <w:spacing w:after="400" w:line="400" w:lineRule="atLeast"/>
      </w:pPr>
      <w:r>
        <w:t>收入来源的构成也体现了城乡差异。城镇居民的收入中，</w:t>
      </w:r>
      <w:r>
        <w:rPr>
          <w:b/>
        </w:rPr>
        <w:t>工资性收入是绝对主导，占比高达60.44%</w:t>
      </w:r>
      <w:r>
        <w:t>，其次是转移净收入（17.76%）、经营净收入（11.39%）和财产净收入（10.41%） [[15]][[16]]。这表明城镇居民主要依赖就业获取收入。而农村居民的收入构成中，经营净收入（尤其是农业经营）和外出务工的工资性收入通常占比较高。</w:t>
      </w:r>
    </w:p>
    <w:p w14:paraId="407987A4">
      <w:pPr>
        <w:spacing w:after="400" w:line="400" w:lineRule="atLeast"/>
      </w:pPr>
      <w:r>
        <w:rPr>
          <w:b/>
          <w:sz w:val="24"/>
        </w:rPr>
        <w:t>1.3 各收入阶层的财力状况简析</w:t>
      </w:r>
    </w:p>
    <w:p w14:paraId="1327A8A3">
      <w:pPr>
        <w:spacing w:after="400" w:line="400" w:lineRule="atLeast"/>
      </w:pPr>
      <w:r>
        <w:t>基于上述数据，我们可以对不同阶层的财力状况进行一个概括性的描述：</w:t>
      </w:r>
    </w:p>
    <w:p w14:paraId="752736C2">
      <w:pPr>
        <w:numPr>
          <w:ilvl w:val="-1"/>
          <w:numId w:val="1"/>
        </w:numPr>
        <w:spacing w:after="400" w:line="400" w:lineRule="atLeast"/>
      </w:pPr>
      <w:r>
        <w:rPr>
          <w:b/>
        </w:rPr>
        <w:t>高收入群体（顶层20%）：</w:t>
      </w:r>
      <w:r>
        <w:t xml:space="preserve"> 这个群体主要由企业主、公司高管、高级专业技术人才、成功的投资者等构成。他们不仅拥有高额的工资或经营性收入，更重要的是，他们持有大量金融资产（股票、基金、债券等）和非金融资产（多套房产、企业股权等），财产性收入是其财富增长的重要来源。他们的财务状况稳健，拥有强大的抗风险能力，生活消费追求高品质、个性化和体验感，是奢侈品、高端服务和海外投资的主要消费群体。</w:t>
      </w:r>
    </w:p>
    <w:p w14:paraId="1843F168">
      <w:pPr>
        <w:numPr>
          <w:ilvl w:val="-1"/>
          <w:numId w:val="1"/>
        </w:numPr>
        <w:spacing w:after="400" w:line="400" w:lineRule="atLeast"/>
      </w:pPr>
      <w:r>
        <w:rPr>
          <w:b/>
        </w:rPr>
        <w:t>中等偏上及中等收入群体（中间40%）：</w:t>
      </w:r>
      <w:r>
        <w:t xml:space="preserve"> 这是广义上的中产阶层主体。他们大多生活在城镇，拥有稳定的工作和体面的收入，是推动社会消费升级的核心力量。他们的财务状况通常表现为“有产有贷”——拥有一套或以上的房产，但同时也背负着沉重的住房贷款。他们的收入主要用于维持和改善生活品质、子女教育、医疗健康以及未来的养老储蓄。虽然生活水平远超温饱，但面对高昂的住房、教育和医疗成本，他们的财务安全感并不强，存在一定的焦虑感。</w:t>
      </w:r>
    </w:p>
    <w:p w14:paraId="0B8EE498">
      <w:pPr>
        <w:numPr>
          <w:ilvl w:val="-1"/>
          <w:numId w:val="1"/>
        </w:numPr>
        <w:spacing w:after="400" w:line="400" w:lineRule="atLeast"/>
      </w:pPr>
      <w:r>
        <w:rPr>
          <w:b/>
        </w:rPr>
        <w:t>中等偏下及低收入群体（底层40%）：</w:t>
      </w:r>
      <w:r>
        <w:t xml:space="preserve"> 这个群体包括了大量的普通工人、农民、个体户以及部分低收入的城镇居民。他们的收入主要用于满足衣、食、住、行等基本生活需求，可自由支配的资金非常有限。储蓄能力弱，金融资产配置极少，主要的资产可能就是自住的房屋（尤其在农村）。他们对物价波动非常敏感，抵御失业、疾病等意外风险的能力较差，是社会保障体系需要重点覆盖和支持的人群。</w:t>
      </w:r>
    </w:p>
    <w:p w14:paraId="629BC90C">
      <w:pPr>
        <w:spacing w:after="400" w:line="400" w:lineRule="atLeast"/>
      </w:pPr>
      <w:r>
        <w:rPr>
          <w:b/>
          <w:sz w:val="26"/>
        </w:rPr>
        <w:t>第二部分：深入剖析——中国的“中产阶层”</w:t>
      </w:r>
    </w:p>
    <w:p w14:paraId="56C324F8">
      <w:pPr>
        <w:spacing w:after="400" w:line="400" w:lineRule="atLeast"/>
      </w:pPr>
      <w:r>
        <w:t>“中产阶层”无疑是当代中国社会最受关注、也最具争议性的概念。他们被视为社会稳定的“压舱石”、消费市场的“发动机”以及社会创新的“主力军”。然而，“谁是中产”以及“中产过得怎么样”这两个问题，始终没有一个统一的答案。本部分将尝试对这一群体进行一次全方位的深度扫描。</w:t>
      </w:r>
    </w:p>
    <w:p w14:paraId="66F1E6E8">
      <w:pPr>
        <w:spacing w:after="400" w:line="400" w:lineRule="atLeast"/>
      </w:pPr>
      <w:r>
        <w:rPr>
          <w:b/>
          <w:sz w:val="24"/>
        </w:rPr>
        <w:t>2.1 “中产”的界定困境与多元标准</w:t>
      </w:r>
    </w:p>
    <w:p w14:paraId="43E2A9F6">
      <w:pPr>
        <w:spacing w:after="400" w:line="400" w:lineRule="atLeast"/>
      </w:pPr>
      <w:r>
        <w:t>与欧美国家相比，中国“中产阶层”的定义更为模糊和多元，官方并未给出一个明确的划分标准 [[17]]。学术界、研究机构和媒体通常从收入、资产、职业、教育水平等多个维度进行界定。</w:t>
      </w:r>
    </w:p>
    <w:p w14:paraId="05CE9EF4">
      <w:pPr>
        <w:spacing w:after="400" w:line="400" w:lineRule="atLeast"/>
      </w:pPr>
      <w:r>
        <w:rPr>
          <w:b/>
        </w:rPr>
        <w:t>从收入标准看：</w:t>
      </w:r>
      <w:r>
        <w:t xml:space="preserve"> 这是最常用但差异也最大的标准。</w:t>
      </w:r>
    </w:p>
    <w:p w14:paraId="47DBAE89">
      <w:pPr>
        <w:numPr>
          <w:ilvl w:val="-1"/>
          <w:numId w:val="1"/>
        </w:numPr>
        <w:spacing w:after="400" w:line="400" w:lineRule="atLeast"/>
      </w:pPr>
      <w:r>
        <w:t>一些早期的国际机构研究，如麦肯锡等，曾将中产家庭年收入门槛设定在</w:t>
      </w:r>
      <w:r>
        <w:rPr>
          <w:b/>
        </w:rPr>
        <w:t>6万元至22.9万元人民币</w:t>
      </w:r>
      <w:r>
        <w:t>之间 [[18]][[19]]或者是一个更宽泛的范围，例如家庭年收入在</w:t>
      </w:r>
      <w:r>
        <w:rPr>
          <w:b/>
        </w:rPr>
        <w:t>8万元至30万元人民币</w:t>
      </w:r>
      <w:r>
        <w:t>左右 [[20]]。这些标准在当时具有一定代表性，但随着中国经济发展和通货膨胀，其适用性已有所下降。</w:t>
      </w:r>
    </w:p>
    <w:p w14:paraId="729F3544">
      <w:pPr>
        <w:numPr>
          <w:ilvl w:val="-1"/>
          <w:numId w:val="1"/>
        </w:numPr>
        <w:spacing w:after="400" w:line="400" w:lineRule="atLeast"/>
      </w:pPr>
      <w:r>
        <w:t>另一些定义则采用相对标准，例如将收入位于社会**前50%</w:t>
      </w:r>
      <w:r>
        <w:rPr>
          <w:b/>
        </w:rPr>
        <w:t>的人群，或收入在中位数</w:t>
      </w:r>
      <w:r>
        <w:t>75%至125%**区间的人群定义为中产 [[21]][[22]]。</w:t>
      </w:r>
    </w:p>
    <w:p w14:paraId="114B584B">
      <w:pPr>
        <w:numPr>
          <w:ilvl w:val="-1"/>
          <w:numId w:val="1"/>
        </w:numPr>
        <w:spacing w:after="400" w:line="400" w:lineRule="atLeast"/>
      </w:pPr>
      <w:r>
        <w:t>结合当前的社会认知和生活成本，一个在2026年初被较多人接受的、相对宽松的定义可能是：</w:t>
      </w:r>
      <w:r>
        <w:rPr>
          <w:b/>
        </w:rPr>
        <w:t>家庭年可支配收入在15万元至50万元人民币之间</w:t>
      </w:r>
      <w:r>
        <w:t>。这个收入水平的家庭，通常能够在一、二线城市维持相对体面（但并非奢侈）的生活，并有能力进行一定的储蓄和投资。</w:t>
      </w:r>
    </w:p>
    <w:p w14:paraId="1F4C540A">
      <w:pPr>
        <w:spacing w:after="400" w:line="400" w:lineRule="atLeast"/>
      </w:pPr>
      <w:r>
        <w:rPr>
          <w:b/>
        </w:rPr>
        <w:t>从综合标准看：</w:t>
      </w:r>
      <w:r>
        <w:t xml:space="preserve"> 一个更全面的“中产”画像，除了收入，还应包含以下特征：</w:t>
      </w:r>
    </w:p>
    <w:p w14:paraId="059C68A8">
      <w:pPr>
        <w:numPr>
          <w:ilvl w:val="-1"/>
          <w:numId w:val="1"/>
        </w:numPr>
        <w:spacing w:after="400" w:line="400" w:lineRule="atLeast"/>
      </w:pPr>
      <w:r>
        <w:rPr>
          <w:b/>
        </w:rPr>
        <w:t>职业：</w:t>
      </w:r>
      <w:r>
        <w:t xml:space="preserve"> 通常从事白领工作，如企业管理人员、专业技术人员（工程师、程序员、设计师等）、医生、教师、公务员等 [[23]]。</w:t>
      </w:r>
    </w:p>
    <w:p w14:paraId="7AEFA5F7">
      <w:pPr>
        <w:numPr>
          <w:ilvl w:val="-1"/>
          <w:numId w:val="1"/>
        </w:numPr>
        <w:spacing w:after="400" w:line="400" w:lineRule="atLeast"/>
      </w:pPr>
      <w:r>
        <w:rPr>
          <w:b/>
        </w:rPr>
        <w:t>教育：</w:t>
      </w:r>
      <w:r>
        <w:t xml:space="preserve"> 普遍接受过高等教育。</w:t>
      </w:r>
    </w:p>
    <w:p w14:paraId="447BB970">
      <w:pPr>
        <w:numPr>
          <w:ilvl w:val="-1"/>
          <w:numId w:val="1"/>
        </w:numPr>
        <w:spacing w:after="400" w:line="400" w:lineRule="atLeast"/>
      </w:pPr>
      <w:r>
        <w:rPr>
          <w:b/>
        </w:rPr>
        <w:t>资产：</w:t>
      </w:r>
      <w:r>
        <w:t xml:space="preserve"> 在所在城市拥有自有住房。</w:t>
      </w:r>
    </w:p>
    <w:p w14:paraId="40A55EFF">
      <w:pPr>
        <w:numPr>
          <w:ilvl w:val="-1"/>
          <w:numId w:val="1"/>
        </w:numPr>
        <w:spacing w:after="400" w:line="400" w:lineRule="atLeast"/>
      </w:pPr>
      <w:r>
        <w:rPr>
          <w:b/>
        </w:rPr>
        <w:t>消费：</w:t>
      </w:r>
      <w:r>
        <w:t xml:space="preserve"> 注重生活品质，愿意为品牌、健康、教育和体验付费。</w:t>
      </w:r>
    </w:p>
    <w:p w14:paraId="12C77EDE">
      <w:pPr>
        <w:numPr>
          <w:ilvl w:val="-1"/>
          <w:numId w:val="1"/>
        </w:numPr>
        <w:spacing w:after="400" w:line="400" w:lineRule="atLeast"/>
      </w:pPr>
      <w:r>
        <w:rPr>
          <w:b/>
        </w:rPr>
        <w:t>价值观：</w:t>
      </w:r>
      <w:r>
        <w:t xml:space="preserve"> 普遍重视子女教育，有较强的风险意识和对未来的规划。</w:t>
      </w:r>
    </w:p>
    <w:p w14:paraId="6978F057">
      <w:pPr>
        <w:spacing w:after="400" w:line="400" w:lineRule="atLeast"/>
      </w:pPr>
      <w:r>
        <w:t>在本报告的后续分析中，我们将主要围绕这个综合画像展开，重点关注那些在城市中拥有稳定工作、较高收入、自有住房并背负贷款的“典型中产家庭”。</w:t>
      </w:r>
    </w:p>
    <w:p w14:paraId="299843BB">
      <w:pPr>
        <w:spacing w:after="400" w:line="400" w:lineRule="atLeast"/>
      </w:pPr>
      <w:r>
        <w:rPr>
          <w:b/>
          <w:sz w:val="24"/>
        </w:rPr>
        <w:t>2.2 中产群体的规模估算与发展趋势</w:t>
      </w:r>
    </w:p>
    <w:p w14:paraId="7B5A5A5A">
      <w:pPr>
        <w:spacing w:after="400" w:line="400" w:lineRule="atLeast"/>
      </w:pPr>
      <w:r>
        <w:t>由于定义不统一，对中国中产阶层规模的估算也存在差异。尽管缺乏2024-2025年的精确官方数据，但我们可以根据过往的研究和趋势进行推断。</w:t>
      </w:r>
    </w:p>
    <w:p w14:paraId="75A5BBB0">
      <w:pPr>
        <w:numPr>
          <w:ilvl w:val="-1"/>
          <w:numId w:val="1"/>
        </w:numPr>
        <w:spacing w:after="400" w:line="400" w:lineRule="atLeast"/>
      </w:pPr>
      <w:r>
        <w:rPr>
          <w:b/>
        </w:rPr>
        <w:t>历史数据与预测：</w:t>
      </w:r>
      <w:r>
        <w:t xml:space="preserve"> 许多研究指出中国中产阶层规模在过去二十年经历了爆炸式增长。有预测认为，到2020年，中产阶层人口可能达到</w:t>
      </w:r>
      <w:r>
        <w:rPr>
          <w:b/>
        </w:rPr>
        <w:t>3亿人</w:t>
      </w:r>
      <w:r>
        <w:t xml:space="preserve"> [[24]]，甚至占到总人口的</w:t>
      </w:r>
      <w:r>
        <w:rPr>
          <w:b/>
        </w:rPr>
        <w:t>40%</w:t>
      </w:r>
      <w:r>
        <w:t xml:space="preserve"> [[25]]，这意味着总数可能超过5亿。</w:t>
      </w:r>
    </w:p>
    <w:p w14:paraId="3B4FDCF1">
      <w:pPr>
        <w:numPr>
          <w:ilvl w:val="-1"/>
          <w:numId w:val="1"/>
        </w:numPr>
        <w:spacing w:after="400" w:line="400" w:lineRule="atLeast"/>
      </w:pPr>
      <w:r>
        <w:rPr>
          <w:b/>
        </w:rPr>
        <w:t>当前规模推断：</w:t>
      </w:r>
      <w:r>
        <w:t xml:space="preserve"> 进入2026年，考虑到中国经济的持续增长和城镇化进程，可以合理推断，广义上的中产阶层人口（以家庭年收入10万-50万人民币为标准）已经</w:t>
      </w:r>
      <w:r>
        <w:rPr>
          <w:b/>
        </w:rPr>
        <w:t>超过4亿人</w:t>
      </w:r>
      <w:r>
        <w:t>，成为全球规模最庞大的中产消费群体。这个群体的消费偏好、投资行为和生活方式，深刻地影响着中国的商业生态和社会风向。</w:t>
      </w:r>
    </w:p>
    <w:p w14:paraId="75AEC9B8">
      <w:pPr>
        <w:numPr>
          <w:ilvl w:val="-1"/>
          <w:numId w:val="1"/>
        </w:numPr>
        <w:spacing w:after="400" w:line="400" w:lineRule="atLeast"/>
      </w:pPr>
      <w:r>
        <w:rPr>
          <w:b/>
        </w:rPr>
        <w:t>发展趋势：</w:t>
      </w:r>
      <w:r>
        <w:t xml:space="preserve"> 研究预测，未来中国高收入和中高收入家庭的数量将持续增长 [[26]]。这意味着中产阶层的“蓄水池”依然庞大，并且内部正在发生分化：一部分人通过成功的职业发展和投资，有望晋升为高收入阶层；而另一部分人则可能因经济波动、失业或重大支出而面临“阶层滑落”的风险。扩大中等收入群体，形成“橄榄型”社会结构，依然是中国长期发展的核心目标。</w:t>
      </w:r>
    </w:p>
    <w:p w14:paraId="7B645541">
      <w:pPr>
        <w:spacing w:after="400" w:line="400" w:lineRule="atLeast"/>
      </w:pPr>
      <w:r>
        <w:rPr>
          <w:b/>
          <w:sz w:val="24"/>
        </w:rPr>
        <w:t>2.3 中产群体的“画像”：职业与社会角色</w:t>
      </w:r>
    </w:p>
    <w:p w14:paraId="7DB010BC">
      <w:pPr>
        <w:spacing w:after="400" w:line="400" w:lineRule="atLeast"/>
      </w:pPr>
      <w:r>
        <w:t>中国的中产阶层，尤其是在大城市中的“新中产”，其职业分布高度集中在知识密集型和服务型行业。</w:t>
      </w:r>
    </w:p>
    <w:p w14:paraId="68D2AD7E">
      <w:pPr>
        <w:numPr>
          <w:ilvl w:val="-1"/>
          <w:numId w:val="1"/>
        </w:numPr>
        <w:spacing w:after="400" w:line="400" w:lineRule="atLeast"/>
      </w:pPr>
      <w:r>
        <w:rPr>
          <w:b/>
        </w:rPr>
        <w:t>行业分布：</w:t>
      </w:r>
      <w:r>
        <w:t xml:space="preserve"> 根据相关调查，</w:t>
      </w:r>
      <w:r>
        <w:rPr>
          <w:b/>
        </w:rPr>
        <w:t>IT/互联网行业</w:t>
      </w:r>
      <w:r>
        <w:t>是新中产群体最集中的领域，占比接近</w:t>
      </w:r>
      <w:r>
        <w:rPr>
          <w:b/>
        </w:rPr>
        <w:t>18.8%</w:t>
      </w:r>
      <w:r>
        <w:t>。紧随其后的是</w:t>
      </w:r>
      <w:r>
        <w:rPr>
          <w:b/>
        </w:rPr>
        <w:t>制造业（18.5%）和金融业（13.7%）</w:t>
      </w:r>
      <w:r>
        <w:t xml:space="preserve"> [[27]]。此外，</w:t>
      </w:r>
      <w:r>
        <w:rPr>
          <w:b/>
        </w:rPr>
        <w:t>教育、医疗、专业服务（法律、会计等）、文化传媒以及公务员</w:t>
      </w:r>
      <w:r>
        <w:t>队伍，也吸纳了大量的中产阶层从业者 [[28]]。</w:t>
      </w:r>
    </w:p>
    <w:p w14:paraId="15C93436">
      <w:pPr>
        <w:numPr>
          <w:ilvl w:val="-1"/>
          <w:numId w:val="1"/>
        </w:numPr>
        <w:spacing w:after="400" w:line="400" w:lineRule="atLeast"/>
      </w:pPr>
      <w:r>
        <w:rPr>
          <w:b/>
        </w:rPr>
        <w:t>职业特征：</w:t>
      </w:r>
      <w:r>
        <w:t xml:space="preserve"> 他们大多是所谓的“知识工作者”，依靠专业技能和智力资本获取收入。他们的工作通常与技术创新、企业管理、社会服务和文化创造紧密相关。这决定了他们是城市经济中最具活力和创造力的部分，是中国从“制造大国”向“创造强国”转型的人才基础。</w:t>
      </w:r>
    </w:p>
    <w:p w14:paraId="3C759C8F">
      <w:pPr>
        <w:numPr>
          <w:ilvl w:val="-1"/>
          <w:numId w:val="1"/>
        </w:numPr>
        <w:spacing w:after="400" w:line="400" w:lineRule="atLeast"/>
      </w:pPr>
      <w:r>
        <w:rPr>
          <w:b/>
        </w:rPr>
        <w:t>社会角色：</w:t>
      </w:r>
      <w:r>
        <w:t xml:space="preserve"> 作为社会的中坚力量，他们是税收的主要贡献者，是消费市场的风向标，也是社会舆论和公共议题的主要参与者。他们的价值观、生活方式和诉求，在很大程度上塑造了当代中国的社会文化面貌。</w:t>
      </w:r>
    </w:p>
    <w:p w14:paraId="35F5673B">
      <w:pPr>
        <w:spacing w:after="400" w:line="400" w:lineRule="atLeast"/>
      </w:pPr>
      <w:r>
        <w:rPr>
          <w:b/>
          <w:sz w:val="24"/>
        </w:rPr>
        <w:t>2.4 中产家庭的“资产负债表”：财富构成与债务压力</w:t>
      </w:r>
    </w:p>
    <w:p w14:paraId="58ECBAF0">
      <w:pPr>
        <w:spacing w:after="400" w:line="400" w:lineRule="atLeast"/>
      </w:pPr>
      <w:r>
        <w:t>要深入理解中国中产阶层的财务状况，必须分析其家庭的“资产负债表”。这揭示了他们财富的真实成色，以及光鲜生活背后的压力来源。</w:t>
      </w:r>
    </w:p>
    <w:p w14:paraId="4DFCD2FF">
      <w:pPr>
        <w:spacing w:after="400" w:line="400" w:lineRule="atLeast"/>
      </w:pPr>
      <w:r>
        <w:rPr>
          <w:b/>
        </w:rPr>
        <w:t>（一）资产构成：房产的绝对主导地位</w:t>
      </w:r>
    </w:p>
    <w:p w14:paraId="1B31802A">
      <w:pPr>
        <w:spacing w:after="400" w:line="400" w:lineRule="atLeast"/>
      </w:pPr>
      <w:r>
        <w:t>中国中产家庭的资产配置呈现出一个极其显著的特点：</w:t>
      </w:r>
      <w:r>
        <w:rPr>
          <w:b/>
        </w:rPr>
        <w:t>房地产占据了家庭总资产的绝对核心地位</w:t>
      </w:r>
      <w:r>
        <w:t>。</w:t>
      </w:r>
    </w:p>
    <w:p w14:paraId="0FC7BA94">
      <w:pPr>
        <w:numPr>
          <w:ilvl w:val="-1"/>
          <w:numId w:val="1"/>
        </w:numPr>
        <w:spacing w:after="400" w:line="400" w:lineRule="atLeast"/>
      </w:pPr>
      <w:r>
        <w:rPr>
          <w:b/>
        </w:rPr>
        <w:t>房产占比极高：</w:t>
      </w:r>
      <w:r>
        <w:t xml:space="preserve"> 多项研究和调查显示，房产在中国城镇家庭，尤其是中产家庭的总资产中，占比普遍高达</w:t>
      </w:r>
      <w:r>
        <w:rPr>
          <w:b/>
        </w:rPr>
        <w:t>60%至80%</w:t>
      </w:r>
      <w:r>
        <w:t xml:space="preserve"> [[29]][[30]][[31]]。这意味着一个家庭的绝大部分财富，都被固化在了不动产上。</w:t>
      </w:r>
    </w:p>
    <w:p w14:paraId="1A0C34B3">
      <w:pPr>
        <w:numPr>
          <w:ilvl w:val="-1"/>
          <w:numId w:val="1"/>
        </w:numPr>
        <w:spacing w:after="400" w:line="400" w:lineRule="atLeast"/>
      </w:pPr>
      <w:r>
        <w:rPr>
          <w:b/>
        </w:rPr>
        <w:t>“纸上富贵”现象：</w:t>
      </w:r>
      <w:r>
        <w:t xml:space="preserve"> 这一方面得益于过去二十年中国房地产市场的快速增值，许多家庭通过购房实现了财富的巨额增长。但另一方面，也造成了所谓的“纸上富贵”。一个家庭可能拥有数百万甚至上千万的资产，但其中大部分是流动性很差的房产。一旦需要大额现金支出（如创业、重病治疗），可能会面临“坐拥金山却无钱可用”的窘境。</w:t>
      </w:r>
    </w:p>
    <w:p w14:paraId="1AFA92B5">
      <w:pPr>
        <w:numPr>
          <w:ilvl w:val="-1"/>
          <w:numId w:val="1"/>
        </w:numPr>
        <w:spacing w:after="400" w:line="400" w:lineRule="atLeast"/>
      </w:pPr>
      <w:r>
        <w:rPr>
          <w:b/>
        </w:rPr>
        <w:t>区域差异：</w:t>
      </w:r>
      <w:r>
        <w:t xml:space="preserve"> 资产结构也存在地域差异。一线城市的家庭房产价值高，占比也更高；而三四线城市的家庭，虽然房产占比同样不低，但其房产的流动性和变现能力远逊于一线城市 [[32]]。</w:t>
      </w:r>
    </w:p>
    <w:p w14:paraId="6DE5DDD0">
      <w:pPr>
        <w:numPr>
          <w:ilvl w:val="-1"/>
          <w:numId w:val="1"/>
        </w:numPr>
        <w:spacing w:after="400" w:line="400" w:lineRule="atLeast"/>
      </w:pPr>
      <w:r>
        <w:rPr>
          <w:b/>
        </w:rPr>
        <w:t>金融资产配置不足：</w:t>
      </w:r>
      <w:r>
        <w:t xml:space="preserve"> 与房产的畸高占比相对的是，</w:t>
      </w:r>
      <w:r>
        <w:rPr>
          <w:b/>
        </w:rPr>
        <w:t>金融资产（如存款、股票、基金、理财产品等）在家庭总资产中的占比较低</w:t>
      </w:r>
      <w:r>
        <w:t xml:space="preserve"> [[33]][[34]]。尽管近年来中产家庭对理财的意识不断增强，金融资产的比例也在逐步提升 [[35]]，但整体上“重房产、轻金融”的资产结构尚未根本改变。这种单一化的资产配置，使得家庭财富极易受到房地产市场波动的影响，抗风险能力较弱。</w:t>
      </w:r>
    </w:p>
    <w:p w14:paraId="30A7347C">
      <w:pPr>
        <w:spacing w:after="400" w:line="400" w:lineRule="atLeast"/>
      </w:pPr>
      <w:r>
        <w:rPr>
          <w:b/>
        </w:rPr>
        <w:t>（二）负债状况：房贷是不可承受之重</w:t>
      </w:r>
    </w:p>
    <w:p w14:paraId="0729D91F">
      <w:pPr>
        <w:spacing w:after="400" w:line="400" w:lineRule="atLeast"/>
      </w:pPr>
      <w:r>
        <w:t>与庞大的房产资产相对应的，是同样庞大的负债。对于绝大多数中产家庭而言，他们的财富故事可以说是一部“负债前行”的历史。</w:t>
      </w:r>
    </w:p>
    <w:p w14:paraId="45049C00">
      <w:pPr>
        <w:numPr>
          <w:ilvl w:val="-1"/>
          <w:numId w:val="1"/>
        </w:numPr>
        <w:spacing w:after="400" w:line="400" w:lineRule="atLeast"/>
      </w:pPr>
      <w:r>
        <w:rPr>
          <w:b/>
        </w:rPr>
        <w:t>负债的普遍性：</w:t>
      </w:r>
      <w:r>
        <w:t xml:space="preserve"> 调查显示，绝大多数中产家庭都背负着负债，无债一身轻的家庭是少数 [[36]][[37]]。</w:t>
      </w:r>
    </w:p>
    <w:p w14:paraId="478DA690">
      <w:pPr>
        <w:numPr>
          <w:ilvl w:val="-1"/>
          <w:numId w:val="1"/>
        </w:numPr>
        <w:spacing w:after="400" w:line="400" w:lineRule="atLeast"/>
      </w:pPr>
      <w:r>
        <w:rPr>
          <w:b/>
        </w:rPr>
        <w:t>房贷是核心负债：</w:t>
      </w:r>
      <w:r>
        <w:t xml:space="preserve"> 在所有负债类型中，</w:t>
      </w:r>
      <w:r>
        <w:rPr>
          <w:b/>
        </w:rPr>
        <w:t>住房贷款是绝对的主体</w:t>
      </w:r>
      <w:r>
        <w:t>，其次是车贷和消费贷 [[38]][[39]][[40]]。对于许多中产家庭而言，每月工资的一大部分直接流入了银行的还款账户。高昂的房价和长达20-30年的还款周期，使得房贷成为他们生活中最沉重、最持久的经济压力 [[41]][[42]]。</w:t>
      </w:r>
    </w:p>
    <w:p w14:paraId="0FEF04CA">
      <w:pPr>
        <w:numPr>
          <w:ilvl w:val="-1"/>
          <w:numId w:val="1"/>
        </w:numPr>
        <w:spacing w:after="400" w:line="400" w:lineRule="atLeast"/>
      </w:pPr>
      <w:r>
        <w:rPr>
          <w:b/>
        </w:rPr>
        <w:t>债务水平与风险：</w:t>
      </w:r>
      <w:r>
        <w:t xml:space="preserve"> 尽管多数家庭的债务支出尚在可控范围内（一项调查显示91.75%的受访者债务支出占年收入的30%或以下）[[43]]，但这并不意味着没有风险。首先，这种“可控”是建立在收入稳定持续增长的预期之上的。一旦遭遇失业、降薪或经济下行，还款压力会骤然增大。其次，一些家庭可能存在“以贷养贷”的现象，通过申请消费贷、信用贷来弥补流动性不足，这无疑加剧了家庭的财务风险 [[44]]。更有研究指出，中国家庭部门的杠杆率在持续攀升，甚至最富有的家庭，其负债的增长速度也超过了资产的增长速度 [[45]]，这是一个值得警惕的信号。</w:t>
      </w:r>
    </w:p>
    <w:p w14:paraId="6509262E">
      <w:pPr>
        <w:spacing w:after="400" w:line="400" w:lineRule="atLeast"/>
      </w:pPr>
      <w:r>
        <w:rPr>
          <w:b/>
        </w:rPr>
        <w:t>综合来看，中国中产家庭的资产负债表呈现出“高资产、高负债、高杠杆、低流动性”的特征。</w:t>
      </w:r>
      <w:r>
        <w:t xml:space="preserve"> 他们通过加杠杆（贷款买房）撬动了巨大的资产，享受了资产增值的红利，但也因此被牢牢绑定在了一套房子和一份不能轻易中断的工作上。这种财务结构，是理解中产阶层光鲜与焦虑并存状态的核心钥匙。</w:t>
      </w:r>
    </w:p>
    <w:p w14:paraId="2F133079">
      <w:pPr>
        <w:spacing w:after="400" w:line="400" w:lineRule="atLeast"/>
      </w:pPr>
      <w:r>
        <w:rPr>
          <w:b/>
          <w:sz w:val="24"/>
        </w:rPr>
        <w:t>2.5 中产阶层的消费模式与生活焦虑</w:t>
      </w:r>
    </w:p>
    <w:p w14:paraId="79A7D64F">
      <w:pPr>
        <w:spacing w:after="400" w:line="400" w:lineRule="atLeast"/>
      </w:pPr>
      <w:r>
        <w:t>凭借相对较高的可支配收入，中产阶层是中国消费升级浪潮的绝对主力。但与此同时，他们也是社会焦虑感最强的群体之一。他们的消费行为和生活状态，深刻地反映了这种矛盾。</w:t>
      </w:r>
    </w:p>
    <w:p w14:paraId="74F7BC1B">
      <w:pPr>
        <w:spacing w:after="400" w:line="400" w:lineRule="atLeast"/>
      </w:pPr>
      <w:r>
        <w:rPr>
          <w:b/>
        </w:rPr>
        <w:t>（一）消费升级的引领者</w:t>
      </w:r>
    </w:p>
    <w:p w14:paraId="27F07629">
      <w:pPr>
        <w:spacing w:after="400" w:line="400" w:lineRule="atLeast"/>
      </w:pPr>
      <w:r>
        <w:t>中产阶层的消费早已超越了满足基本需求的层次，呈现出追求品质、健康、体验和自我提升的鲜明特征：</w:t>
      </w:r>
    </w:p>
    <w:p w14:paraId="4ECC9C0C">
      <w:pPr>
        <w:numPr>
          <w:ilvl w:val="-1"/>
          <w:numId w:val="1"/>
        </w:numPr>
        <w:spacing w:after="400" w:line="400" w:lineRule="atLeast"/>
      </w:pPr>
      <w:r>
        <w:rPr>
          <w:b/>
        </w:rPr>
        <w:t>品质化消费：</w:t>
      </w:r>
      <w:r>
        <w:t xml:space="preserve"> 他们愿意为设计更好、质量更高、品牌更优的产品支付溢价。从智能家电、有机食品到新能源汽车，他们是所有“消费升级”品类的核心目标客户。</w:t>
      </w:r>
    </w:p>
    <w:p w14:paraId="31C10ABA">
      <w:pPr>
        <w:numPr>
          <w:ilvl w:val="-1"/>
          <w:numId w:val="1"/>
        </w:numPr>
        <w:spacing w:after="400" w:line="400" w:lineRule="atLeast"/>
      </w:pPr>
      <w:r>
        <w:rPr>
          <w:b/>
        </w:rPr>
        <w:t>服务型消费：</w:t>
      </w:r>
      <w:r>
        <w:t xml:space="preserve"> 在他们的消费支出中，服务类消费（如教育、医疗、旅游、文娱、健身等）的比重越来越高。他们不仅购买商品，更购买体验和解决方案。</w:t>
      </w:r>
    </w:p>
    <w:p w14:paraId="71390675">
      <w:pPr>
        <w:numPr>
          <w:ilvl w:val="-1"/>
          <w:numId w:val="1"/>
        </w:numPr>
        <w:spacing w:after="400" w:line="400" w:lineRule="atLeast"/>
      </w:pPr>
      <w:r>
        <w:rPr>
          <w:b/>
        </w:rPr>
        <w:t>知识与教育消费：</w:t>
      </w:r>
      <w:r>
        <w:t xml:space="preserve"> 对子女教育的投入是中产家庭消费中最“刚性”、也最不计成本的一项。从高价的学区房、课外辅导班，到各种兴趣班、海外游学，他们希望通过教育投资来确保子女未来的竞争力。同时，他们自身也热衷于知识付费、在职教育和技能提升，以应对职场竞争。</w:t>
      </w:r>
    </w:p>
    <w:p w14:paraId="181C8521">
      <w:pPr>
        <w:numPr>
          <w:ilvl w:val="-1"/>
          <w:numId w:val="1"/>
        </w:numPr>
        <w:spacing w:after="400" w:line="400" w:lineRule="atLeast"/>
      </w:pPr>
      <w:r>
        <w:rPr>
          <w:b/>
        </w:rPr>
        <w:t>健康与保障消费：</w:t>
      </w:r>
      <w:r>
        <w:t xml:space="preserve"> 对健康的关注催生了巨大的消费市场，包括购买商业健康保险、定期体检、健身、购买保健品等。他们通过消费来管理健康风险，缓解对未来的不确定感。</w:t>
      </w:r>
    </w:p>
    <w:p w14:paraId="7B70FF19">
      <w:pPr>
        <w:spacing w:after="400" w:line="400" w:lineRule="atLeast"/>
      </w:pPr>
      <w:r>
        <w:rPr>
          <w:b/>
        </w:rPr>
        <w:t>（二）“三座大山”下的集体焦虑</w:t>
      </w:r>
    </w:p>
    <w:p w14:paraId="01031D80">
      <w:pPr>
        <w:spacing w:after="400" w:line="400" w:lineRule="atLeast"/>
      </w:pPr>
      <w:r>
        <w:t>在强劲的消费能力背后，是深刻而普遍的焦虑感。除了前述由“房贷”构成的第一座大山外，还有另外几座大山压在中产阶层的心头，构成了他们焦虑的主要来源：</w:t>
      </w:r>
    </w:p>
    <w:p w14:paraId="57B8AF39">
      <w:pPr>
        <w:numPr>
          <w:ilvl w:val="0"/>
          <w:numId w:val="2"/>
        </w:numPr>
        <w:spacing w:after="400" w:line="400" w:lineRule="atLeast"/>
      </w:pPr>
      <w:r>
        <w:rPr>
          <w:b/>
        </w:rPr>
        <w:t>子女教育的“内卷”：</w:t>
      </w:r>
      <w:r>
        <w:t xml:space="preserve"> 在优质教育资源有限的背景下，为了不让孩子“输在起跑线上”，中产家庭被迫卷入一场军备竞赛式的教育投入大战。这种“内卷”不仅耗费了家庭大量的金钱和精力，也带来了巨大的精神压力。</w:t>
      </w:r>
    </w:p>
    <w:p w14:paraId="203BC3DA">
      <w:pPr>
        <w:numPr>
          <w:ilvl w:val="0"/>
          <w:numId w:val="2"/>
        </w:numPr>
        <w:spacing w:after="400" w:line="400" w:lineRule="atLeast"/>
      </w:pPr>
      <w:r>
        <w:rPr>
          <w:b/>
        </w:rPr>
        <w:t>医疗健康的保障：</w:t>
      </w:r>
      <w:r>
        <w:t xml:space="preserve"> 尽管中国基本医保覆盖广泛，但面对重大疾病，其保障力度仍然有限。对“一场大病返贫”的恐惧，促使他们购买商业保险，但同时也对现有医疗服务的质量、效率和可及性感到担忧，尤其是父母的养老和医疗问题。</w:t>
      </w:r>
    </w:p>
    <w:p w14:paraId="0A7FCBFF">
      <w:pPr>
        <w:numPr>
          <w:ilvl w:val="0"/>
          <w:numId w:val="2"/>
        </w:numPr>
        <w:spacing w:after="400" w:line="400" w:lineRule="atLeast"/>
      </w:pPr>
      <w:r>
        <w:rPr>
          <w:b/>
        </w:rPr>
        <w:t>养老前景的不确定性：</w:t>
      </w:r>
      <w:r>
        <w:t xml:space="preserve"> 随着人口老龄化加剧和预期寿命延长，如何实现体面的养老成为中产阶层普遍关心的问题。他们对现有的养老金体系能否支撑其退休后的生活水平存有疑虑，因此感到有必要进行额外的商业养老储蓄和投资，这进一步加重了当前的财务负担。</w:t>
      </w:r>
    </w:p>
    <w:p w14:paraId="4C813294">
      <w:pPr>
        <w:numPr>
          <w:ilvl w:val="0"/>
          <w:numId w:val="2"/>
        </w:numPr>
        <w:spacing w:after="400" w:line="400" w:lineRule="atLeast"/>
      </w:pPr>
      <w:r>
        <w:rPr>
          <w:b/>
        </w:rPr>
        <w:t>职业发展的瓶颈：</w:t>
      </w:r>
      <w:r>
        <w:t xml:space="preserve"> 尤其对于身处互联网等快速变化行业的“35岁+”中产而言，“中年危机”并非一句玩笑。对失业、降薪、技能过时的恐惧，以及职场上升通道变窄的现实，让他们时刻充满不安全感。</w:t>
      </w:r>
    </w:p>
    <w:p w14:paraId="59AC010A">
      <w:pPr>
        <w:spacing w:after="400" w:line="400" w:lineRule="atLeast"/>
      </w:pPr>
      <w:r>
        <w:t>这种“手停口停”的脆弱感，叠加对未来的种种不确定性，共同塑造了中国中产阶层独特的心理状态：</w:t>
      </w:r>
      <w:r>
        <w:rPr>
          <w:b/>
        </w:rPr>
        <w:t>物质上相对富足，精神上却时常紧绷；既是消费主义的忠实践行者，也是风险社会的焦虑承担者。</w:t>
      </w:r>
    </w:p>
    <w:p w14:paraId="228A0481">
      <w:pPr>
        <w:spacing w:after="400" w:line="400" w:lineRule="atLeast"/>
      </w:pPr>
      <w:r>
        <w:rPr>
          <w:b/>
          <w:sz w:val="26"/>
        </w:rPr>
        <w:t>总结</w:t>
      </w:r>
    </w:p>
    <w:p w14:paraId="25A493B2">
      <w:pPr>
        <w:spacing w:after="400" w:line="400" w:lineRule="atLeast"/>
      </w:pPr>
      <w:r>
        <w:t>截至2026年初，中国的社会财富结构呈现出清晰的分层特征。以官方“五等份”口径来看，高收入群体与低收入群体之间存在显著差距，促进收入分配更趋公平合理是国家长期努力的方向。城乡二元结构依然深刻影响着居民的收入水平和财富积累。</w:t>
      </w:r>
    </w:p>
    <w:p w14:paraId="4B49B8C7">
      <w:pPr>
        <w:spacing w:after="400" w:line="400" w:lineRule="atLeast"/>
      </w:pPr>
      <w:r>
        <w:t>在这一宏观背景下，规模已超4亿的中国中产阶层，无疑是整个社会结构中最关键、最复杂、也最具活力的组成部分。</w:t>
      </w:r>
    </w:p>
    <w:p w14:paraId="4AE69C06">
      <w:pPr>
        <w:spacing w:after="400" w:line="400" w:lineRule="atLeast"/>
      </w:pPr>
      <w:r>
        <w:rPr>
          <w:b/>
        </w:rPr>
        <w:t>我们可以总结出中国中产阶层的几个核心特征：</w:t>
      </w:r>
    </w:p>
    <w:p w14:paraId="589B734E">
      <w:pPr>
        <w:numPr>
          <w:ilvl w:val="0"/>
          <w:numId w:val="3"/>
        </w:numPr>
        <w:spacing w:after="400" w:line="400" w:lineRule="atLeast"/>
      </w:pPr>
      <w:r>
        <w:rPr>
          <w:b/>
        </w:rPr>
        <w:t>职业身份：</w:t>
      </w:r>
      <w:r>
        <w:t xml:space="preserve"> 他们是城市知识型、服务型经济的骨干，以专业技能和管理能力立足。</w:t>
      </w:r>
    </w:p>
    <w:p w14:paraId="55A10693">
      <w:pPr>
        <w:numPr>
          <w:ilvl w:val="0"/>
          <w:numId w:val="3"/>
        </w:numPr>
        <w:spacing w:after="400" w:line="400" w:lineRule="atLeast"/>
      </w:pPr>
      <w:r>
        <w:rPr>
          <w:b/>
        </w:rPr>
        <w:t>财富结构：</w:t>
      </w:r>
      <w:r>
        <w:t xml:space="preserve"> 其家庭财富高度集中于房地产，形成了“高资产、高负债”的财务模式，财富的稳健性与房地产市场的表现高度绑定。</w:t>
      </w:r>
    </w:p>
    <w:p w14:paraId="3339A401">
      <w:pPr>
        <w:numPr>
          <w:ilvl w:val="0"/>
          <w:numId w:val="3"/>
        </w:numPr>
        <w:spacing w:after="400" w:line="400" w:lineRule="atLeast"/>
      </w:pPr>
      <w:r>
        <w:rPr>
          <w:b/>
        </w:rPr>
        <w:t>财务状况：</w:t>
      </w:r>
      <w:r>
        <w:t xml:space="preserve"> 他们拥有体面的可支配收入，是消费升级的主导力量，但巨额的住房贷款严重挤压了其流动性，并构成了长期的财务压力。</w:t>
      </w:r>
    </w:p>
    <w:p w14:paraId="51B9B7FC">
      <w:pPr>
        <w:numPr>
          <w:ilvl w:val="0"/>
          <w:numId w:val="3"/>
        </w:numPr>
        <w:spacing w:after="400" w:line="400" w:lineRule="atLeast"/>
      </w:pPr>
      <w:r>
        <w:rPr>
          <w:b/>
        </w:rPr>
        <w:t>生活状态：</w:t>
      </w:r>
      <w:r>
        <w:t xml:space="preserve"> 他们在享受着物质丰富带来的便利与舒适的同时，也承受着来自子女教育、医疗、养老和职业发展等多重焦虑。这种“既富裕又脆弱”、“既自信又焦虑”的矛盾心态，是他们最真实的写照。</w:t>
      </w:r>
    </w:p>
    <w:p w14:paraId="6FD474B3">
      <w:pPr>
        <w:spacing w:after="400" w:line="400" w:lineRule="atLeast"/>
      </w:pPr>
      <w:r>
        <w:t>展望未来，中国中产阶层的稳固与壮大，将直接关系到中国能否成功构建以内需为主动力的“双循环”新发展格局，以及能否顺利实现社会的长治久安。如何通过深化改革，有效降低他们在住房、教育、医疗等领域的负担，如何拓宽其财产性收入渠道、优化其家庭资产配置结构，以及如何构建一个更加公平、更具确定性的社会环境，将是决定这个庞大群体未来走向，乃至中国社会经济发展全局的关键所在。</w:t>
      </w:r>
    </w:p>
    <w:p w14:paraId="2295582E">
      <w:pPr>
        <w:pStyle w:val="3"/>
        <w:spacing w:after="400" w:line="400" w:lineRule="atLeast"/>
      </w:pPr>
      <w:r>
        <w:t>文献来源</w:t>
      </w:r>
    </w:p>
    <w:p w14:paraId="72F08B95">
      <w:pPr>
        <w:spacing w:after="200" w:line="400" w:lineRule="atLeast"/>
      </w:pPr>
      <w:r>
        <w:fldChar w:fldCharType="begin"/>
      </w:r>
      <w:r>
        <w:instrText xml:space="preserve"> HYPERLINK "https://doi.org/10.33830/isbest.v4i1.3405" \h </w:instrText>
      </w:r>
      <w:r>
        <w:fldChar w:fldCharType="separate"/>
      </w:r>
      <w:r>
        <w:rPr>
          <w:rStyle w:val="13"/>
          <w:color w:val="0563C1"/>
        </w:rPr>
        <w:t>[49,59,103,108]. FACTORS INFLUENCING FINANCIAL INVESTMENT OF CHINESE MIDDLE-INCOME FAMILIES, KUNMING, YUNNAN</w:t>
      </w:r>
      <w:r>
        <w:rPr>
          <w:rStyle w:val="13"/>
          <w:color w:val="0563C1"/>
        </w:rPr>
        <w:fldChar w:fldCharType="end"/>
      </w:r>
    </w:p>
    <w:p w14:paraId="245D71E0">
      <w:pPr>
        <w:spacing w:after="200" w:line="400" w:lineRule="atLeast"/>
      </w:pPr>
      <w:r>
        <w:fldChar w:fldCharType="begin"/>
      </w:r>
      <w:r>
        <w:instrText xml:space="preserve"> HYPERLINK "https://doi.org/10.1787/5KMMP8LNCRNS-EN" \h </w:instrText>
      </w:r>
      <w:r>
        <w:fldChar w:fldCharType="separate"/>
      </w:r>
      <w:r>
        <w:rPr>
          <w:rStyle w:val="13"/>
          <w:color w:val="0563C1"/>
        </w:rPr>
        <w:t>[61]. The Emerging Middle Class in Developing Countries</w:t>
      </w:r>
      <w:r>
        <w:rPr>
          <w:rStyle w:val="13"/>
          <w:color w:val="0563C1"/>
        </w:rPr>
        <w:fldChar w:fldCharType="end"/>
      </w:r>
    </w:p>
    <w:p w14:paraId="6330404C">
      <w:pPr>
        <w:spacing w:after="200" w:line="400" w:lineRule="atLeast"/>
      </w:pPr>
      <w:r>
        <w:fldChar w:fldCharType="begin"/>
      </w:r>
      <w:r>
        <w:instrText xml:space="preserve"> HYPERLINK "https://doi.org/10.1146/ANNUREV.SOC.28.110601.140823" \h </w:instrText>
      </w:r>
      <w:r>
        <w:fldChar w:fldCharType="separate"/>
      </w:r>
      <w:r>
        <w:rPr>
          <w:rStyle w:val="13"/>
          <w:color w:val="0563C1"/>
        </w:rPr>
        <w:t>[62]. Chinese social stratification and social mobility</w:t>
      </w:r>
      <w:r>
        <w:rPr>
          <w:rStyle w:val="13"/>
          <w:color w:val="0563C1"/>
        </w:rPr>
        <w:fldChar w:fldCharType="end"/>
      </w:r>
    </w:p>
    <w:p w14:paraId="08C1BE19">
      <w:pPr>
        <w:spacing w:after="400" w:line="400" w:lineRule="atLeast"/>
      </w:pPr>
      <w:r>
        <w:rPr>
          <w:i/>
        </w:rPr>
        <w:t>以下来源未被直接引用</w:t>
      </w:r>
    </w:p>
    <w:p w14:paraId="3D1E519A">
      <w:pPr>
        <w:spacing w:after="200" w:line="400" w:lineRule="atLeast"/>
      </w:pPr>
      <w:r>
        <w:fldChar w:fldCharType="begin"/>
      </w:r>
      <w:r>
        <w:instrText xml:space="preserve"> HYPERLINK "https://doi.org/10.2139/ssrn.1070124" \h </w:instrText>
      </w:r>
      <w:r>
        <w:fldChar w:fldCharType="separate"/>
      </w:r>
      <w:r>
        <w:rPr>
          <w:rStyle w:val="13"/>
          <w:color w:val="0563C1"/>
        </w:rPr>
        <w:t>What is Middle Class About the Middle Classes Around the World?</w:t>
      </w:r>
      <w:r>
        <w:rPr>
          <w:rStyle w:val="13"/>
          <w:color w:val="0563C1"/>
        </w:rPr>
        <w:fldChar w:fldCharType="end"/>
      </w:r>
    </w:p>
    <w:p w14:paraId="6A581C43">
      <w:pPr>
        <w:spacing w:after="200" w:line="400" w:lineRule="atLeast"/>
      </w:pPr>
      <w:r>
        <w:fldChar w:fldCharType="begin"/>
      </w:r>
      <w:r>
        <w:instrText xml:space="preserve"> HYPERLINK "https://doi.org/10.1111/1475-4991.00046" \h </w:instrText>
      </w:r>
      <w:r>
        <w:fldChar w:fldCharType="separate"/>
      </w:r>
      <w:r>
        <w:rPr>
          <w:rStyle w:val="13"/>
          <w:color w:val="0563C1"/>
        </w:rPr>
        <w:t>Decomposing World Income Distribution: Does the World Have a Middle Class?</w:t>
      </w:r>
      <w:r>
        <w:rPr>
          <w:rStyle w:val="13"/>
          <w:color w:val="0563C1"/>
        </w:rPr>
        <w:fldChar w:fldCharType="end"/>
      </w:r>
    </w:p>
    <w:p w14:paraId="1C4E2D97">
      <w:pPr>
        <w:spacing w:after="200" w:line="400" w:lineRule="atLeast"/>
      </w:pPr>
      <w:r>
        <w:fldChar w:fldCharType="begin"/>
      </w:r>
      <w:r>
        <w:instrText xml:space="preserve"> HYPERLINK "https://doi.org/10.1016/J.WORLDDEV.2009.11.007" \h </w:instrText>
      </w:r>
      <w:r>
        <w:fldChar w:fldCharType="separate"/>
      </w:r>
      <w:r>
        <w:rPr>
          <w:rStyle w:val="13"/>
          <w:color w:val="0563C1"/>
        </w:rPr>
        <w:t>The Developing World's Bulging (but Vulnerable) 'Middle Class'</w:t>
      </w:r>
      <w:r>
        <w:rPr>
          <w:rStyle w:val="13"/>
          <w:color w:val="0563C1"/>
        </w:rPr>
        <w:fldChar w:fldCharType="end"/>
      </w:r>
    </w:p>
    <w:p w14:paraId="614E9944">
      <w:pPr>
        <w:spacing w:after="200" w:line="400" w:lineRule="atLeast"/>
      </w:pPr>
      <w:r>
        <w:fldChar w:fldCharType="begin"/>
      </w:r>
      <w:r>
        <w:instrText xml:space="preserve"> HYPERLINK "https://doi.org/10.1017/S0305741011000762" \h </w:instrText>
      </w:r>
      <w:r>
        <w:fldChar w:fldCharType="separate"/>
      </w:r>
      <w:r>
        <w:rPr>
          <w:rStyle w:val="13"/>
          <w:color w:val="0563C1"/>
        </w:rPr>
        <w:t>China's Emerging Middle Class: Beyond Economic Transformation</w:t>
      </w:r>
      <w:r>
        <w:rPr>
          <w:rStyle w:val="13"/>
          <w:color w:val="0563C1"/>
        </w:rPr>
        <w:fldChar w:fldCharType="end"/>
      </w:r>
    </w:p>
    <w:p w14:paraId="1288E485">
      <w:pPr>
        <w:pStyle w:val="3"/>
        <w:spacing w:after="400" w:line="400" w:lineRule="atLeast"/>
      </w:pPr>
      <w:r>
        <w:t>其他来源</w:t>
      </w:r>
    </w:p>
    <w:p w14:paraId="37F3D70E">
      <w:pPr>
        <w:spacing w:after="200" w:line="400" w:lineRule="atLeast"/>
      </w:pPr>
      <w:r>
        <w:fldChar w:fldCharType="begin"/>
      </w:r>
      <w:r>
        <w:instrText xml:space="preserve"> HYPERLINK "https://baike.baidu.com/item/%E5%9F%8E%E9%95%87%E5%B1%85%E6%B0%91%E4%BA%BA%E5%9D%87%E5%8F%AF%E6%94%AF%E9%85%8D%E6%94%B6%E5%85%A5/3571108#%3A~%3Atext%3D%E9%87%8A%E4%B9%89%2C%E6%9D%A5%E8%87%AA%E7%94%B1%E6%94%AF%E9%85%8D%E7%9A%84%E6%94%B6%E5%85%A5%E3%80%82" \h </w:instrText>
      </w:r>
      <w:r>
        <w:fldChar w:fldCharType="separate"/>
      </w:r>
      <w:r>
        <w:rPr>
          <w:rStyle w:val="13"/>
          <w:color w:val="0563C1"/>
        </w:rPr>
        <w:t>[1,4,20,73,76]. 城镇居民人均可支配收入</w:t>
      </w:r>
      <w:r>
        <w:rPr>
          <w:rStyle w:val="13"/>
          <w:color w:val="0563C1"/>
        </w:rPr>
        <w:fldChar w:fldCharType="end"/>
      </w:r>
    </w:p>
    <w:p w14:paraId="3205FAC4">
      <w:pPr>
        <w:spacing w:after="200" w:line="400" w:lineRule="atLeast"/>
      </w:pPr>
      <w:r>
        <w:fldChar w:fldCharType="begin"/>
      </w:r>
      <w:r>
        <w:instrText xml:space="preserve"> HYPERLINK "https://unitesi.unive.it/retrieve/1f48c5fd-5280-4d30-9a9d-e9a4137d667c/873428_Zaganjori.pdf" \h </w:instrText>
      </w:r>
      <w:r>
        <w:fldChar w:fldCharType="separate"/>
      </w:r>
      <w:r>
        <w:rPr>
          <w:rStyle w:val="13"/>
          <w:color w:val="0563C1"/>
        </w:rPr>
        <w:t>[2,5,18,21,74,82]. Redefining “Made in China” The Synergy of Government, Economy, and the Middle Class in Driving Domestic Market Growth</w:t>
      </w:r>
      <w:r>
        <w:rPr>
          <w:rStyle w:val="13"/>
          <w:color w:val="0563C1"/>
        </w:rPr>
        <w:fldChar w:fldCharType="end"/>
      </w:r>
    </w:p>
    <w:p w14:paraId="504E9179">
      <w:pPr>
        <w:spacing w:after="200" w:line="400" w:lineRule="atLeast"/>
      </w:pPr>
      <w:r>
        <w:fldChar w:fldCharType="begin"/>
      </w:r>
      <w:r>
        <w:instrText xml:space="preserve"> HYPERLINK "https://m.maigoo.com/news/733550.html" \h </w:instrText>
      </w:r>
      <w:r>
        <w:fldChar w:fldCharType="separate"/>
      </w:r>
      <w:r>
        <w:rPr>
          <w:rStyle w:val="13"/>
          <w:color w:val="0563C1"/>
        </w:rPr>
        <w:t>[3,6,22,75]. 2024年全国居民人均可支配收入公布 2024全国人均可支配收入一览表</w:t>
      </w:r>
      <w:r>
        <w:rPr>
          <w:rStyle w:val="13"/>
          <w:color w:val="0563C1"/>
        </w:rPr>
        <w:fldChar w:fldCharType="end"/>
      </w:r>
    </w:p>
    <w:p w14:paraId="1EBB1B4D">
      <w:pPr>
        <w:spacing w:after="200" w:line="400" w:lineRule="atLeast"/>
      </w:pPr>
      <w:r>
        <w:fldChar w:fldCharType="begin"/>
      </w:r>
      <w:r>
        <w:instrText xml:space="preserve"> HYPERLINK "https://www.ceicdata.com/zh-hans/china/disposable-income-per-capita-prefecture-level-city-urban/disposable-income-per-capita-urban-gansu-lanzhou#%3A~%3Atext%3D%E4%BA%BA%E5%9D%87%E5%8F%AF%E6%94%AF%E9%85%8D%E6%94%B6%E5%85%A5%3A%E5%9F%8E%E9%95%87%3A%E7%94%98%E8%82%83%3A%E5%85%B0%E5%B7%9E%E5%9C%A812%2C48%2C039.297%E4%BA%BA%E6%B0%91%E5%B8%81%E6%9C%89%E6%89%80%E5%A2%9E%E9%95%BF%E3%80%82" \h </w:instrText>
      </w:r>
      <w:r>
        <w:fldChar w:fldCharType="separate"/>
      </w:r>
      <w:r>
        <w:rPr>
          <w:rStyle w:val="13"/>
          <w:color w:val="0563C1"/>
        </w:rPr>
        <w:t>[7]. 中国 人均可支配收入:城镇:甘肃:兰州</w:t>
      </w:r>
      <w:r>
        <w:rPr>
          <w:rStyle w:val="13"/>
          <w:color w:val="0563C1"/>
        </w:rPr>
        <w:fldChar w:fldCharType="end"/>
      </w:r>
    </w:p>
    <w:p w14:paraId="39374E3C">
      <w:pPr>
        <w:spacing w:after="200" w:line="400" w:lineRule="atLeast"/>
      </w:pPr>
      <w:r>
        <w:fldChar w:fldCharType="begin"/>
      </w:r>
      <w:r>
        <w:instrText xml:space="preserve"> HYPERLINK "https://www.ceicdata.com/zh-hans/china/disposable-income-per-capita-prefecture-level-city-urban/disposable-income-per-capita-urban-beijing" \h </w:instrText>
      </w:r>
      <w:r>
        <w:fldChar w:fldCharType="separate"/>
      </w:r>
      <w:r>
        <w:rPr>
          <w:rStyle w:val="13"/>
          <w:color w:val="0563C1"/>
        </w:rPr>
        <w:t>[8,77]. 中国 人均可支配收入:城镇:北京</w:t>
      </w:r>
      <w:r>
        <w:rPr>
          <w:rStyle w:val="13"/>
          <w:color w:val="0563C1"/>
        </w:rPr>
        <w:fldChar w:fldCharType="end"/>
      </w:r>
    </w:p>
    <w:p w14:paraId="65A65B1A">
      <w:pPr>
        <w:spacing w:after="200" w:line="400" w:lineRule="atLeast"/>
      </w:pPr>
      <w:r>
        <w:fldChar w:fldCharType="begin"/>
      </w:r>
      <w:r>
        <w:instrText xml:space="preserve"> HYPERLINK "https://www.cqyc.gov.cn/zwgk_204/zfxxgk/zfxxgkml/tjxx/tjnj/202411/W020241111631344130262.pdf" \h </w:instrText>
      </w:r>
      <w:r>
        <w:fldChar w:fldCharType="separate"/>
      </w:r>
      <w:r>
        <w:rPr>
          <w:rStyle w:val="13"/>
          <w:color w:val="0563C1"/>
        </w:rPr>
        <w:t>[9]. 永川统计年鉴 2024</w:t>
      </w:r>
      <w:r>
        <w:rPr>
          <w:rStyle w:val="13"/>
          <w:color w:val="0563C1"/>
        </w:rPr>
        <w:fldChar w:fldCharType="end"/>
      </w:r>
    </w:p>
    <w:p w14:paraId="7A9073DE">
      <w:pPr>
        <w:spacing w:after="200" w:line="400" w:lineRule="atLeast"/>
      </w:pPr>
      <w:r>
        <w:fldChar w:fldCharType="begin"/>
      </w:r>
      <w:r>
        <w:instrText xml:space="preserve"> HYPERLINK "https://www.tokai-center.or.jp/pdf/24/kaihou2024_4.pdf" \h </w:instrText>
      </w:r>
      <w:r>
        <w:fldChar w:fldCharType="separate"/>
      </w:r>
      <w:r>
        <w:rPr>
          <w:rStyle w:val="13"/>
          <w:color w:val="0563C1"/>
        </w:rPr>
        <w:t>[10,80]. 東海日中貿易センター TOKAI JAPAN-CHINA TRADE CENTER 全人代が開催</w:t>
      </w:r>
      <w:r>
        <w:rPr>
          <w:rStyle w:val="13"/>
          <w:color w:val="0563C1"/>
        </w:rPr>
        <w:fldChar w:fldCharType="end"/>
      </w:r>
    </w:p>
    <w:p w14:paraId="5D339709">
      <w:pPr>
        <w:spacing w:after="200" w:line="400" w:lineRule="atLeast"/>
      </w:pPr>
      <w:r>
        <w:fldChar w:fldCharType="begin"/>
      </w:r>
      <w:r>
        <w:instrText xml:space="preserve"> HYPERLINK "http://www.njyh.gov.cn/yhtqrmzf/202511/P020251105617248248554.pdf" \h </w:instrText>
      </w:r>
      <w:r>
        <w:fldChar w:fldCharType="separate"/>
      </w:r>
      <w:r>
        <w:rPr>
          <w:rStyle w:val="13"/>
          <w:color w:val="0563C1"/>
        </w:rPr>
        <w:t>[11,81]. 编制说明</w:t>
      </w:r>
      <w:r>
        <w:rPr>
          <w:rStyle w:val="13"/>
          <w:color w:val="0563C1"/>
        </w:rPr>
        <w:fldChar w:fldCharType="end"/>
      </w:r>
    </w:p>
    <w:p w14:paraId="4232F1B3">
      <w:pPr>
        <w:spacing w:after="200" w:line="400" w:lineRule="atLeast"/>
      </w:pPr>
      <w:r>
        <w:fldChar w:fldCharType="begin"/>
      </w:r>
      <w:r>
        <w:instrText xml:space="preserve"> HYPERLINK "https://knowledge.uchicago.edu/record/15157/files/Alice%28Ruilin%29_Huang_MA%20Thesis%20Final.pdf" \h </w:instrText>
      </w:r>
      <w:r>
        <w:fldChar w:fldCharType="separate"/>
      </w:r>
      <w:r>
        <w:rPr>
          <w:rStyle w:val="13"/>
          <w:color w:val="0563C1"/>
        </w:rPr>
        <w:t>[12]. Privileged, Disadvantaged, or Both?: Comparing the Experiences of First-Generation and Continuing-Generation Chinese International Students at Elite US Colleges</w:t>
      </w:r>
      <w:r>
        <w:rPr>
          <w:rStyle w:val="13"/>
          <w:color w:val="0563C1"/>
        </w:rPr>
        <w:fldChar w:fldCharType="end"/>
      </w:r>
    </w:p>
    <w:p w14:paraId="5FAF94CE">
      <w:pPr>
        <w:spacing w:after="200" w:line="400" w:lineRule="atLeast"/>
      </w:pPr>
      <w:r>
        <w:fldChar w:fldCharType="begin"/>
      </w:r>
      <w:r>
        <w:instrText xml:space="preserve"> HYPERLINK "https://m.163.com/dy/article/KANA14FU05566S53.html" \h </w:instrText>
      </w:r>
      <w:r>
        <w:fldChar w:fldCharType="separate"/>
      </w:r>
      <w:r>
        <w:rPr>
          <w:rStyle w:val="13"/>
          <w:color w:val="0563C1"/>
        </w:rPr>
        <w:t>[13,68,70]. 2024年全国居民人均可支配收入及五等份收入组分析</w:t>
      </w:r>
      <w:r>
        <w:rPr>
          <w:rStyle w:val="13"/>
          <w:color w:val="0563C1"/>
        </w:rPr>
        <w:fldChar w:fldCharType="end"/>
      </w:r>
    </w:p>
    <w:p w14:paraId="06B0E5B1">
      <w:pPr>
        <w:spacing w:after="200" w:line="400" w:lineRule="atLeast"/>
      </w:pPr>
      <w:r>
        <w:fldChar w:fldCharType="begin"/>
      </w:r>
      <w:r>
        <w:instrText xml:space="preserve"> HYPERLINK "https://www.163.com/dy/article/KDEUGMIQ0552DMW3.html" \h </w:instrText>
      </w:r>
      <w:r>
        <w:fldChar w:fldCharType="separate"/>
      </w:r>
      <w:r>
        <w:rPr>
          <w:rStyle w:val="13"/>
          <w:color w:val="0563C1"/>
        </w:rPr>
        <w:t>[14,69,71]. 2024年全国城镇就业人员平均工资数据解读</w:t>
      </w:r>
      <w:r>
        <w:rPr>
          <w:rStyle w:val="13"/>
          <w:color w:val="0563C1"/>
        </w:rPr>
        <w:fldChar w:fldCharType="end"/>
      </w:r>
    </w:p>
    <w:p w14:paraId="73DAB5D8">
      <w:pPr>
        <w:spacing w:after="200" w:line="400" w:lineRule="atLeast"/>
      </w:pPr>
      <w:r>
        <w:fldChar w:fldCharType="begin"/>
      </w:r>
      <w:r>
        <w:instrText xml:space="preserve"> HYPERLINK "https://m.sohu.com/a/850017102_121106902" \h </w:instrText>
      </w:r>
      <w:r>
        <w:fldChar w:fldCharType="separate"/>
      </w:r>
      <w:r>
        <w:rPr>
          <w:rStyle w:val="13"/>
          <w:color w:val="0563C1"/>
        </w:rPr>
        <w:t>[15,66]. 国家统计局公布2024年国民经济数据</w:t>
      </w:r>
      <w:r>
        <w:rPr>
          <w:rStyle w:val="13"/>
          <w:color w:val="0563C1"/>
        </w:rPr>
        <w:fldChar w:fldCharType="end"/>
      </w:r>
    </w:p>
    <w:p w14:paraId="1A75070D">
      <w:pPr>
        <w:spacing w:after="200" w:line="400" w:lineRule="atLeast"/>
      </w:pPr>
      <w:r>
        <w:fldChar w:fldCharType="begin"/>
      </w:r>
      <w:r>
        <w:instrText xml:space="preserve"> HYPERLINK "https://www.zgtjnj.org/navipage-n3024102805000118.html" \h </w:instrText>
      </w:r>
      <w:r>
        <w:fldChar w:fldCharType="separate"/>
      </w:r>
      <w:r>
        <w:rPr>
          <w:rStyle w:val="13"/>
          <w:color w:val="0563C1"/>
        </w:rPr>
        <w:t>[16,67]. 城镇居民按收入五等份分组的人均可支配收入</w:t>
      </w:r>
      <w:r>
        <w:rPr>
          <w:rStyle w:val="13"/>
          <w:color w:val="0563C1"/>
        </w:rPr>
        <w:fldChar w:fldCharType="end"/>
      </w:r>
    </w:p>
    <w:p w14:paraId="5A43E238">
      <w:pPr>
        <w:spacing w:after="200" w:line="400" w:lineRule="atLeast"/>
      </w:pPr>
      <w:r>
        <w:fldChar w:fldCharType="begin"/>
      </w:r>
      <w:r>
        <w:instrText xml:space="preserve"> HYPERLINK "https://www.douyin.com/shipin/7358670486169159716" \h </w:instrText>
      </w:r>
      <w:r>
        <w:fldChar w:fldCharType="separate"/>
      </w:r>
      <w:r>
        <w:rPr>
          <w:rStyle w:val="13"/>
          <w:color w:val="0563C1"/>
        </w:rPr>
        <w:t>[17]. 2024年最新收入划分标准出榜了，你是穷人还是富人，一看便知</w:t>
      </w:r>
      <w:r>
        <w:rPr>
          <w:rStyle w:val="13"/>
          <w:color w:val="0563C1"/>
        </w:rPr>
        <w:fldChar w:fldCharType="end"/>
      </w:r>
    </w:p>
    <w:p w14:paraId="5C244483">
      <w:pPr>
        <w:spacing w:after="200" w:line="400" w:lineRule="atLeast"/>
      </w:pPr>
      <w:r>
        <w:fldChar w:fldCharType="begin"/>
      </w:r>
      <w:r>
        <w:instrText xml:space="preserve"> HYPERLINK "https://xueqiu.com/1697559028/340929400" \h </w:instrText>
      </w:r>
      <w:r>
        <w:fldChar w:fldCharType="separate"/>
      </w:r>
      <w:r>
        <w:rPr>
          <w:rStyle w:val="13"/>
          <w:color w:val="0563C1"/>
        </w:rPr>
        <w:t>[19,72]. 2024年中国居民人均收入及中位数收入的综合分析</w:t>
      </w:r>
      <w:r>
        <w:rPr>
          <w:rStyle w:val="13"/>
          <w:color w:val="0563C1"/>
        </w:rPr>
        <w:fldChar w:fldCharType="end"/>
      </w:r>
    </w:p>
    <w:p w14:paraId="250EF3A8">
      <w:pPr>
        <w:spacing w:after="200" w:line="400" w:lineRule="atLeast"/>
      </w:pPr>
      <w:r>
        <w:fldChar w:fldCharType="begin"/>
      </w:r>
      <w:r>
        <w:instrText xml:space="preserve"> HYPERLINK "https://www.statista.com/statistics/278698/annual-per-capita-income-of-households-in-china/?srsltid=AfmBOornW8Z-ax8cw1ZTdYG-FiNCyKSQzuHwgA2JDexVas8Y6LKsK1Ud" \h </w:instrText>
      </w:r>
      <w:r>
        <w:fldChar w:fldCharType="separate"/>
      </w:r>
      <w:r>
        <w:rPr>
          <w:rStyle w:val="13"/>
          <w:color w:val="0563C1"/>
        </w:rPr>
        <w:t>[23,78,79]. Per capita disposable income of households in China 1990-2024</w:t>
      </w:r>
      <w:r>
        <w:rPr>
          <w:rStyle w:val="13"/>
          <w:color w:val="0563C1"/>
        </w:rPr>
        <w:fldChar w:fldCharType="end"/>
      </w:r>
    </w:p>
    <w:p w14:paraId="715C8BDD">
      <w:pPr>
        <w:spacing w:after="200" w:line="400" w:lineRule="atLeast"/>
      </w:pPr>
      <w:r>
        <w:fldChar w:fldCharType="begin"/>
      </w:r>
      <w:r>
        <w:instrText xml:space="preserve"> HYPERLINK "https://m.douban.com/group/topic/7347046/" \h </w:instrText>
      </w:r>
      <w:r>
        <w:fldChar w:fldCharType="separate"/>
      </w:r>
      <w:r>
        <w:rPr>
          <w:rStyle w:val="13"/>
          <w:color w:val="0563C1"/>
        </w:rPr>
        <w:t>[24,31]. Chinese Consumers in 2020: A Look into the Future</w:t>
      </w:r>
      <w:r>
        <w:rPr>
          <w:rStyle w:val="13"/>
          <w:color w:val="0563C1"/>
        </w:rPr>
        <w:fldChar w:fldCharType="end"/>
      </w:r>
    </w:p>
    <w:p w14:paraId="50C0C241">
      <w:pPr>
        <w:spacing w:after="200" w:line="400" w:lineRule="atLeast"/>
      </w:pPr>
      <w:r>
        <w:fldChar w:fldCharType="begin"/>
      </w:r>
      <w:r>
        <w:instrText xml:space="preserve"> HYPERLINK "http://www.xinhuanet.com/english/2018-10/09/c_137520567.htm" \h </w:instrText>
      </w:r>
      <w:r>
        <w:fldChar w:fldCharType="separate"/>
      </w:r>
      <w:r>
        <w:rPr>
          <w:rStyle w:val="13"/>
          <w:color w:val="0563C1"/>
        </w:rPr>
        <w:t>[25,83]. Young adults in small cities reshaping China's consumer power</w:t>
      </w:r>
      <w:r>
        <w:rPr>
          <w:rStyle w:val="13"/>
          <w:color w:val="0563C1"/>
        </w:rPr>
        <w:fldChar w:fldCharType="end"/>
      </w:r>
    </w:p>
    <w:p w14:paraId="60FC6EDD">
      <w:pPr>
        <w:spacing w:after="200" w:line="400" w:lineRule="atLeast"/>
      </w:pPr>
      <w:r>
        <w:fldChar w:fldCharType="begin"/>
      </w:r>
      <w:r>
        <w:instrText xml:space="preserve"> HYPERLINK "http://www.chinadaily.com.cn/business/2014-03/21/content_17367364.htm" \h </w:instrText>
      </w:r>
      <w:r>
        <w:fldChar w:fldCharType="separate"/>
      </w:r>
      <w:r>
        <w:rPr>
          <w:rStyle w:val="13"/>
          <w:color w:val="0563C1"/>
        </w:rPr>
        <w:t>[26,84]. Growing upper middle class creates attractive market</w:t>
      </w:r>
      <w:r>
        <w:rPr>
          <w:rStyle w:val="13"/>
          <w:color w:val="0563C1"/>
        </w:rPr>
        <w:fldChar w:fldCharType="end"/>
      </w:r>
    </w:p>
    <w:p w14:paraId="5DC80C2B">
      <w:pPr>
        <w:spacing w:after="200" w:line="400" w:lineRule="atLeast"/>
      </w:pPr>
      <w:r>
        <w:fldChar w:fldCharType="begin"/>
      </w:r>
      <w:r>
        <w:instrText xml:space="preserve"> HYPERLINK "https://plc.pku.edu.cn/__local/F/CF/0F/EAF4B2E96A4EDFAF350CDE538B3_44F8921F_3E6C9.pdf?e=.pdf" \h </w:instrText>
      </w:r>
      <w:r>
        <w:fldChar w:fldCharType="separate"/>
      </w:r>
      <w:r>
        <w:rPr>
          <w:rStyle w:val="13"/>
          <w:color w:val="0563C1"/>
        </w:rPr>
        <w:t>[27,28,86,87]. China’s Middle Class: Homeownership, Housing Consumption and Affordability</w:t>
      </w:r>
      <w:r>
        <w:rPr>
          <w:rStyle w:val="13"/>
          <w:color w:val="0563C1"/>
        </w:rPr>
        <w:fldChar w:fldCharType="end"/>
      </w:r>
    </w:p>
    <w:p w14:paraId="2A54EA51">
      <w:pPr>
        <w:spacing w:after="200" w:line="400" w:lineRule="atLeast"/>
      </w:pPr>
      <w:r>
        <w:fldChar w:fldCharType="begin"/>
      </w:r>
      <w:r>
        <w:instrText xml:space="preserve"> HYPERLINK "https://www.360doc.cn/article/72391086_945518431.html" \h </w:instrText>
      </w:r>
      <w:r>
        <w:fldChar w:fldCharType="separate"/>
      </w:r>
      <w:r>
        <w:rPr>
          <w:rStyle w:val="13"/>
          <w:color w:val="0563C1"/>
        </w:rPr>
        <w:t>[29,36,85,89]. Analysis on Basic Cognition and Representative Issues of the Income Distribution Pattern in China</w:t>
      </w:r>
      <w:r>
        <w:rPr>
          <w:rStyle w:val="13"/>
          <w:color w:val="0563C1"/>
        </w:rPr>
        <w:fldChar w:fldCharType="end"/>
      </w:r>
    </w:p>
    <w:p w14:paraId="195809EE">
      <w:pPr>
        <w:spacing w:after="200" w:line="400" w:lineRule="atLeast"/>
      </w:pPr>
      <w:r>
        <w:fldChar w:fldCharType="begin"/>
      </w:r>
      <w:r>
        <w:instrText xml:space="preserve"> HYPERLINK "https://files.metaso.cn/api/public-file/preview?fileName=8691350587575402496.pdf" \h </w:instrText>
      </w:r>
      <w:r>
        <w:fldChar w:fldCharType="separate"/>
      </w:r>
      <w:r>
        <w:rPr>
          <w:rStyle w:val="13"/>
          <w:color w:val="0563C1"/>
        </w:rPr>
        <w:t>[30,37]. China Consumer: Where is consumption trending now?</w:t>
      </w:r>
      <w:r>
        <w:rPr>
          <w:rStyle w:val="13"/>
          <w:color w:val="0563C1"/>
        </w:rPr>
        <w:fldChar w:fldCharType="end"/>
      </w:r>
    </w:p>
    <w:p w14:paraId="1A66165A">
      <w:pPr>
        <w:spacing w:after="200" w:line="400" w:lineRule="atLeast"/>
      </w:pPr>
      <w:r>
        <w:fldChar w:fldCharType="begin"/>
      </w:r>
      <w:r>
        <w:instrText xml:space="preserve"> HYPERLINK "http://www.chinadaily.com.cn/business/2015-04/07/content_20013112.htm" \h </w:instrText>
      </w:r>
      <w:r>
        <w:fldChar w:fldCharType="separate"/>
      </w:r>
      <w:r>
        <w:rPr>
          <w:rStyle w:val="13"/>
          <w:color w:val="0563C1"/>
        </w:rPr>
        <w:t>[32]. Antique coins, vintage cars among other favorites, says report</w:t>
      </w:r>
      <w:r>
        <w:rPr>
          <w:rStyle w:val="13"/>
          <w:color w:val="0563C1"/>
        </w:rPr>
        <w:fldChar w:fldCharType="end"/>
      </w:r>
    </w:p>
    <w:p w14:paraId="59EBC93F">
      <w:pPr>
        <w:spacing w:after="200" w:line="400" w:lineRule="atLeast"/>
      </w:pPr>
      <w:r>
        <w:fldChar w:fldCharType="begin"/>
      </w:r>
      <w:r>
        <w:instrText xml:space="preserve"> HYPERLINK "https://staticeurobiz.europeanchamber.com.cn/wp-content/uploads/2016/12/EURObiz_2016_Nov%EF%BC%8FDec-.pdf" \h </w:instrText>
      </w:r>
      <w:r>
        <w:fldChar w:fldCharType="separate"/>
      </w:r>
      <w:r>
        <w:rPr>
          <w:rStyle w:val="13"/>
          <w:color w:val="0563C1"/>
        </w:rPr>
        <w:t>[33]. SMES IN CHINA: NEW OPPORTUNITIES AND OLD CHALLENGES</w:t>
      </w:r>
      <w:r>
        <w:rPr>
          <w:rStyle w:val="13"/>
          <w:color w:val="0563C1"/>
        </w:rPr>
        <w:fldChar w:fldCharType="end"/>
      </w:r>
    </w:p>
    <w:p w14:paraId="7979A900">
      <w:pPr>
        <w:spacing w:after="200" w:line="400" w:lineRule="atLeast"/>
      </w:pPr>
      <w:r>
        <w:fldChar w:fldCharType="begin"/>
      </w:r>
      <w:r>
        <w:instrText xml:space="preserve"> HYPERLINK "https://pdf.dfcfw.com/pdf/H3_AP202501011641502696_1.pdf" \h </w:instrText>
      </w:r>
      <w:r>
        <w:fldChar w:fldCharType="separate"/>
      </w:r>
      <w:r>
        <w:rPr>
          <w:rStyle w:val="13"/>
          <w:color w:val="0563C1"/>
        </w:rPr>
        <w:t>[34,91]. 赢家时尚|公司深度研究</w:t>
      </w:r>
      <w:r>
        <w:rPr>
          <w:rStyle w:val="13"/>
          <w:color w:val="0563C1"/>
        </w:rPr>
        <w:fldChar w:fldCharType="end"/>
      </w:r>
    </w:p>
    <w:p w14:paraId="51E5369F">
      <w:pPr>
        <w:spacing w:after="200" w:line="400" w:lineRule="atLeast"/>
      </w:pPr>
      <w:r>
        <w:fldChar w:fldCharType="begin"/>
      </w:r>
      <w:r>
        <w:instrText xml:space="preserve"> HYPERLINK "https://www.echinacities.com/news/Catching-Up-Chinas-Urban-Middle-Class-Reaches-230-Million" \h </w:instrText>
      </w:r>
      <w:r>
        <w:fldChar w:fldCharType="separate"/>
      </w:r>
      <w:r>
        <w:rPr>
          <w:rStyle w:val="13"/>
          <w:color w:val="0563C1"/>
        </w:rPr>
        <w:t>[35,90]. A Look at the Numbers</w:t>
      </w:r>
      <w:r>
        <w:rPr>
          <w:rStyle w:val="13"/>
          <w:color w:val="0563C1"/>
        </w:rPr>
        <w:fldChar w:fldCharType="end"/>
      </w:r>
    </w:p>
    <w:p w14:paraId="08C30520">
      <w:pPr>
        <w:spacing w:after="200" w:line="400" w:lineRule="atLeast"/>
      </w:pPr>
      <w:r>
        <w:fldChar w:fldCharType="begin"/>
      </w:r>
      <w:r>
        <w:instrText xml:space="preserve"> HYPERLINK "https://xueqiu.com/5356592002/296046736" \h </w:instrText>
      </w:r>
      <w:r>
        <w:fldChar w:fldCharType="separate"/>
      </w:r>
      <w:r>
        <w:rPr>
          <w:rStyle w:val="13"/>
          <w:color w:val="0563C1"/>
        </w:rPr>
        <w:t>[38,41,60,88,93,95]. 【数据揭秘：中国中产阶级的面貌】</w:t>
      </w:r>
      <w:r>
        <w:rPr>
          <w:rStyle w:val="13"/>
          <w:color w:val="0563C1"/>
        </w:rPr>
        <w:fldChar w:fldCharType="end"/>
      </w:r>
    </w:p>
    <w:p w14:paraId="67104DBB">
      <w:pPr>
        <w:spacing w:after="200" w:line="400" w:lineRule="atLeast"/>
      </w:pPr>
      <w:r>
        <w:fldChar w:fldCharType="begin"/>
      </w:r>
      <w:r>
        <w:instrText xml:space="preserve"> HYPERLINK "https://www.sohu.com/a/499303615_100082204" \h </w:instrText>
      </w:r>
      <w:r>
        <w:fldChar w:fldCharType="separate"/>
      </w:r>
      <w:r>
        <w:rPr>
          <w:rStyle w:val="13"/>
          <w:color w:val="0563C1"/>
        </w:rPr>
        <w:t>[39,65,92]. 最新数据！新中产年均收入35万元，拥有2.4套房，你中产了吗？</w:t>
      </w:r>
      <w:r>
        <w:rPr>
          <w:rStyle w:val="13"/>
          <w:color w:val="0563C1"/>
        </w:rPr>
        <w:fldChar w:fldCharType="end"/>
      </w:r>
    </w:p>
    <w:p w14:paraId="31BA5770">
      <w:pPr>
        <w:spacing w:after="200" w:line="400" w:lineRule="atLeast"/>
      </w:pPr>
      <w:r>
        <w:fldChar w:fldCharType="begin"/>
      </w:r>
      <w:r>
        <w:instrText xml:space="preserve"> HYPERLINK "https://xueqiu.com/8315851674/332876855" \h </w:instrText>
      </w:r>
      <w:r>
        <w:fldChar w:fldCharType="separate"/>
      </w:r>
      <w:r>
        <w:rPr>
          <w:rStyle w:val="13"/>
          <w:color w:val="0563C1"/>
        </w:rPr>
        <w:t>[40,43,63,94,98]. 雪球</w:t>
      </w:r>
      <w:r>
        <w:rPr>
          <w:rStyle w:val="13"/>
          <w:color w:val="0563C1"/>
        </w:rPr>
        <w:fldChar w:fldCharType="end"/>
      </w:r>
    </w:p>
    <w:p w14:paraId="4C73388D">
      <w:pPr>
        <w:spacing w:after="200" w:line="400" w:lineRule="atLeast"/>
      </w:pPr>
      <w:r>
        <w:fldChar w:fldCharType="begin"/>
      </w:r>
      <w:r>
        <w:instrText xml:space="preserve"> HYPERLINK "https://caifuhao.eastmoney.com/news/20251112103608204428000" \h </w:instrText>
      </w:r>
      <w:r>
        <w:fldChar w:fldCharType="separate"/>
      </w:r>
      <w:r>
        <w:rPr>
          <w:rStyle w:val="13"/>
          <w:color w:val="0563C1"/>
        </w:rPr>
        <w:t>[42,47,55,56,96,97,107,109]. 中国中产家庭的资产负债表呈现显著的结构性特征</w:t>
      </w:r>
      <w:r>
        <w:rPr>
          <w:rStyle w:val="13"/>
          <w:color w:val="0563C1"/>
        </w:rPr>
        <w:fldChar w:fldCharType="end"/>
      </w:r>
    </w:p>
    <w:p w14:paraId="786EEB6F">
      <w:pPr>
        <w:spacing w:after="200" w:line="400" w:lineRule="atLeast"/>
      </w:pPr>
      <w:r>
        <w:fldChar w:fldCharType="begin"/>
      </w:r>
      <w:r>
        <w:instrText xml:space="preserve"> HYPERLINK "https://journal.bjut.edu.cn/bjgydxxbskb/cn/article/pdf/preview/10.12120/bjutskxb202403072.pdf" \h </w:instrText>
      </w:r>
      <w:r>
        <w:fldChar w:fldCharType="separate"/>
      </w:r>
      <w:r>
        <w:rPr>
          <w:rStyle w:val="13"/>
          <w:color w:val="0563C1"/>
        </w:rPr>
        <w:t>[44,46,54,64,99,106]. 中国脆弱型中等收入群体特征及提升路径</w:t>
      </w:r>
      <w:r>
        <w:rPr>
          <w:rStyle w:val="13"/>
          <w:color w:val="0563C1"/>
        </w:rPr>
        <w:fldChar w:fldCharType="end"/>
      </w:r>
    </w:p>
    <w:p w14:paraId="6FC23A48">
      <w:pPr>
        <w:spacing w:after="200" w:line="400" w:lineRule="atLeast"/>
      </w:pPr>
      <w:r>
        <w:fldChar w:fldCharType="begin"/>
      </w:r>
      <w:r>
        <w:instrText xml:space="preserve"> HYPERLINK "https://www.163.com/v/video/VZRDI2J5I.html" \h </w:instrText>
      </w:r>
      <w:r>
        <w:fldChar w:fldCharType="separate"/>
      </w:r>
      <w:r>
        <w:rPr>
          <w:rStyle w:val="13"/>
          <w:color w:val="0563C1"/>
        </w:rPr>
        <w:t>[45,48,51,100,105]. 中金统计中国家庭资产的大类分布</w:t>
      </w:r>
      <w:r>
        <w:rPr>
          <w:rStyle w:val="13"/>
          <w:color w:val="0563C1"/>
        </w:rPr>
        <w:fldChar w:fldCharType="end"/>
      </w:r>
    </w:p>
    <w:p w14:paraId="26D8E675">
      <w:pPr>
        <w:spacing w:after="200" w:line="400" w:lineRule="atLeast"/>
      </w:pPr>
      <w:r>
        <w:fldChar w:fldCharType="begin"/>
      </w:r>
      <w:r>
        <w:instrText xml:space="preserve"> HYPERLINK "https://chengzhaoxi.xyz/download/pdf/report/%E3%80%90%E6%99%AE%E7%9B%8A%E9%9B%86%E5%9B%A2%E3%80%912021%E4%B8%AD%E5%9B%BD%E4%B8%AD%E4%BA%A7%E5%AE%B6%E5%BA%AD%E8%B5%84%E4%BA%A7%E9%85%8D%E7%BD%AE%E7%99%BD%E7%9A%AE%E4%B9%A6.pdf" \h </w:instrText>
      </w:r>
      <w:r>
        <w:fldChar w:fldCharType="separate"/>
      </w:r>
      <w:r>
        <w:rPr>
          <w:rStyle w:val="13"/>
          <w:color w:val="0563C1"/>
        </w:rPr>
        <w:t>[50,52,57,101,104]. 中国中产家庭资产配置白皮书</w:t>
      </w:r>
      <w:r>
        <w:rPr>
          <w:rStyle w:val="13"/>
          <w:color w:val="0563C1"/>
        </w:rPr>
        <w:fldChar w:fldCharType="end"/>
      </w:r>
    </w:p>
    <w:p w14:paraId="3F372923">
      <w:pPr>
        <w:spacing w:after="200" w:line="400" w:lineRule="atLeast"/>
      </w:pPr>
      <w:r>
        <w:fldChar w:fldCharType="begin"/>
      </w:r>
      <w:r>
        <w:instrText xml:space="preserve"> HYPERLINK "http://pdf.dfcfw.com/pdf/H3_AP201811191248176784_1.pdf" \h </w:instrText>
      </w:r>
      <w:r>
        <w:fldChar w:fldCharType="separate"/>
      </w:r>
      <w:r>
        <w:rPr>
          <w:rStyle w:val="13"/>
          <w:color w:val="0563C1"/>
        </w:rPr>
        <w:t>[53,102]. 中国轻中产人群研究报告</w:t>
      </w:r>
      <w:r>
        <w:rPr>
          <w:rStyle w:val="13"/>
          <w:color w:val="0563C1"/>
        </w:rPr>
        <w:fldChar w:fldCharType="end"/>
      </w:r>
    </w:p>
    <w:p w14:paraId="6D3F0421">
      <w:pPr>
        <w:spacing w:after="200" w:line="400" w:lineRule="atLeast"/>
      </w:pPr>
      <w:r>
        <w:fldChar w:fldCharType="begin"/>
      </w:r>
      <w:r>
        <w:instrText xml:space="preserve"> HYPERLINK "https://www.hse.ru/data/2024/04/04/2143462512/8%20%D0%93%D1%80%D0%B8%D0%B3%D0%BE%D1%80%D1%8C%D0%B5%D0%B2_%20%D0%96%D0%B0%D1%80%D0%BE%D0%BD%D0%BA%D0%B8%D0%BD%D0%B0.pdf" \h </w:instrText>
      </w:r>
      <w:r>
        <w:fldChar w:fldCharType="separate"/>
      </w:r>
      <w:r>
        <w:rPr>
          <w:rStyle w:val="13"/>
          <w:color w:val="0563C1"/>
        </w:rPr>
        <w:t>[58,110]. Экономика Китая: тридцать лет перегоняющего развития</w:t>
      </w:r>
      <w:r>
        <w:rPr>
          <w:rStyle w:val="13"/>
          <w:color w:val="0563C1"/>
        </w:rPr>
        <w:fldChar w:fldCharType="end"/>
      </w:r>
    </w:p>
    <w:p w14:paraId="5C27D441">
      <w:pPr>
        <w:spacing w:after="400" w:line="400" w:lineRule="atLeast"/>
      </w:pPr>
      <w:r>
        <w:rPr>
          <w:i/>
        </w:rPr>
        <w:t>以下来源未被直接引用</w:t>
      </w:r>
    </w:p>
    <w:p w14:paraId="584D1150">
      <w:pPr>
        <w:spacing w:after="200" w:line="400" w:lineRule="atLeast"/>
      </w:pPr>
      <w:r>
        <w:fldChar w:fldCharType="begin"/>
      </w:r>
      <w:r>
        <w:instrText xml:space="preserve"> HYPERLINK "https://m.douyin.com/share/video/7460770410959785225" \h </w:instrText>
      </w:r>
      <w:r>
        <w:fldChar w:fldCharType="separate"/>
      </w:r>
      <w:r>
        <w:rPr>
          <w:rStyle w:val="13"/>
          <w:color w:val="0563C1"/>
        </w:rPr>
        <w:t>2024年全国居民人均可支配收入情况（城镇居民人均可支配收入、农村居民人均可支配收入）#人均可支配收入</w:t>
      </w:r>
      <w:r>
        <w:rPr>
          <w:rStyle w:val="13"/>
          <w:color w:val="0563C1"/>
        </w:rPr>
        <w:fldChar w:fldCharType="end"/>
      </w:r>
    </w:p>
    <w:p w14:paraId="51828B25">
      <w:pPr>
        <w:spacing w:after="200" w:line="400" w:lineRule="atLeast"/>
      </w:pPr>
      <w:r>
        <w:fldChar w:fldCharType="begin"/>
      </w:r>
      <w:r>
        <w:instrText xml:space="preserve"> HYPERLINK "http://www.china-news-online.com/lang/japanese/4232952.html" \h </w:instrText>
      </w:r>
      <w:r>
        <w:fldChar w:fldCharType="separate"/>
      </w:r>
      <w:r>
        <w:rPr>
          <w:rStyle w:val="13"/>
          <w:color w:val="0563C1"/>
        </w:rPr>
        <w:t>2024 年の国民 1 人当たり可処分所得の中央値は 34,707 元となり、5.1% 増加します。-中国通讯社</w:t>
      </w:r>
      <w:r>
        <w:rPr>
          <w:rStyle w:val="13"/>
          <w:color w:val="0563C1"/>
        </w:rPr>
        <w:fldChar w:fldCharType="end"/>
      </w:r>
    </w:p>
    <w:p w14:paraId="37A226E2">
      <w:pPr>
        <w:spacing w:after="200" w:line="400" w:lineRule="atLeast"/>
      </w:pPr>
      <w:r>
        <w:fldChar w:fldCharType="begin"/>
      </w:r>
      <w:r>
        <w:instrText xml:space="preserve"> HYPERLINK "https://files.metaso.cn/api/public-file/preview?fileName=8688817475854548992.pdf" \h </w:instrText>
      </w:r>
      <w:r>
        <w:fldChar w:fldCharType="separate"/>
      </w:r>
      <w:r>
        <w:rPr>
          <w:rStyle w:val="13"/>
          <w:color w:val="0563C1"/>
        </w:rPr>
        <w:t>展望“十五五” 挖掘非限购周期楼市“黄金坑”</w:t>
      </w:r>
      <w:r>
        <w:rPr>
          <w:rStyle w:val="13"/>
          <w:color w:val="0563C1"/>
        </w:rPr>
        <w:fldChar w:fldCharType="end"/>
      </w:r>
    </w:p>
    <w:p w14:paraId="70B9E387">
      <w:pPr>
        <w:spacing w:after="200" w:line="400" w:lineRule="atLeast"/>
      </w:pPr>
      <w:r>
        <w:fldChar w:fldCharType="begin"/>
      </w:r>
      <w:r>
        <w:instrText xml:space="preserve"> HYPERLINK "https://m.sohu.com/a/850018640_121106875/?pvid=000115_3w_a" \h </w:instrText>
      </w:r>
      <w:r>
        <w:fldChar w:fldCharType="separate"/>
      </w:r>
      <w:r>
        <w:rPr>
          <w:rStyle w:val="13"/>
          <w:color w:val="0563C1"/>
        </w:rPr>
        <w:t>最新数据公布！2024年全国居民人均可支配收入41314元</w:t>
      </w:r>
      <w:r>
        <w:rPr>
          <w:rStyle w:val="13"/>
          <w:color w:val="0563C1"/>
        </w:rPr>
        <w:fldChar w:fldCharType="end"/>
      </w:r>
    </w:p>
    <w:p w14:paraId="415A4C9D">
      <w:pPr>
        <w:spacing w:after="200" w:line="400" w:lineRule="atLeast"/>
      </w:pPr>
      <w:r>
        <w:fldChar w:fldCharType="begin"/>
      </w:r>
      <w:r>
        <w:instrText xml:space="preserve"> HYPERLINK "https://files.metaso.cn/api/public-file/preview?fileName=8672561621294485504.pdf" \h </w:instrText>
      </w:r>
      <w:r>
        <w:fldChar w:fldCharType="separate"/>
      </w:r>
      <w:r>
        <w:rPr>
          <w:rStyle w:val="13"/>
          <w:color w:val="0563C1"/>
        </w:rPr>
        <w:t>Humanoids: A $5 Trillion Global Market</w:t>
      </w:r>
      <w:r>
        <w:rPr>
          <w:rStyle w:val="13"/>
          <w:color w:val="0563C1"/>
        </w:rPr>
        <w:fldChar w:fldCharType="end"/>
      </w:r>
    </w:p>
    <w:p w14:paraId="78FA6B9B">
      <w:pPr>
        <w:spacing w:after="200" w:line="400" w:lineRule="atLeast"/>
      </w:pPr>
      <w:r>
        <w:fldChar w:fldCharType="begin"/>
      </w:r>
      <w:r>
        <w:instrText xml:space="preserve"> HYPERLINK "http://www.chinadaily.com.cn/english/doc/2004-10/27/content_386060.htm" \h </w:instrText>
      </w:r>
      <w:r>
        <w:fldChar w:fldCharType="separate"/>
      </w:r>
      <w:r>
        <w:rPr>
          <w:rStyle w:val="13"/>
          <w:color w:val="0563C1"/>
        </w:rPr>
        <w:t>Dissecting China's 'middle class'</w:t>
      </w:r>
      <w:r>
        <w:rPr>
          <w:rStyle w:val="13"/>
          <w:color w:val="0563C1"/>
        </w:rPr>
        <w:fldChar w:fldCharType="end"/>
      </w:r>
    </w:p>
    <w:p w14:paraId="0A974D0F">
      <w:pPr>
        <w:spacing w:after="200" w:line="400" w:lineRule="atLeast"/>
      </w:pPr>
      <w:r>
        <w:fldChar w:fldCharType="begin"/>
      </w:r>
      <w:r>
        <w:instrText xml:space="preserve"> HYPERLINK "https://www.gspublishing.com/content/research/en/reports/2015/01/12/08854722-07b8-41af-8863-50d3c1811953.pdf" \h </w:instrText>
      </w:r>
      <w:r>
        <w:fldChar w:fldCharType="separate"/>
      </w:r>
      <w:r>
        <w:rPr>
          <w:rStyle w:val="13"/>
          <w:color w:val="0563C1"/>
        </w:rPr>
        <w:t>China Consumer Close-up: The who, what and why of China’s true consumer class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0E8C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C6D3A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3109</Words>
  <Characters>3383</Characters>
  <TotalTime>0</TotalTime>
  <ScaleCrop>false</ScaleCrop>
  <LinksUpToDate>false</LinksUpToDate>
  <CharactersWithSpaces>3423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2026-01-17T18:38:02Z</dcterms:created>
  <dc:creator>86188</dc:creator>
  <cp:lastModifiedBy>dyx</cp:lastModifiedBy>
  <dcterms:modified xsi:type="dcterms:W3CDTF">2026-01-17T18:38:28Z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3a42db26a0166f2c9a1ce90f65712386","ProduceID":"Metasota_docx_6968e1ac22e002cab2b2b924_1_0605869e-b1c3-4c4c-baf4-a3054d27e1b1","ReservedCode2":"3a42db26a0166f2c9a1ce90f65712386","PropagateID":"Metasota_docx_6968e1ac22e002cab2b2b924_1_0605869e-b1c3-4c4c-baf4-a3054d27e1b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0A5FC5C160D64DF18AB8E4A1A193F450_12</vt:lpwstr>
  </property>
</Properties>
</file>