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4024"/>
        <w:spacing w:before="52" w:line="320" w:lineRule="auto"/>
        <w:outlineLvl w:val="0"/>
        <w:rPr/>
      </w:pPr>
      <w:r>
        <w:rPr>
          <w:sz w:val="26"/>
          <w:szCs w:val="26"/>
          <w:spacing w:val="3"/>
        </w:rPr>
        <w:t>中国9阶层收入与财务状况及中产阶层特征研究</w:t>
      </w:r>
      <w:r>
        <w:rPr>
          <w:sz w:val="26"/>
          <w:szCs w:val="26"/>
          <w:spacing w:val="15"/>
        </w:rPr>
        <w:t xml:space="preserve"> </w:t>
      </w:r>
      <w:r>
        <w:rPr>
          <w:spacing w:val="10"/>
        </w:rPr>
        <w:t>关键点</w:t>
      </w:r>
    </w:p>
    <w:p>
      <w:pPr>
        <w:pStyle w:val="BodyText"/>
        <w:ind w:left="419" w:right="2162" w:hanging="79"/>
        <w:spacing w:before="215" w:line="321" w:lineRule="auto"/>
        <w:jc w:val="both"/>
        <w:rPr/>
      </w:pPr>
      <w:r>
        <w:rPr/>
        <w:t>.中国社会常被网络流传模型划分为9个阶</w:t>
      </w:r>
      <w:r>
        <w:rPr>
          <w:spacing w:val="-1"/>
        </w:rPr>
        <w:t>层，其中1-3级为统治上层、4-6级</w:t>
      </w:r>
      <w:r>
        <w:rPr/>
        <w:t xml:space="preserve"> </w:t>
      </w:r>
      <w:r>
        <w:rPr>
          <w:spacing w:val="1"/>
        </w:rPr>
        <w:t>为中产阶级、7-9级为底层社会；这一划分非官方学术</w:t>
      </w:r>
      <w:r>
        <w:rPr/>
        <w:t>标准，但反映了公众</w:t>
      </w:r>
      <w:r>
        <w:rPr/>
        <w:t xml:space="preserve"> </w:t>
      </w:r>
      <w:r>
        <w:rPr>
          <w:spacing w:val="-3"/>
        </w:rPr>
        <w:t>对阶层固化与财富分配的认知。</w:t>
      </w:r>
    </w:p>
    <w:p>
      <w:pPr>
        <w:pStyle w:val="BodyText"/>
        <w:ind w:left="419" w:right="2056" w:hanging="79"/>
        <w:spacing w:before="105" w:line="323" w:lineRule="auto"/>
        <w:jc w:val="both"/>
        <w:rPr/>
      </w:pPr>
      <w:r>
        <w:rPr>
          <w:spacing w:val="-1"/>
        </w:rPr>
        <w:t>.2024年全国人均可支配收入约4.13万元，城镇居民5.42万元；中等收入群体</w:t>
      </w:r>
      <w:r>
        <w:rPr/>
        <w:t xml:space="preserve"> </w:t>
      </w:r>
      <w:r>
        <w:rPr>
          <w:spacing w:val="6"/>
        </w:rPr>
        <w:t>规模超过4亿人，但广义中产(对应4-6级)规模较小，家庭净资产多在300-</w:t>
      </w:r>
      <w:r>
        <w:rPr>
          <w:spacing w:val="14"/>
        </w:rPr>
        <w:t xml:space="preserve"> </w:t>
      </w:r>
      <w:r>
        <w:rPr>
          <w:spacing w:val="11"/>
        </w:rPr>
        <w:t>600万元区间，房产占比高(约70-80%)。</w:t>
      </w:r>
    </w:p>
    <w:p>
      <w:pPr>
        <w:pStyle w:val="BodyText"/>
        <w:ind w:left="419" w:right="2049" w:hanging="79"/>
        <w:spacing w:before="94" w:line="331" w:lineRule="auto"/>
        <w:jc w:val="both"/>
        <w:rPr/>
      </w:pPr>
      <w:r>
        <w:rPr/>
        <w:t>.中产阶层核心特征包括大学教育背景、白领或专业职业、高消费能力，但面</w:t>
      </w:r>
      <w:r>
        <w:rPr>
          <w:spacing w:val="8"/>
        </w:rPr>
        <w:t xml:space="preserve"> </w:t>
      </w:r>
      <w:r>
        <w:rPr>
          <w:spacing w:val="1"/>
        </w:rPr>
        <w:t>临房贷压力与财富缩水风险；近期经济环境下，中产财力趋于谨慎，规模增</w:t>
      </w:r>
      <w:r>
        <w:rPr/>
        <w:t xml:space="preserve"> </w:t>
      </w:r>
      <w:r>
        <w:rPr>
          <w:spacing w:val="-3"/>
        </w:rPr>
        <w:t>长放缓。</w:t>
      </w:r>
    </w:p>
    <w:p>
      <w:pPr>
        <w:pStyle w:val="BodyText"/>
        <w:ind w:left="419" w:right="2045" w:hanging="79"/>
        <w:spacing w:before="83" w:line="352" w:lineRule="auto"/>
        <w:jc w:val="both"/>
        <w:rPr>
          <w:sz w:val="17"/>
          <w:szCs w:val="17"/>
        </w:rPr>
      </w:pPr>
      <w:r>
        <w:rPr>
          <w:spacing w:val="10"/>
        </w:rPr>
        <w:t>.趋势显示，中国中等收入群体持续扩大(官方目标未来超8</w:t>
      </w:r>
      <w:r>
        <w:rPr>
          <w:spacing w:val="9"/>
        </w:rPr>
        <w:t>亿),但高净值</w:t>
      </w:r>
      <w:r>
        <w:rPr/>
        <w:t xml:space="preserve">  </w:t>
      </w:r>
      <w:r>
        <w:rPr>
          <w:spacing w:val="9"/>
        </w:rPr>
        <w:t>家庭(600万+净资产)数量2024-2025年略降，反映经济不确定性对中产的</w:t>
      </w:r>
      <w:r>
        <w:rPr>
          <w:spacing w:val="1"/>
        </w:rPr>
        <w:t xml:space="preserve"> </w:t>
      </w:r>
      <w:r>
        <w:rPr>
          <w:sz w:val="17"/>
          <w:szCs w:val="17"/>
          <w:spacing w:val="-5"/>
        </w:rPr>
        <w:t>冲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5"/>
        </w:rPr>
        <w:t>击</w:t>
      </w:r>
      <w:r>
        <w:rPr>
          <w:sz w:val="17"/>
          <w:szCs w:val="17"/>
          <w:spacing w:val="-34"/>
        </w:rPr>
        <w:t xml:space="preserve"> </w:t>
      </w:r>
      <w:r>
        <w:rPr>
          <w:sz w:val="17"/>
          <w:szCs w:val="17"/>
          <w:spacing w:val="-5"/>
        </w:rPr>
        <w:t>。</w:t>
      </w:r>
    </w:p>
    <w:p>
      <w:pPr>
        <w:pStyle w:val="BodyText"/>
        <w:ind w:left="3"/>
        <w:spacing w:before="170" w:line="221" w:lineRule="auto"/>
        <w:rPr/>
      </w:pPr>
      <w:r>
        <w:rPr>
          <w:b/>
          <w:bCs/>
          <w:spacing w:val="-3"/>
        </w:rPr>
        <w:t>9阶层整体概述</w:t>
      </w:r>
    </w:p>
    <w:p>
      <w:pPr>
        <w:pStyle w:val="BodyText"/>
        <w:ind w:right="2057"/>
        <w:spacing w:before="200" w:line="317" w:lineRule="auto"/>
        <w:rPr/>
      </w:pPr>
      <w:r>
        <w:rPr>
          <w:spacing w:val="6"/>
        </w:rPr>
        <w:t>网络流传的9阶层模型将中国社会呈金字塔形分布：上层(1-3级)掌控资源与政</w:t>
      </w:r>
      <w:r>
        <w:rPr>
          <w:spacing w:val="13"/>
        </w:rPr>
        <w:t xml:space="preserve"> </w:t>
      </w:r>
      <w:r>
        <w:rPr>
          <w:spacing w:val="12"/>
        </w:rPr>
        <w:t>策，中层(4-6级)分享经济发展成果但比例有限，下层(</w:t>
      </w:r>
      <w:r>
        <w:rPr>
          <w:spacing w:val="11"/>
        </w:rPr>
        <w:t>7-9级)贡献劳动却流</w:t>
      </w:r>
      <w:r>
        <w:rPr/>
        <w:t xml:space="preserve"> </w:t>
      </w:r>
      <w:r>
        <w:rPr>
          <w:spacing w:val="2"/>
        </w:rPr>
        <w:t>动困难。结合国家统计局2024年数据，全国居民收入五等分显示高收入</w:t>
      </w:r>
      <w:r>
        <w:rPr>
          <w:spacing w:val="1"/>
        </w:rPr>
        <w:t>组年人</w:t>
      </w:r>
      <w:r>
        <w:rPr/>
        <w:t xml:space="preserve">  </w:t>
      </w:r>
      <w:r>
        <w:rPr>
          <w:spacing w:val="5"/>
        </w:rPr>
        <w:t>均近10万元，低收入组不足1万元，财富集中于少数</w:t>
      </w:r>
      <w:r>
        <w:rPr>
          <w:spacing w:val="4"/>
        </w:rPr>
        <w:t>家庭(胡润报告：600万净</w:t>
      </w:r>
      <w:r>
        <w:rPr/>
        <w:t xml:space="preserve">  </w:t>
      </w:r>
      <w:r>
        <w:rPr>
          <w:spacing w:val="4"/>
        </w:rPr>
        <w:t>资产富裕家庭仅514万户)。资产结构普遍以房产为主，金融资产占比低，消费</w:t>
      </w:r>
      <w:r>
        <w:rPr>
          <w:spacing w:val="7"/>
        </w:rPr>
        <w:t xml:space="preserve"> </w:t>
      </w:r>
      <w:r>
        <w:rPr>
          <w:spacing w:val="-5"/>
        </w:rPr>
        <w:t>能力城乡分化明显。</w:t>
      </w:r>
    </w:p>
    <w:p>
      <w:pPr>
        <w:pStyle w:val="BodyText"/>
        <w:ind w:left="3"/>
        <w:spacing w:before="215" w:line="221" w:lineRule="auto"/>
        <w:rPr/>
      </w:pPr>
      <w:r>
        <w:rPr>
          <w:b/>
          <w:bCs/>
          <w:spacing w:val="-5"/>
        </w:rPr>
        <w:t>中产阶层界定与规模</w:t>
      </w:r>
    </w:p>
    <w:p>
      <w:pPr>
        <w:pStyle w:val="BodyText"/>
        <w:ind w:right="2139"/>
        <w:spacing w:before="172" w:line="330" w:lineRule="auto"/>
        <w:rPr/>
      </w:pPr>
      <w:r>
        <w:rPr>
          <w:spacing w:val="7"/>
        </w:rPr>
        <w:t>中产主要对应4-6级，界定标准多为家庭年收入20</w:t>
      </w:r>
      <w:r>
        <w:rPr>
          <w:spacing w:val="6"/>
        </w:rPr>
        <w:t>-100万元(视城市)、净资产</w:t>
      </w:r>
      <w:r>
        <w:rPr/>
        <w:t xml:space="preserve"> </w:t>
      </w:r>
      <w:r>
        <w:rPr>
          <w:spacing w:val="5"/>
        </w:rPr>
        <w:t>300万元以上、本科教育背景。官方中等收入群体超4亿人(约占总人口</w:t>
      </w:r>
    </w:p>
    <w:p>
      <w:pPr>
        <w:pStyle w:val="BodyText"/>
        <w:ind w:right="2366"/>
        <w:spacing w:before="1" w:line="313" w:lineRule="auto"/>
        <w:rPr/>
      </w:pPr>
      <w:r>
        <w:rPr>
          <w:spacing w:val="8"/>
        </w:rPr>
        <w:t>28%),但狭义中产家庭数约3000-5000万户。财力水平：平均净资产约200-</w:t>
      </w:r>
      <w:r>
        <w:rPr>
          <w:spacing w:val="18"/>
        </w:rPr>
        <w:t xml:space="preserve"> </w:t>
      </w:r>
      <w:r>
        <w:rPr>
          <w:spacing w:val="12"/>
        </w:rPr>
        <w:t>500万元，可投资资产有限(多在100-300万元)</w:t>
      </w:r>
      <w:r>
        <w:rPr>
          <w:spacing w:val="11"/>
        </w:rPr>
        <w:t>,房产占比76%以上。</w:t>
      </w:r>
    </w:p>
    <w:p>
      <w:pPr>
        <w:pStyle w:val="BodyText"/>
        <w:ind w:left="3"/>
        <w:spacing w:before="225" w:line="223" w:lineRule="auto"/>
        <w:rPr/>
      </w:pPr>
      <w:r>
        <w:rPr>
          <w:b/>
          <w:bCs/>
          <w:spacing w:val="-1"/>
        </w:rPr>
        <w:t>中产角色与趋势</w:t>
      </w:r>
    </w:p>
    <w:p>
      <w:pPr>
        <w:pStyle w:val="BodyText"/>
        <w:ind w:right="2046"/>
        <w:spacing w:before="177" w:line="315" w:lineRule="auto"/>
        <w:jc w:val="both"/>
        <w:rPr/>
      </w:pPr>
      <w:r>
        <w:rPr>
          <w:spacing w:val="7"/>
        </w:rPr>
        <w:t>中产是中国经济消费引擎与社会稳定缓冲，但近期面临负债压力(房贷为主)和</w:t>
      </w:r>
      <w:r>
        <w:rPr>
          <w:spacing w:val="1"/>
        </w:rPr>
        <w:t xml:space="preserve"> </w:t>
      </w:r>
      <w:r>
        <w:rPr>
          <w:spacing w:val="7"/>
        </w:rPr>
        <w:t>财富缩水(胡润数据高净值家庭下降)。未来趋势：随着</w:t>
      </w:r>
      <w:r>
        <w:rPr>
          <w:spacing w:val="6"/>
        </w:rPr>
        <w:t>共同富裕推进，中等收</w:t>
      </w:r>
      <w:r>
        <w:rPr/>
        <w:t xml:space="preserve"> </w:t>
      </w:r>
      <w:r>
        <w:rPr/>
        <w:t>入群体预计扩大至8亿以上，但需警惕经济波动导致的中产焦虑。</w:t>
      </w:r>
    </w:p>
    <w:p>
      <w:pPr>
        <w:spacing w:line="465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6372</wp:posOffset>
            </wp:positionH>
            <wp:positionV relativeFrom="paragraph">
              <wp:posOffset>68752</wp:posOffset>
            </wp:positionV>
            <wp:extent cx="469896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896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"/>
        <w:spacing w:before="85" w:line="221" w:lineRule="auto"/>
        <w:rPr>
          <w:sz w:val="26"/>
          <w:szCs w:val="26"/>
        </w:rPr>
      </w:pPr>
      <w:r>
        <w:rPr>
          <w:sz w:val="26"/>
          <w:szCs w:val="26"/>
          <w:b/>
          <w:bCs/>
        </w:rPr>
        <w:t>中国社会9阶层收入、财务状况及中产阶层深度分析</w:t>
      </w:r>
    </w:p>
    <w:p>
      <w:pPr>
        <w:spacing w:line="221" w:lineRule="auto"/>
        <w:sectPr>
          <w:pgSz w:w="12240" w:h="15840"/>
          <w:pgMar w:top="1075" w:right="1836" w:bottom="0" w:left="970" w:header="0" w:footer="0" w:gutter="0"/>
        </w:sectPr>
        <w:rPr>
          <w:sz w:val="26"/>
          <w:szCs w:val="26"/>
        </w:rPr>
      </w:pPr>
    </w:p>
    <w:p>
      <w:pPr>
        <w:pStyle w:val="BodyText"/>
        <w:ind w:left="43"/>
        <w:spacing w:before="42" w:line="221" w:lineRule="auto"/>
        <w:rPr/>
      </w:pPr>
      <w:r>
        <w:rPr>
          <w:b/>
          <w:bCs/>
        </w:rPr>
        <w:t>9阶层划分模型来源与框架</w:t>
      </w:r>
    </w:p>
    <w:p>
      <w:pPr>
        <w:pStyle w:val="BodyText"/>
        <w:ind w:left="40"/>
        <w:spacing w:before="202" w:line="213" w:lineRule="auto"/>
        <w:rPr/>
      </w:pPr>
      <w:r>
        <w:rPr>
          <w:spacing w:val="7"/>
        </w:rPr>
        <w:t>中国社会阶层研究中，官方学术(如中国社科院)多采用基于职业的10阶层划</w:t>
      </w:r>
    </w:p>
    <w:p>
      <w:pPr>
        <w:pStyle w:val="BodyText"/>
        <w:ind w:left="40" w:right="2045"/>
        <w:spacing w:before="125" w:line="311" w:lineRule="auto"/>
        <w:rPr/>
      </w:pPr>
      <w:r>
        <w:rPr>
          <w:spacing w:val="10"/>
        </w:rPr>
        <w:t>分(如国家管理者、私营企业主、专业技术人员等),强调流动性和中间阶层扩</w:t>
      </w:r>
      <w:r>
        <w:rPr>
          <w:spacing w:val="2"/>
        </w:rPr>
        <w:t xml:space="preserve"> </w:t>
      </w:r>
      <w:r>
        <w:rPr>
          <w:spacing w:val="-6"/>
        </w:rPr>
        <w:t>大。但网络流传的“9阶层模型”更直观反映公众认知，常</w:t>
      </w:r>
      <w:r>
        <w:rPr>
          <w:spacing w:val="-7"/>
        </w:rPr>
        <w:t>見于社交媒体与民间讨</w:t>
      </w:r>
      <w:r>
        <w:rPr/>
        <w:t xml:space="preserve">  </w:t>
      </w:r>
      <w:r>
        <w:rPr>
          <w:spacing w:val="1"/>
        </w:rPr>
        <w:t>论。该模型将社会分为9级，金字塔结构明显：上层少数、中产缓冲、底层庞</w:t>
      </w:r>
    </w:p>
    <w:p>
      <w:pPr>
        <w:pStyle w:val="BodyText"/>
        <w:ind w:left="40" w:right="2267"/>
        <w:spacing w:before="10" w:line="327" w:lineRule="auto"/>
        <w:rPr/>
      </w:pPr>
      <w:r>
        <w:rPr>
          <w:spacing w:val="1"/>
        </w:rPr>
        <w:t>大。模型核心观点是阶层固化，上层利益世袭，中产努力</w:t>
      </w:r>
      <w:r>
        <w:rPr/>
        <w:t>有限，下层难向上流</w:t>
      </w:r>
      <w:r>
        <w:rPr/>
        <w:t xml:space="preserve"> </w:t>
      </w:r>
      <w:r>
        <w:rPr>
          <w:spacing w:val="-4"/>
        </w:rPr>
        <w:t>动。</w:t>
      </w:r>
    </w:p>
    <w:p>
      <w:pPr>
        <w:pStyle w:val="BodyText"/>
        <w:ind w:left="40" w:right="2061"/>
        <w:spacing w:before="116" w:line="352" w:lineRule="auto"/>
        <w:rPr/>
      </w:pPr>
      <w:r>
        <w:rPr>
          <w:spacing w:val="4"/>
        </w:rPr>
        <w:t>详细划分如下表(基于网络流传标准总结，无官</w:t>
      </w:r>
      <w:r>
        <w:rPr>
          <w:spacing w:val="3"/>
        </w:rPr>
        <w:t>方收入数据，故结合国家统计局</w:t>
      </w:r>
      <w:r>
        <w:rPr/>
        <w:t xml:space="preserve"> </w:t>
      </w:r>
      <w:r>
        <w:rPr>
          <w:spacing w:val="13"/>
        </w:rPr>
        <w:t>与胡润报告估算):</w:t>
      </w:r>
    </w:p>
    <w:p>
      <w:pPr>
        <w:spacing w:line="76" w:lineRule="exact"/>
        <w:rPr/>
      </w:pPr>
      <w:r/>
    </w:p>
    <w:tbl>
      <w:tblPr>
        <w:tblStyle w:val="TableNormal"/>
        <w:tblW w:w="726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2"/>
        <w:gridCol w:w="1353"/>
        <w:gridCol w:w="913"/>
        <w:gridCol w:w="1564"/>
        <w:gridCol w:w="1431"/>
        <w:gridCol w:w="1116"/>
      </w:tblGrid>
      <w:tr>
        <w:trPr>
          <w:trHeight w:val="1127" w:hRule="atLeast"/>
        </w:trPr>
        <w:tc>
          <w:tcPr>
            <w:tcW w:w="892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 w:right="151"/>
              <w:spacing w:before="72" w:line="314" w:lineRule="auto"/>
              <w:rPr/>
            </w:pPr>
            <w:r>
              <w:rPr>
                <w:b/>
                <w:bCs/>
                <w:spacing w:val="3"/>
              </w:rPr>
              <w:t>阶层级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别</w:t>
            </w:r>
          </w:p>
        </w:tc>
        <w:tc>
          <w:tcPr>
            <w:tcW w:w="1353" w:type="dxa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71" w:line="219" w:lineRule="auto"/>
              <w:rPr/>
            </w:pPr>
            <w:r>
              <w:rPr>
                <w:b/>
                <w:bCs/>
                <w:spacing w:val="-4"/>
              </w:rPr>
              <w:t>代表人群</w:t>
            </w:r>
          </w:p>
        </w:tc>
        <w:tc>
          <w:tcPr>
            <w:tcW w:w="913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" w:right="126" w:hanging="20"/>
              <w:spacing w:before="72" w:line="304" w:lineRule="auto"/>
              <w:rPr/>
            </w:pPr>
            <w:r>
              <w:rPr>
                <w:b/>
                <w:bCs/>
                <w:spacing w:val="-7"/>
              </w:rPr>
              <w:t>核心特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征</w:t>
            </w:r>
          </w:p>
        </w:tc>
        <w:tc>
          <w:tcPr>
            <w:tcW w:w="1564" w:type="dxa"/>
            <w:vAlign w:val="top"/>
          </w:tcPr>
          <w:p>
            <w:pPr>
              <w:pStyle w:val="TableText"/>
              <w:ind w:left="164" w:right="46" w:hanging="109"/>
              <w:spacing w:line="295" w:lineRule="auto"/>
              <w:jc w:val="right"/>
              <w:rPr/>
            </w:pPr>
            <w:r>
              <w:rPr>
                <w:b/>
                <w:bCs/>
                <w:spacing w:val="15"/>
              </w:rPr>
              <w:t>估计收入水平</w:t>
            </w:r>
            <w:r>
              <w:rPr/>
              <w:t xml:space="preserve"> </w:t>
            </w:r>
            <w:r>
              <w:rPr>
                <w:b/>
                <w:bCs/>
                <w:spacing w:val="15"/>
              </w:rPr>
              <w:t>(年家庭可支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21"/>
              </w:rPr>
              <w:t>配，人民币)</w:t>
            </w:r>
          </w:p>
        </w:tc>
        <w:tc>
          <w:tcPr>
            <w:tcW w:w="1431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 w:right="118"/>
              <w:spacing w:before="72" w:line="296" w:lineRule="auto"/>
              <w:rPr/>
            </w:pPr>
            <w:r>
              <w:rPr>
                <w:b/>
                <w:bCs/>
              </w:rPr>
              <w:t>资产结构与</w:t>
            </w:r>
            <w:r>
              <w:rPr/>
              <w:t xml:space="preserve"> </w:t>
            </w:r>
            <w:r>
              <w:rPr>
                <w:b/>
                <w:bCs/>
                <w:spacing w:val="18"/>
              </w:rPr>
              <w:t>财务健康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149" w:right="518" w:hanging="29"/>
              <w:spacing w:before="1" w:line="294" w:lineRule="auto"/>
              <w:jc w:val="both"/>
              <w:rPr/>
            </w:pPr>
            <w:r>
              <w:rPr>
                <w:b/>
                <w:bCs/>
                <w:spacing w:val="9"/>
              </w:rPr>
              <w:t>规模</w:t>
            </w:r>
            <w:r>
              <w:rPr/>
              <w:t xml:space="preserve"> </w:t>
            </w:r>
            <w:r>
              <w:rPr>
                <w:b/>
                <w:bCs/>
                <w:spacing w:val="1"/>
              </w:rPr>
              <w:t>占比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估计</w:t>
            </w:r>
          </w:p>
        </w:tc>
      </w:tr>
      <w:tr>
        <w:trPr>
          <w:trHeight w:val="831" w:hRule="atLeast"/>
        </w:trPr>
        <w:tc>
          <w:tcPr>
            <w:tcW w:w="89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0"/>
              <w:spacing w:before="300" w:line="221" w:lineRule="auto"/>
              <w:rPr/>
            </w:pPr>
            <w:r>
              <w:rPr>
                <w:spacing w:val="6"/>
              </w:rPr>
              <w:t>1级</w:t>
            </w:r>
          </w:p>
        </w:tc>
        <w:tc>
          <w:tcPr>
            <w:tcW w:w="135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7"/>
              <w:spacing w:before="218" w:line="253" w:lineRule="auto"/>
              <w:rPr/>
            </w:pPr>
            <w:r>
              <w:rPr>
                <w:spacing w:val="19"/>
              </w:rPr>
              <w:t>在任高层、</w:t>
            </w:r>
            <w:r>
              <w:rPr/>
              <w:t xml:space="preserve"> </w:t>
            </w:r>
            <w:r>
              <w:rPr>
                <w:spacing w:val="-11"/>
              </w:rPr>
              <w:t>退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休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常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>委</w:t>
            </w:r>
          </w:p>
        </w:tc>
        <w:tc>
          <w:tcPr>
            <w:tcW w:w="91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5" w:right="206"/>
              <w:spacing w:before="218" w:line="253" w:lineRule="auto"/>
              <w:rPr/>
            </w:pPr>
            <w:r>
              <w:rPr>
                <w:spacing w:val="-3"/>
              </w:rPr>
              <w:t>全国掌</w:t>
            </w:r>
            <w:r>
              <w:rPr/>
              <w:t xml:space="preserve"> </w:t>
            </w:r>
            <w:r>
              <w:rPr>
                <w:spacing w:val="17"/>
              </w:rPr>
              <w:t>控力</w:t>
            </w:r>
          </w:p>
        </w:tc>
        <w:tc>
          <w:tcPr>
            <w:tcW w:w="156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9" w:right="143" w:hanging="48"/>
              <w:spacing w:before="218" w:line="253" w:lineRule="auto"/>
              <w:rPr/>
            </w:pPr>
            <w:r>
              <w:rPr>
                <w:spacing w:val="3"/>
              </w:rPr>
              <w:t>极高(千万以</w:t>
            </w:r>
            <w:r>
              <w:rPr/>
              <w:t xml:space="preserve"> </w:t>
            </w:r>
            <w:r>
              <w:rPr>
                <w:spacing w:val="4"/>
              </w:rPr>
              <w:t>上，非公开)</w:t>
            </w:r>
          </w:p>
        </w:tc>
        <w:tc>
          <w:tcPr>
            <w:tcW w:w="143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7" w:right="140"/>
              <w:spacing w:before="177" w:line="270" w:lineRule="auto"/>
              <w:rPr/>
            </w:pPr>
            <w:r>
              <w:rPr/>
              <w:t>巨额隐性资</w:t>
            </w:r>
            <w:r>
              <w:rPr>
                <w:spacing w:val="1"/>
              </w:rPr>
              <w:t xml:space="preserve"> </w:t>
            </w:r>
            <w:r>
              <w:rPr/>
              <w:t>产</w:t>
            </w:r>
          </w:p>
        </w:tc>
        <w:tc>
          <w:tcPr>
            <w:tcW w:w="1116" w:type="dxa"/>
            <w:vAlign w:val="top"/>
            <w:tcBorders>
              <w:bottom w:val="single" w:color="00000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/>
              <w:spacing w:before="72" w:line="239" w:lineRule="auto"/>
              <w:rPr/>
            </w:pPr>
            <w:r>
              <w:rPr>
                <w:spacing w:val="-2"/>
              </w:rPr>
              <w:t>&lt;0.01%</w:t>
            </w:r>
          </w:p>
        </w:tc>
      </w:tr>
      <w:tr>
        <w:trPr>
          <w:trHeight w:val="1323" w:hRule="atLeast"/>
        </w:trPr>
        <w:tc>
          <w:tcPr>
            <w:tcW w:w="8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71" w:line="221" w:lineRule="auto"/>
              <w:rPr/>
            </w:pPr>
            <w:r>
              <w:rPr>
                <w:spacing w:val="6"/>
              </w:rPr>
              <w:t>2级</w:t>
            </w:r>
          </w:p>
        </w:tc>
        <w:tc>
          <w:tcPr>
            <w:tcW w:w="13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72" w:line="219" w:lineRule="auto"/>
              <w:rPr/>
            </w:pPr>
            <w:r>
              <w:rPr>
                <w:spacing w:val="5"/>
              </w:rPr>
              <w:t>实权省部</w:t>
            </w:r>
          </w:p>
          <w:p>
            <w:pPr>
              <w:pStyle w:val="TableText"/>
              <w:ind w:left="148" w:right="53"/>
              <w:spacing w:before="109" w:line="254" w:lineRule="auto"/>
              <w:rPr/>
            </w:pPr>
            <w:r>
              <w:rPr>
                <w:spacing w:val="10"/>
              </w:rPr>
              <w:t>级、大权贵</w:t>
            </w:r>
            <w:r>
              <w:rPr/>
              <w:t xml:space="preserve"> </w:t>
            </w:r>
            <w:r>
              <w:rPr>
                <w:spacing w:val="7"/>
              </w:rPr>
              <w:t>富商</w:t>
            </w:r>
          </w:p>
        </w:tc>
        <w:tc>
          <w:tcPr>
            <w:tcW w:w="9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" w:right="205"/>
              <w:spacing w:before="72" w:line="303" w:lineRule="auto"/>
              <w:rPr/>
            </w:pPr>
            <w:r>
              <w:rPr>
                <w:spacing w:val="-3"/>
              </w:rPr>
              <w:t>政策影</w:t>
            </w:r>
            <w:r>
              <w:rPr/>
              <w:t xml:space="preserve"> </w:t>
            </w:r>
            <w:r>
              <w:rPr>
                <w:spacing w:val="-10"/>
              </w:rPr>
              <w:t>响</w:t>
            </w:r>
            <w:r>
              <w:rPr>
                <w:spacing w:val="20"/>
              </w:rPr>
              <w:t xml:space="preserve"> </w:t>
            </w:r>
            <w:r>
              <w:rPr>
                <w:spacing w:val="-10"/>
              </w:rPr>
              <w:t>力</w:t>
            </w:r>
          </w:p>
        </w:tc>
        <w:tc>
          <w:tcPr>
            <w:tcW w:w="15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71" w:line="220" w:lineRule="auto"/>
              <w:rPr/>
            </w:pPr>
            <w:r>
              <w:rPr>
                <w:spacing w:val="4"/>
              </w:rPr>
              <w:t>千万级</w:t>
            </w:r>
          </w:p>
        </w:tc>
        <w:tc>
          <w:tcPr>
            <w:tcW w:w="2547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 w:right="1119"/>
              <w:spacing w:before="72" w:line="295" w:lineRule="auto"/>
              <w:rPr/>
            </w:pPr>
            <w:r>
              <w:pict>
                <v:shape id="_x0000_s2" style="position:absolute;margin-left:72.4006pt;margin-top:14.1725pt;mso-position-vertical-relative:text;mso-position-horizontal-relative:text;width:29.1pt;height:16.25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39" w:lineRule="auto"/>
                          <w:rPr/>
                        </w:pPr>
                        <w:r>
                          <w:rPr/>
                          <w:t>~0.1%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5"/>
              </w:rPr>
              <w:t>多元投资、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海 外 资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产</w:t>
            </w:r>
          </w:p>
        </w:tc>
      </w:tr>
      <w:tr>
        <w:trPr>
          <w:trHeight w:val="1319" w:hRule="atLeast"/>
        </w:trPr>
        <w:tc>
          <w:tcPr>
            <w:tcW w:w="8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72" w:line="221" w:lineRule="auto"/>
              <w:rPr/>
            </w:pPr>
            <w:r>
              <w:rPr>
                <w:spacing w:val="6"/>
              </w:rPr>
              <w:t>3级</w:t>
            </w:r>
          </w:p>
        </w:tc>
        <w:tc>
          <w:tcPr>
            <w:tcW w:w="13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7" w:right="127"/>
              <w:spacing w:before="72" w:line="273" w:lineRule="auto"/>
              <w:rPr/>
            </w:pPr>
            <w:r>
              <w:rPr>
                <w:spacing w:val="5"/>
              </w:rPr>
              <w:t>一般省部</w:t>
            </w:r>
            <w:r>
              <w:rPr/>
              <w:t xml:space="preserve">  </w:t>
            </w:r>
            <w:r>
              <w:rPr>
                <w:spacing w:val="-3"/>
              </w:rPr>
              <w:t>级、大企业</w:t>
            </w:r>
            <w:r>
              <w:rPr>
                <w:spacing w:val="1"/>
              </w:rPr>
              <w:t xml:space="preserve"> </w:t>
            </w:r>
            <w:r>
              <w:rPr/>
              <w:t>主</w:t>
            </w:r>
          </w:p>
        </w:tc>
        <w:tc>
          <w:tcPr>
            <w:tcW w:w="9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7" w:right="109" w:firstLine="37"/>
              <w:spacing w:before="72" w:line="273" w:lineRule="auto"/>
              <w:jc w:val="both"/>
              <w:rPr/>
            </w:pPr>
            <w:r>
              <w:rPr>
                <w:spacing w:val="22"/>
              </w:rPr>
              <w:t>区域/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行业影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响</w:t>
            </w:r>
            <w:r>
              <w:rPr/>
              <w:t xml:space="preserve">  </w:t>
            </w:r>
            <w:r>
              <w:rPr>
                <w:spacing w:val="2"/>
              </w:rPr>
              <w:t>力</w:t>
            </w:r>
          </w:p>
        </w:tc>
        <w:tc>
          <w:tcPr>
            <w:tcW w:w="15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71" w:line="220" w:lineRule="auto"/>
              <w:rPr/>
            </w:pPr>
            <w:r>
              <w:rPr>
                <w:spacing w:val="1"/>
              </w:rPr>
              <w:t>500-2000万</w:t>
            </w:r>
          </w:p>
        </w:tc>
        <w:tc>
          <w:tcPr>
            <w:tcW w:w="2547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 w:right="1260"/>
              <w:spacing w:before="72" w:line="312" w:lineRule="auto"/>
              <w:rPr/>
            </w:pPr>
            <w:r>
              <w:pict>
                <v:shape id="_x0000_s4" style="position:absolute;margin-left:78.3296pt;margin-top:15.3768pt;mso-position-vertical-relative:text;mso-position-horizontal-relative:text;width:18.1pt;height:16.3pt;z-index:251663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/>
                          <w:rPr/>
                        </w:pPr>
                        <w:r>
                          <w:rPr>
                            <w:spacing w:val="-2"/>
                          </w:rPr>
                          <w:t>~1%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spacing w:val="-6"/>
              </w:rPr>
              <w:t>高净值、企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5"/>
              </w:rPr>
              <w:t>业股权</w:t>
            </w:r>
          </w:p>
        </w:tc>
      </w:tr>
      <w:tr>
        <w:trPr>
          <w:trHeight w:val="1329" w:hRule="atLeast"/>
        </w:trPr>
        <w:tc>
          <w:tcPr>
            <w:tcW w:w="8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 w:right="132"/>
              <w:spacing w:before="72" w:line="279" w:lineRule="auto"/>
              <w:rPr/>
            </w:pPr>
            <w:r>
              <w:rPr>
                <w:spacing w:val="12"/>
              </w:rPr>
              <w:t>4级(高</w:t>
            </w:r>
            <w:r>
              <w:rPr/>
              <w:t xml:space="preserve"> </w:t>
            </w:r>
            <w:r>
              <w:rPr>
                <w:spacing w:val="11"/>
              </w:rPr>
              <w:t>端中</w:t>
            </w:r>
          </w:p>
          <w:p>
            <w:pPr>
              <w:pStyle w:val="TableText"/>
              <w:ind w:left="50"/>
              <w:spacing w:before="25" w:line="219" w:lineRule="auto"/>
              <w:rPr/>
            </w:pPr>
            <w:r>
              <w:rPr>
                <w:spacing w:val="-5"/>
              </w:rPr>
              <w:t>产</w:t>
            </w:r>
            <w:r>
              <w:rPr>
                <w:spacing w:val="-44"/>
              </w:rPr>
              <w:t xml:space="preserve"> </w:t>
            </w:r>
            <w:r>
              <w:rPr>
                <w:spacing w:val="-5"/>
              </w:rPr>
              <w:t>)</w:t>
            </w:r>
          </w:p>
        </w:tc>
        <w:tc>
          <w:tcPr>
            <w:tcW w:w="13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 w:firstLine="22"/>
              <w:spacing w:before="71" w:line="272" w:lineRule="auto"/>
              <w:jc w:val="both"/>
              <w:rPr/>
            </w:pPr>
            <w:r>
              <w:rPr>
                <w:spacing w:val="-1"/>
              </w:rPr>
              <w:t>地厅级、院</w:t>
            </w:r>
            <w:r>
              <w:rPr/>
              <w:t xml:space="preserve"> </w:t>
            </w:r>
            <w:r>
              <w:rPr>
                <w:spacing w:val="20"/>
              </w:rPr>
              <w:t>士、高管、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明星</w:t>
            </w:r>
          </w:p>
        </w:tc>
        <w:tc>
          <w:tcPr>
            <w:tcW w:w="9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55"/>
              <w:spacing w:before="72" w:line="280" w:lineRule="auto"/>
              <w:rPr/>
            </w:pPr>
            <w:r>
              <w:rPr>
                <w:spacing w:val="7"/>
              </w:rPr>
              <w:t>与上层</w:t>
            </w:r>
            <w:r>
              <w:rPr/>
              <w:t xml:space="preserve"> </w:t>
            </w:r>
            <w:r>
              <w:rPr>
                <w:spacing w:val="4"/>
              </w:rPr>
              <w:t>关联</w:t>
            </w:r>
          </w:p>
        </w:tc>
        <w:tc>
          <w:tcPr>
            <w:tcW w:w="15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71" w:line="220" w:lineRule="auto"/>
              <w:rPr/>
            </w:pPr>
            <w:r>
              <w:rPr>
                <w:spacing w:val="1"/>
              </w:rPr>
              <w:t>100-500万</w:t>
            </w:r>
          </w:p>
        </w:tc>
        <w:tc>
          <w:tcPr>
            <w:tcW w:w="2547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 w:right="1410"/>
              <w:spacing w:before="71" w:line="278" w:lineRule="auto"/>
              <w:jc w:val="both"/>
              <w:rPr/>
            </w:pPr>
            <w:r>
              <w:pict>
                <v:shape id="_x0000_s6" style="position:absolute;margin-left:72.4006pt;margin-top:15.6896pt;mso-position-vertical-relative:text;mso-position-horizontal-relative:text;width:29.1pt;height:16.3pt;z-index:25166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/>
                          <w:rPr/>
                        </w:pPr>
                        <w:r>
                          <w:rPr>
                            <w:spacing w:val="-2"/>
                          </w:rPr>
                          <w:t>~2-3%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净资产1000</w:t>
            </w:r>
            <w:r>
              <w:rPr>
                <w:spacing w:val="1"/>
              </w:rPr>
              <w:t xml:space="preserve"> </w:t>
            </w:r>
            <w:r>
              <w:rPr>
                <w:spacing w:val="32"/>
              </w:rPr>
              <w:t>万+,房产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+ 股 权</w:t>
            </w:r>
          </w:p>
        </w:tc>
      </w:tr>
      <w:tr>
        <w:trPr>
          <w:trHeight w:val="1309" w:hRule="atLeast"/>
        </w:trPr>
        <w:tc>
          <w:tcPr>
            <w:tcW w:w="8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 w:right="170"/>
              <w:spacing w:before="72" w:line="287" w:lineRule="auto"/>
              <w:rPr/>
            </w:pPr>
            <w:r>
              <w:rPr>
                <w:spacing w:val="2"/>
              </w:rPr>
              <w:t>5级(中 </w:t>
            </w:r>
            <w:r>
              <w:rPr>
                <w:spacing w:val="16"/>
              </w:rPr>
              <w:t>端中</w:t>
            </w:r>
          </w:p>
          <w:p>
            <w:pPr>
              <w:pStyle w:val="TableText"/>
              <w:ind w:left="50"/>
              <w:spacing w:before="26" w:line="219" w:lineRule="auto"/>
              <w:rPr/>
            </w:pPr>
            <w:r>
              <w:rPr>
                <w:spacing w:val="-5"/>
              </w:rPr>
              <w:t>产</w:t>
            </w:r>
            <w:r>
              <w:rPr>
                <w:spacing w:val="76"/>
              </w:rPr>
              <w:t xml:space="preserve"> </w:t>
            </w:r>
            <w:r>
              <w:rPr>
                <w:spacing w:val="-5"/>
              </w:rPr>
              <w:t>)</w:t>
            </w:r>
          </w:p>
        </w:tc>
        <w:tc>
          <w:tcPr>
            <w:tcW w:w="13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 w:firstLine="97"/>
              <w:spacing w:before="72" w:line="272" w:lineRule="auto"/>
              <w:jc w:val="both"/>
              <w:rPr/>
            </w:pPr>
            <w:r>
              <w:rPr>
                <w:spacing w:val="34"/>
              </w:rPr>
              <w:t>中小企业</w:t>
            </w:r>
            <w:r>
              <w:rPr/>
              <w:t xml:space="preserve">  </w:t>
            </w:r>
            <w:r>
              <w:rPr>
                <w:spacing w:val="20"/>
              </w:rPr>
              <w:t>主、教授、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副处级</w:t>
            </w:r>
          </w:p>
        </w:tc>
        <w:tc>
          <w:tcPr>
            <w:tcW w:w="9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5" w:right="67"/>
              <w:spacing w:before="305" w:line="339" w:lineRule="auto"/>
              <w:rPr/>
            </w:pPr>
            <w:r>
              <w:rPr>
                <w:spacing w:val="6"/>
              </w:rPr>
              <w:t>独立事</w:t>
            </w:r>
            <w:r>
              <w:rPr>
                <w:spacing w:val="1"/>
              </w:rPr>
              <w:t xml:space="preserve"> </w:t>
            </w:r>
            <w:r>
              <w:rPr/>
              <w:t>业</w:t>
            </w:r>
          </w:p>
        </w:tc>
        <w:tc>
          <w:tcPr>
            <w:tcW w:w="15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71" w:line="220" w:lineRule="auto"/>
              <w:rPr/>
            </w:pPr>
            <w:r>
              <w:rPr>
                <w:spacing w:val="1"/>
              </w:rPr>
              <w:t>50-200万</w:t>
            </w:r>
          </w:p>
        </w:tc>
        <w:tc>
          <w:tcPr>
            <w:tcW w:w="2547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 w:right="1118"/>
              <w:spacing w:before="72" w:line="275" w:lineRule="auto"/>
              <w:rPr/>
            </w:pPr>
            <w:r>
              <w:pict>
                <v:shape id="_x0000_s8" style="position:absolute;margin-left:78.0598pt;margin-top:15.6676pt;mso-position-vertical-relative:text;mso-position-horizontal-relative:text;width:29.1pt;height:16.3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/>
                          <w:rPr/>
                        </w:pPr>
                        <w:r>
                          <w:rPr>
                            <w:b/>
                            <w:bCs/>
                            <w:spacing w:val="-5"/>
                          </w:rPr>
                          <w:t>~5-8%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净资产500-</w:t>
            </w:r>
            <w:r>
              <w:rPr/>
              <w:t xml:space="preserve">  </w:t>
            </w:r>
            <w:r>
              <w:rPr>
                <w:spacing w:val="18"/>
              </w:rPr>
              <w:t>1000万，多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套房产</w:t>
            </w:r>
          </w:p>
        </w:tc>
      </w:tr>
      <w:tr>
        <w:trPr>
          <w:trHeight w:val="1339" w:hRule="atLeast"/>
        </w:trPr>
        <w:tc>
          <w:tcPr>
            <w:tcW w:w="8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 w:right="127"/>
              <w:spacing w:before="71" w:line="293" w:lineRule="auto"/>
              <w:rPr/>
            </w:pPr>
            <w:r>
              <w:rPr>
                <w:spacing w:val="13"/>
              </w:rPr>
              <w:t>6级(低</w:t>
            </w:r>
            <w:r>
              <w:rPr>
                <w:spacing w:val="1"/>
              </w:rPr>
              <w:t xml:space="preserve"> </w:t>
            </w:r>
            <w:r>
              <w:rPr>
                <w:spacing w:val="16"/>
              </w:rPr>
              <w:t>端中</w:t>
            </w:r>
          </w:p>
          <w:p>
            <w:pPr>
              <w:pStyle w:val="TableText"/>
              <w:ind w:left="50"/>
              <w:spacing w:line="219" w:lineRule="auto"/>
              <w:rPr/>
            </w:pPr>
            <w:r>
              <w:rPr>
                <w:spacing w:val="-5"/>
              </w:rPr>
              <w:t>产</w:t>
            </w:r>
            <w:r>
              <w:rPr>
                <w:spacing w:val="-44"/>
              </w:rPr>
              <w:t xml:space="preserve"> </w:t>
            </w:r>
            <w:r>
              <w:rPr>
                <w:spacing w:val="-5"/>
              </w:rPr>
              <w:t>)</w:t>
            </w:r>
          </w:p>
        </w:tc>
        <w:tc>
          <w:tcPr>
            <w:tcW w:w="13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 w:right="15" w:firstLine="90"/>
              <w:spacing w:before="71" w:line="278" w:lineRule="auto"/>
              <w:jc w:val="both"/>
              <w:rPr/>
            </w:pPr>
            <w:r>
              <w:rPr>
                <w:spacing w:val="37"/>
              </w:rPr>
              <w:t>普通公务</w:t>
            </w:r>
            <w:r>
              <w:rPr>
                <w:spacing w:val="1"/>
              </w:rPr>
              <w:t xml:space="preserve"> </w:t>
            </w:r>
            <w:r>
              <w:rPr>
                <w:spacing w:val="21"/>
              </w:rPr>
              <w:t>员、白领、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青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年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教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师</w:t>
            </w:r>
          </w:p>
        </w:tc>
        <w:tc>
          <w:tcPr>
            <w:tcW w:w="9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 w:right="66"/>
              <w:spacing w:before="71" w:line="308" w:lineRule="auto"/>
              <w:rPr/>
            </w:pPr>
            <w:r>
              <w:rPr>
                <w:spacing w:val="10"/>
              </w:rPr>
              <w:t>有上升</w:t>
            </w:r>
            <w:r>
              <w:rPr/>
              <w:t xml:space="preserve"> </w:t>
            </w:r>
            <w:r>
              <w:rPr>
                <w:spacing w:val="10"/>
              </w:rPr>
              <w:t>空间</w:t>
            </w:r>
          </w:p>
        </w:tc>
        <w:tc>
          <w:tcPr>
            <w:tcW w:w="15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71" w:line="220" w:lineRule="auto"/>
              <w:rPr/>
            </w:pPr>
            <w:r>
              <w:rPr>
                <w:spacing w:val="2"/>
              </w:rPr>
              <w:t>20-50万</w:t>
            </w:r>
          </w:p>
        </w:tc>
        <w:tc>
          <w:tcPr>
            <w:tcW w:w="2547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 w:right="1253"/>
              <w:spacing w:before="72" w:line="280" w:lineRule="auto"/>
              <w:jc w:val="both"/>
              <w:rPr/>
            </w:pPr>
            <w:r>
              <w:pict>
                <v:shape id="_x0000_s10" style="position:absolute;margin-left:78.0598pt;margin-top:15.6622pt;mso-position-vertical-relative:text;mso-position-horizontal-relative:text;width:40.1pt;height:16.3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/>
                          <w:rPr/>
                        </w:pPr>
                        <w:r>
                          <w:rPr>
                            <w:b/>
                            <w:bCs/>
                            <w:spacing w:val="-4"/>
                          </w:rPr>
                          <w:t>~10-15%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"/>
              </w:rPr>
              <w:t>净资产300-</w:t>
            </w:r>
            <w:r>
              <w:rPr/>
              <w:t xml:space="preserve"> </w:t>
            </w:r>
            <w:r>
              <w:rPr>
                <w:spacing w:val="5"/>
              </w:rPr>
              <w:t>600万，房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贷重</w:t>
            </w:r>
          </w:p>
        </w:tc>
      </w:tr>
      <w:tr>
        <w:trPr>
          <w:trHeight w:val="1343" w:hRule="atLeast"/>
        </w:trPr>
        <w:tc>
          <w:tcPr>
            <w:tcW w:w="8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71" w:line="221" w:lineRule="auto"/>
              <w:rPr/>
            </w:pPr>
            <w:r>
              <w:rPr>
                <w:spacing w:val="6"/>
              </w:rPr>
              <w:t>7级</w:t>
            </w:r>
          </w:p>
        </w:tc>
        <w:tc>
          <w:tcPr>
            <w:tcW w:w="13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before="298" w:line="219" w:lineRule="auto"/>
              <w:jc w:val="right"/>
              <w:rPr/>
            </w:pPr>
            <w:r>
              <w:rPr>
                <w:spacing w:val="20"/>
              </w:rPr>
              <w:t>普通工人、</w:t>
            </w:r>
          </w:p>
          <w:p>
            <w:pPr>
              <w:pStyle w:val="TableText"/>
              <w:ind w:left="148"/>
              <w:spacing w:before="99" w:line="283" w:lineRule="auto"/>
              <w:rPr/>
            </w:pPr>
            <w:r>
              <w:rPr>
                <w:spacing w:val="20"/>
              </w:rPr>
              <w:t>小个体户、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富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裕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农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民</w:t>
            </w:r>
          </w:p>
        </w:tc>
        <w:tc>
          <w:tcPr>
            <w:tcW w:w="9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5" w:right="79"/>
              <w:spacing w:before="297" w:line="334" w:lineRule="auto"/>
              <w:rPr/>
            </w:pPr>
            <w:r>
              <w:rPr>
                <w:spacing w:val="36"/>
              </w:rPr>
              <w:t>城市立</w:t>
            </w:r>
            <w:r>
              <w:rPr/>
              <w:t xml:space="preserve"> </w:t>
            </w:r>
            <w:r>
              <w:rPr/>
              <w:t>足</w:t>
            </w:r>
          </w:p>
        </w:tc>
        <w:tc>
          <w:tcPr>
            <w:tcW w:w="15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71" w:line="220" w:lineRule="auto"/>
              <w:rPr/>
            </w:pPr>
            <w:r>
              <w:rPr>
                <w:spacing w:val="2"/>
              </w:rPr>
              <w:t>10-20万</w:t>
            </w:r>
          </w:p>
        </w:tc>
        <w:tc>
          <w:tcPr>
            <w:tcW w:w="2547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" w:right="1260"/>
              <w:spacing w:before="306" w:line="287" w:lineRule="auto"/>
              <w:jc w:val="both"/>
              <w:rPr/>
            </w:pPr>
            <w:r>
              <w:pict>
                <v:shape id="_x0000_s12" style="position:absolute;margin-left:78.3296pt;margin-top:28.4644pt;mso-position-vertical-relative:text;mso-position-horizontal-relative:text;width:23.6pt;height:16.3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/>
                          <w:rPr/>
                        </w:pPr>
                        <w:r>
                          <w:rPr>
                            <w:spacing w:val="-2"/>
                          </w:rPr>
                          <w:t>~20%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净资产100-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300万，基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本房产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061" w:right="1836" w:bottom="0" w:left="92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47"/>
        <w:rPr/>
      </w:pPr>
      <w:r/>
    </w:p>
    <w:p>
      <w:pPr>
        <w:sectPr>
          <w:headerReference w:type="default" r:id="rId2"/>
          <w:pgSz w:w="12240" w:h="15840"/>
          <w:pgMar w:top="1795" w:right="1836" w:bottom="0" w:left="970" w:header="1107" w:footer="0" w:gutter="0"/>
          <w:cols w:equalWidth="0" w:num="1">
            <w:col w:w="9434" w:space="0"/>
          </w:cols>
        </w:sectPr>
        <w:rPr/>
      </w:pPr>
    </w:p>
    <w:p>
      <w:pPr>
        <w:pStyle w:val="BodyText"/>
        <w:spacing w:before="62" w:line="222" w:lineRule="auto"/>
        <w:rPr/>
      </w:pPr>
      <w:r>
        <w:rPr>
          <w:spacing w:val="5"/>
        </w:rPr>
        <w:t>9级</w:t>
      </w:r>
      <w:r>
        <w:rPr>
          <w:spacing w:val="5"/>
        </w:rPr>
        <w:t xml:space="preserve">      </w:t>
      </w:r>
      <w:r>
        <w:rPr>
          <w:spacing w:val="5"/>
        </w:rPr>
        <w:t>失业、偏远</w:t>
      </w:r>
    </w:p>
    <w:p>
      <w:pPr>
        <w:pStyle w:val="BodyText"/>
        <w:ind w:left="1000"/>
        <w:spacing w:before="109" w:line="222" w:lineRule="auto"/>
        <w:rPr/>
      </w:pPr>
      <w:r>
        <w:rPr>
          <w:spacing w:val="9"/>
        </w:rPr>
        <w:t>农民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00"/>
        <w:spacing w:before="51" w:line="318" w:lineRule="auto"/>
        <w:rPr/>
      </w:pPr>
      <w:r>
        <w:rPr>
          <w:spacing w:val="8"/>
        </w:rPr>
        <w:t>难自食</w:t>
      </w:r>
      <w:r>
        <w:rPr>
          <w:spacing w:val="30"/>
        </w:rPr>
        <w:t xml:space="preserve">  </w:t>
      </w:r>
      <w:r>
        <w:rPr>
          <w:spacing w:val="8"/>
        </w:rPr>
        <w:t>&lt;5万或0</w:t>
      </w:r>
      <w:r>
        <w:rPr/>
        <w:t xml:space="preserve"> </w:t>
      </w:r>
      <w:r>
        <w:rPr>
          <w:spacing w:val="14"/>
        </w:rPr>
        <w:t>其力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457"/>
        <w:spacing w:before="42" w:line="334" w:lineRule="auto"/>
        <w:rPr/>
      </w:pPr>
      <w:r>
        <w:rPr>
          <w:spacing w:val="-2"/>
        </w:rPr>
        <w:t>无资产，依</w:t>
      </w:r>
      <w:r>
        <w:rPr>
          <w:spacing w:val="9"/>
        </w:rPr>
        <w:t xml:space="preserve">   </w:t>
      </w:r>
      <w:r>
        <w:rPr>
          <w:rFonts w:ascii="SimSun" w:hAnsi="SimSun" w:eastAsia="SimSun" w:cs="SimSun"/>
          <w:spacing w:val="-2"/>
        </w:rPr>
        <w:t>~15-20%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spacing w:val="6"/>
        </w:rPr>
        <w:t>赖救济</w:t>
      </w:r>
    </w:p>
    <w:p>
      <w:pPr>
        <w:spacing w:line="334" w:lineRule="auto"/>
        <w:sectPr>
          <w:type w:val="continuous"/>
          <w:pgSz w:w="12240" w:h="15840"/>
          <w:pgMar w:top="1795" w:right="1836" w:bottom="0" w:left="970" w:header="1107" w:footer="0" w:gutter="0"/>
          <w:cols w:equalWidth="0" w:num="3">
            <w:col w:w="2271" w:space="100"/>
            <w:col w:w="2400" w:space="100"/>
            <w:col w:w="4565" w:space="0"/>
          </w:cols>
        </w:sectPr>
        <w:rPr/>
      </w:pP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right="2187" w:firstLine="149"/>
        <w:spacing w:before="69" w:line="336" w:lineRule="auto"/>
        <w:rPr/>
      </w:pPr>
      <w:r>
        <w:rPr>
          <w:spacing w:val="2"/>
        </w:rPr>
        <w:t>(数据来源综合：网络模型定性描述、国家统计局</w:t>
      </w:r>
      <w:r>
        <w:rPr>
          <w:spacing w:val="1"/>
        </w:rPr>
        <w:t>2024收入分组、胡润2025财</w:t>
      </w:r>
      <w:r>
        <w:rPr/>
        <w:t xml:space="preserve"> </w:t>
      </w:r>
      <w:r>
        <w:rPr>
          <w:spacing w:val="1"/>
        </w:rPr>
        <w:t>富报告富裕家庭分布)</w:t>
      </w:r>
    </w:p>
    <w:p>
      <w:pPr>
        <w:pStyle w:val="BodyText"/>
        <w:ind w:right="2077"/>
        <w:spacing w:before="67" w:line="323" w:lineRule="auto"/>
        <w:rPr/>
      </w:pPr>
      <w:r>
        <w:rPr>
          <w:spacing w:val="9"/>
        </w:rPr>
        <w:t>整体财务状况：上层财富集中(胡润：亿元家庭13.</w:t>
      </w:r>
      <w:r>
        <w:rPr>
          <w:spacing w:val="8"/>
        </w:rPr>
        <w:t>3万户，总财富巨大);中层</w:t>
      </w:r>
      <w:r>
        <w:rPr/>
        <w:t xml:space="preserve"> </w:t>
      </w:r>
      <w:r>
        <w:rPr>
          <w:spacing w:val="2"/>
        </w:rPr>
        <w:t>消费驱动经济，但负债率高；下层财务脆弱，消费能力弱</w:t>
      </w:r>
      <w:r>
        <w:rPr>
          <w:spacing w:val="1"/>
        </w:rPr>
        <w:t>。2024年全国家庭平</w:t>
      </w:r>
      <w:r>
        <w:rPr/>
        <w:t xml:space="preserve">  </w:t>
      </w:r>
      <w:r>
        <w:rPr>
          <w:spacing w:val="-1"/>
        </w:rPr>
        <w:t>均净资产约273万元，但中位数远低，反映分配不均。</w:t>
      </w:r>
    </w:p>
    <w:p>
      <w:pPr>
        <w:pStyle w:val="BodyText"/>
        <w:ind w:left="3"/>
        <w:spacing w:before="202" w:line="221" w:lineRule="auto"/>
        <w:rPr/>
      </w:pPr>
      <w:r>
        <w:rPr>
          <w:b/>
          <w:bCs/>
          <w:spacing w:val="12"/>
        </w:rPr>
        <w:t>中产阶层(4-6级)核心特征分析</w:t>
      </w:r>
    </w:p>
    <w:p>
      <w:pPr>
        <w:pStyle w:val="BodyText"/>
        <w:ind w:right="2166"/>
        <w:spacing w:before="182" w:line="317" w:lineRule="auto"/>
        <w:jc w:val="both"/>
        <w:rPr/>
      </w:pPr>
      <w:r>
        <w:rPr>
          <w:spacing w:val="2"/>
        </w:rPr>
        <w:t>中产阶层在9阶层模型中占比约15-25%,对应官方”中等收入群体”部分(超4亿</w:t>
      </w:r>
      <w:r>
        <w:rPr>
          <w:spacing w:val="5"/>
        </w:rPr>
        <w:t xml:space="preserve"> </w:t>
      </w:r>
      <w:r>
        <w:rPr>
          <w:spacing w:val="4"/>
        </w:rPr>
        <w:t>人，但广义包括部分7级)。其在中国社会扮演</w:t>
      </w:r>
      <w:r>
        <w:rPr>
          <w:spacing w:val="3"/>
        </w:rPr>
        <w:t>消费主力、社会稳定器角色，推</w:t>
      </w:r>
      <w:r>
        <w:rPr/>
        <w:t xml:space="preserve"> </w:t>
      </w:r>
      <w:r>
        <w:rPr>
          <w:spacing w:val="-5"/>
        </w:rPr>
        <w:t>动内需与创新。</w:t>
      </w:r>
    </w:p>
    <w:p>
      <w:pPr>
        <w:pStyle w:val="BodyText"/>
        <w:ind w:left="3"/>
        <w:spacing w:before="154" w:line="221" w:lineRule="auto"/>
        <w:rPr/>
      </w:pPr>
      <w:r>
        <w:rPr>
          <w:b/>
          <w:bCs/>
          <w:spacing w:val="1"/>
        </w:rPr>
        <w:t>界定标准</w:t>
      </w:r>
    </w:p>
    <w:p>
      <w:pPr>
        <w:pStyle w:val="BodyText"/>
        <w:ind w:left="340"/>
        <w:spacing w:before="202" w:line="213" w:lineRule="auto"/>
        <w:rPr/>
      </w:pPr>
      <w:r>
        <w:rPr>
          <w:spacing w:val="8"/>
        </w:rPr>
        <w:t>.收入：家庭年可支配20-100万元(一线城市更高，50万</w:t>
      </w:r>
      <w:r>
        <w:rPr>
          <w:spacing w:val="7"/>
        </w:rPr>
        <w:t>+)。</w:t>
      </w:r>
    </w:p>
    <w:p>
      <w:pPr>
        <w:pStyle w:val="BodyText"/>
        <w:ind w:left="340"/>
        <w:spacing w:before="227" w:line="221" w:lineRule="auto"/>
        <w:rPr/>
      </w:pPr>
      <w:r>
        <w:rPr>
          <w:spacing w:val="6"/>
        </w:rPr>
        <w:t>.资产：净资产300万元以上(招商银行标准：300-800万为中产)。</w:t>
      </w:r>
    </w:p>
    <w:p>
      <w:pPr>
        <w:pStyle w:val="BodyText"/>
        <w:ind w:left="340"/>
        <w:spacing w:before="210" w:line="213" w:lineRule="auto"/>
        <w:rPr/>
      </w:pPr>
      <w:r>
        <w:rPr>
          <w:spacing w:val="-3"/>
        </w:rPr>
        <w:t>.其他：至少一人本科教育，城镇居住。</w:t>
      </w:r>
    </w:p>
    <w:p>
      <w:pPr>
        <w:pStyle w:val="BodyText"/>
        <w:ind w:left="3"/>
        <w:spacing w:before="295" w:line="222" w:lineRule="auto"/>
        <w:rPr/>
      </w:pPr>
      <w:r>
        <w:rPr>
          <w:b/>
          <w:bCs/>
          <w:spacing w:val="1"/>
        </w:rPr>
        <w:t>职业分布</w:t>
      </w:r>
    </w:p>
    <w:p>
      <w:pPr>
        <w:pStyle w:val="BodyText"/>
        <w:spacing w:before="110" w:line="213" w:lineRule="auto"/>
        <w:rPr/>
      </w:pPr>
      <w:r>
        <w:rPr>
          <w:spacing w:val="23"/>
        </w:rPr>
        <w:t>高端(4级):高管、教授、明星；中端(5级):企业主、专家；低端(6</w:t>
      </w:r>
    </w:p>
    <w:p>
      <w:pPr>
        <w:pStyle w:val="BodyText"/>
        <w:ind w:right="2265"/>
        <w:spacing w:before="126" w:line="331" w:lineRule="auto"/>
        <w:rPr/>
      </w:pPr>
      <w:r>
        <w:rPr>
          <w:spacing w:val="10"/>
        </w:rPr>
        <w:t>级):公务员、白领、工程师。占比：金领与企业主为主(胡润高净值家庭职</w:t>
      </w:r>
      <w:r>
        <w:rPr>
          <w:spacing w:val="2"/>
        </w:rPr>
        <w:t xml:space="preserve"> </w:t>
      </w:r>
      <w:r>
        <w:rPr>
          <w:spacing w:val="15"/>
        </w:rPr>
        <w:t>业：企业主52%、金领34%)。</w:t>
      </w:r>
    </w:p>
    <w:p>
      <w:pPr>
        <w:pStyle w:val="BodyText"/>
        <w:ind w:left="3"/>
        <w:spacing w:before="114" w:line="221" w:lineRule="auto"/>
        <w:rPr/>
      </w:pPr>
      <w:r>
        <w:rPr>
          <w:b/>
          <w:bCs/>
          <w:spacing w:val="1"/>
        </w:rPr>
        <w:t>教育背景</w:t>
      </w:r>
    </w:p>
    <w:p>
      <w:pPr>
        <w:pStyle w:val="BodyText"/>
        <w:spacing w:before="102" w:line="221" w:lineRule="auto"/>
        <w:rPr/>
      </w:pPr>
      <w:r>
        <w:rPr>
          <w:spacing w:val="12"/>
        </w:rPr>
        <w:t>本科及以上占比高(全国25-64岁仅15.8%,但中产集中80%以上)。</w:t>
      </w:r>
    </w:p>
    <w:p>
      <w:pPr>
        <w:pStyle w:val="BodyText"/>
        <w:ind w:left="3"/>
        <w:spacing w:before="208" w:line="222" w:lineRule="auto"/>
        <w:rPr/>
      </w:pPr>
      <w:r>
        <w:rPr>
          <w:b/>
          <w:bCs/>
        </w:rPr>
        <w:t>消费模式</w:t>
      </w:r>
    </w:p>
    <w:p>
      <w:pPr>
        <w:pStyle w:val="BodyText"/>
        <w:ind w:right="2054"/>
        <w:spacing w:before="100" w:line="331" w:lineRule="auto"/>
        <w:rPr/>
      </w:pPr>
      <w:r>
        <w:rPr>
          <w:spacing w:val="6"/>
        </w:rPr>
        <w:t>教育、旅游、医疗、奢侈品为主。2024-2025消费谨慎，预期增长</w:t>
      </w:r>
      <w:r>
        <w:rPr>
          <w:spacing w:val="5"/>
        </w:rPr>
        <w:t>仅2-3%(麦肯</w:t>
      </w:r>
      <w:r>
        <w:rPr/>
        <w:t xml:space="preserve"> </w:t>
      </w:r>
      <w:r>
        <w:rPr>
          <w:spacing w:val="3"/>
        </w:rPr>
        <w:t>锡调研)。高端消费价格指数上涨，但整体趋保守。</w:t>
      </w:r>
    </w:p>
    <w:p>
      <w:pPr>
        <w:pStyle w:val="BodyText"/>
        <w:ind w:left="3"/>
        <w:spacing w:before="102" w:line="221" w:lineRule="auto"/>
        <w:rPr/>
      </w:pPr>
      <w:r>
        <w:rPr>
          <w:b/>
          <w:bCs/>
        </w:rPr>
        <w:t>负债情况</w:t>
      </w:r>
    </w:p>
    <w:p>
      <w:pPr>
        <w:pStyle w:val="BodyText"/>
        <w:spacing w:before="123" w:line="213" w:lineRule="auto"/>
        <w:rPr/>
      </w:pPr>
      <w:r>
        <w:rPr>
          <w:spacing w:val="12"/>
        </w:rPr>
        <w:t>房贷占比高(平均58-76%),金融杠杆重，经济波动易焦虑。</w:t>
      </w:r>
    </w:p>
    <w:p>
      <w:pPr>
        <w:pStyle w:val="BodyText"/>
        <w:ind w:left="3"/>
        <w:spacing w:before="223" w:line="221" w:lineRule="auto"/>
        <w:rPr/>
      </w:pPr>
      <w:r>
        <w:rPr>
          <w:b/>
          <w:bCs/>
          <w:spacing w:val="-1"/>
        </w:rPr>
        <w:t>财富积累方式</w:t>
      </w:r>
    </w:p>
    <w:p>
      <w:pPr>
        <w:pStyle w:val="BodyText"/>
        <w:ind w:right="2177"/>
        <w:spacing w:before="122" w:line="315" w:lineRule="auto"/>
        <w:rPr/>
      </w:pPr>
      <w:r>
        <w:rPr>
          <w:spacing w:val="12"/>
        </w:rPr>
        <w:t>房产为主(占比70-80%),其次股权、股票。</w:t>
      </w:r>
      <w:r>
        <w:rPr>
          <w:spacing w:val="11"/>
        </w:rPr>
        <w:t>胡润数据：高净值家庭房产平均</w:t>
      </w:r>
      <w:r>
        <w:rPr/>
        <w:t xml:space="preserve"> </w:t>
      </w:r>
      <w:r>
        <w:rPr>
          <w:spacing w:val="7"/>
        </w:rPr>
        <w:t>500-700万，可投资资产占比上升(权益市场参与度增)。</w:t>
      </w:r>
    </w:p>
    <w:p>
      <w:pPr>
        <w:pStyle w:val="BodyText"/>
        <w:ind w:left="3"/>
        <w:spacing w:before="32" w:line="187" w:lineRule="auto"/>
        <w:rPr/>
      </w:pPr>
      <w:r>
        <w:rPr>
          <w:b/>
          <w:bCs/>
        </w:rPr>
        <w:t>实际抑模</w:t>
      </w:r>
    </w:p>
    <w:p>
      <w:pPr>
        <w:spacing w:line="187" w:lineRule="auto"/>
        <w:sectPr>
          <w:type w:val="continuous"/>
          <w:pgSz w:w="12240" w:h="15840"/>
          <w:pgMar w:top="1795" w:right="1836" w:bottom="0" w:left="970" w:header="1107" w:footer="0" w:gutter="0"/>
          <w:cols w:equalWidth="0" w:num="1">
            <w:col w:w="9434" w:space="0"/>
          </w:cols>
        </w:sectPr>
        <w:rPr/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30" w:line="224" w:lineRule="auto"/>
        <w:rPr>
          <w:sz w:val="9"/>
          <w:szCs w:val="9"/>
        </w:rPr>
      </w:pPr>
      <w:r>
        <w:rPr>
          <w:sz w:val="9"/>
          <w:szCs w:val="9"/>
          <w:b/>
          <w:bCs/>
          <w:spacing w:val="-2"/>
        </w:rPr>
        <w:t>大</w:t>
      </w:r>
      <w:r>
        <w:rPr>
          <w:sz w:val="9"/>
          <w:szCs w:val="9"/>
          <w:spacing w:val="2"/>
        </w:rPr>
        <w:t xml:space="preserve">   </w:t>
      </w:r>
      <w:r>
        <w:rPr>
          <w:rFonts w:ascii="Arial" w:hAnsi="Arial" w:eastAsia="Arial" w:cs="Arial"/>
          <w:sz w:val="9"/>
          <w:szCs w:val="9"/>
          <w:b/>
          <w:bCs/>
          <w:spacing w:val="-2"/>
        </w:rPr>
        <w:t>JI</w:t>
      </w:r>
      <w:r>
        <w:rPr>
          <w:rFonts w:ascii="Arial" w:hAnsi="Arial" w:eastAsia="Arial" w:cs="Arial"/>
          <w:sz w:val="9"/>
          <w:szCs w:val="9"/>
          <w:b/>
          <w:bCs/>
        </w:rPr>
        <w:t xml:space="preserve">                </w:t>
      </w:r>
      <w:r>
        <w:rPr>
          <w:sz w:val="9"/>
          <w:szCs w:val="9"/>
          <w:b/>
          <w:bCs/>
          <w:spacing w:val="-2"/>
        </w:rPr>
        <w:t>天</w:t>
      </w:r>
    </w:p>
    <w:p>
      <w:pPr>
        <w:pStyle w:val="BodyText"/>
        <w:ind w:left="339"/>
        <w:spacing w:before="244" w:line="213" w:lineRule="auto"/>
        <w:rPr/>
      </w:pPr>
      <w:r>
        <w:rPr/>
        <w:t>.人数：狭义约2-3亿人，家庭3000-5000万户。</w:t>
      </w:r>
    </w:p>
    <w:p>
      <w:pPr>
        <w:pStyle w:val="BodyText"/>
        <w:ind w:left="9" w:right="2468" w:firstLine="329"/>
        <w:spacing w:before="226" w:line="436" w:lineRule="auto"/>
        <w:rPr/>
      </w:pPr>
      <w:r>
        <w:rPr>
          <w:spacing w:val="9"/>
        </w:rPr>
        <w:t>.广义中等收入群体：超4亿人(官方2025数据),未来10年预计超8亿。</w:t>
      </w:r>
      <w:r>
        <w:rPr>
          <w:spacing w:val="10"/>
        </w:rPr>
        <w:t xml:space="preserve"> </w:t>
      </w:r>
      <w:r>
        <w:rPr>
          <w:spacing w:val="8"/>
        </w:rPr>
        <w:t>财力水平</w:t>
      </w:r>
    </w:p>
    <w:p>
      <w:pPr>
        <w:pStyle w:val="BodyText"/>
        <w:ind w:left="339" w:right="2549"/>
        <w:spacing w:line="410" w:lineRule="auto"/>
        <w:rPr/>
      </w:pPr>
      <w:r>
        <w:rPr>
          <w:spacing w:val="7"/>
        </w:rPr>
        <w:t>.净资产：平均300-600万元(胡润富裕家庭起点</w:t>
      </w:r>
      <w:r>
        <w:rPr>
          <w:spacing w:val="6"/>
        </w:rPr>
        <w:t>600万，仅514万户)。</w:t>
      </w:r>
      <w:r>
        <w:rPr/>
        <w:t xml:space="preserve"> </w:t>
      </w:r>
      <w:r>
        <w:rPr>
          <w:spacing w:val="-1"/>
        </w:rPr>
        <w:t>.可投资资产：100-300万元，金融资产占比低。</w:t>
      </w:r>
    </w:p>
    <w:p>
      <w:pPr>
        <w:pStyle w:val="BodyText"/>
        <w:ind w:left="9"/>
        <w:spacing w:before="75" w:line="221" w:lineRule="auto"/>
        <w:rPr/>
      </w:pPr>
      <w:r>
        <w:rPr>
          <w:spacing w:val="-2"/>
        </w:rPr>
        <w:t>下表总结中产子层级特征：</w:t>
      </w:r>
    </w:p>
    <w:p>
      <w:pPr>
        <w:spacing w:line="235" w:lineRule="exact"/>
        <w:rPr/>
      </w:pPr>
      <w:r/>
    </w:p>
    <w:tbl>
      <w:tblPr>
        <w:tblStyle w:val="TableNormal"/>
        <w:tblW w:w="722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8"/>
        <w:gridCol w:w="1625"/>
        <w:gridCol w:w="1085"/>
        <w:gridCol w:w="1617"/>
        <w:gridCol w:w="1894"/>
      </w:tblGrid>
      <w:tr>
        <w:trPr>
          <w:trHeight w:val="292" w:hRule="atLeast"/>
        </w:trPr>
        <w:tc>
          <w:tcPr>
            <w:tcW w:w="1008" w:type="dxa"/>
            <w:vAlign w:val="top"/>
          </w:tcPr>
          <w:p>
            <w:pPr>
              <w:ind w:left="12"/>
              <w:spacing w:line="220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3"/>
              </w:rPr>
              <w:t>中产子层</w:t>
            </w:r>
          </w:p>
        </w:tc>
        <w:tc>
          <w:tcPr>
            <w:tcW w:w="1625" w:type="dxa"/>
            <w:vAlign w:val="top"/>
          </w:tcPr>
          <w:p>
            <w:pPr>
              <w:ind w:left="154"/>
              <w:spacing w:line="22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17"/>
              </w:rPr>
              <w:t>收入区间(年</w:t>
            </w:r>
          </w:p>
        </w:tc>
        <w:tc>
          <w:tcPr>
            <w:tcW w:w="1085" w:type="dxa"/>
            <w:vAlign w:val="top"/>
          </w:tcPr>
          <w:p>
            <w:pPr>
              <w:ind w:right="18"/>
              <w:spacing w:line="221" w:lineRule="auto"/>
              <w:jc w:val="righ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4"/>
              </w:rPr>
              <w:t>净资产平</w:t>
            </w:r>
          </w:p>
        </w:tc>
        <w:tc>
          <w:tcPr>
            <w:tcW w:w="16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94" w:type="dxa"/>
            <w:vAlign w:val="top"/>
          </w:tcPr>
          <w:p>
            <w:pPr>
              <w:ind w:left="137"/>
              <w:spacing w:line="220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4"/>
              </w:rPr>
              <w:t>消费与财务健</w:t>
            </w:r>
          </w:p>
        </w:tc>
      </w:tr>
      <w:tr>
        <w:trPr>
          <w:trHeight w:val="481" w:hRule="atLeast"/>
        </w:trPr>
        <w:tc>
          <w:tcPr>
            <w:tcW w:w="1008" w:type="dxa"/>
            <w:vAlign w:val="top"/>
          </w:tcPr>
          <w:p>
            <w:pPr>
              <w:ind w:left="12"/>
              <w:spacing w:before="77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3"/>
              </w:rPr>
              <w:t>级</w:t>
            </w:r>
          </w:p>
        </w:tc>
        <w:tc>
          <w:tcPr>
            <w:tcW w:w="1625" w:type="dxa"/>
            <w:vAlign w:val="top"/>
          </w:tcPr>
          <w:p>
            <w:pPr>
              <w:ind w:left="184"/>
              <w:spacing w:before="77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4"/>
              </w:rPr>
              <w:t>家庭)</w:t>
            </w:r>
          </w:p>
        </w:tc>
        <w:tc>
          <w:tcPr>
            <w:tcW w:w="1085" w:type="dxa"/>
            <w:vAlign w:val="top"/>
          </w:tcPr>
          <w:p>
            <w:pPr>
              <w:ind w:left="196"/>
              <w:spacing w:before="77" w:line="224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</w:rPr>
              <w:t>均</w:t>
            </w:r>
          </w:p>
        </w:tc>
        <w:tc>
          <w:tcPr>
            <w:tcW w:w="1617" w:type="dxa"/>
            <w:vAlign w:val="top"/>
          </w:tcPr>
          <w:p>
            <w:pPr>
              <w:ind w:left="234"/>
              <w:spacing w:before="77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4"/>
              </w:rPr>
              <w:t>主要财富来源</w:t>
            </w:r>
          </w:p>
        </w:tc>
        <w:tc>
          <w:tcPr>
            <w:tcW w:w="1894" w:type="dxa"/>
            <w:vAlign w:val="top"/>
          </w:tcPr>
          <w:p>
            <w:pPr>
              <w:ind w:left="137"/>
              <w:spacing w:before="77" w:line="224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3"/>
              </w:rPr>
              <w:t>康</w:t>
            </w:r>
          </w:p>
        </w:tc>
      </w:tr>
      <w:tr>
        <w:trPr>
          <w:trHeight w:val="749" w:hRule="atLeast"/>
        </w:trPr>
        <w:tc>
          <w:tcPr>
            <w:tcW w:w="1008" w:type="dxa"/>
            <w:vAlign w:val="top"/>
            <w:tcBorders>
              <w:bottom w:val="single" w:color="000000" w:sz="4" w:space="0"/>
            </w:tcBorders>
          </w:tcPr>
          <w:p>
            <w:pPr>
              <w:ind w:left="9" w:right="263"/>
              <w:spacing w:before="190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26"/>
              </w:rPr>
              <w:t>高端(4</w:t>
            </w:r>
            <w:r>
              <w:rPr>
                <w:rFonts w:ascii="SimHei" w:hAnsi="SimHei" w:eastAsia="SimHei" w:cs="SimHei"/>
                <w:sz w:val="21"/>
                <w:szCs w:val="21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5"/>
              </w:rPr>
              <w:t>级</w:t>
            </w:r>
            <w:r>
              <w:rPr>
                <w:rFonts w:ascii="SimHei" w:hAnsi="SimHei" w:eastAsia="SimHei" w:cs="SimHei"/>
                <w:sz w:val="21"/>
                <w:szCs w:val="21"/>
                <w:spacing w:val="28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5"/>
              </w:rPr>
              <w:t>)</w:t>
            </w:r>
          </w:p>
        </w:tc>
        <w:tc>
          <w:tcPr>
            <w:tcW w:w="1625" w:type="dxa"/>
            <w:vAlign w:val="top"/>
            <w:tcBorders>
              <w:bottom w:val="single" w:color="000000" w:sz="4" w:space="0"/>
            </w:tcBorders>
          </w:tcPr>
          <w:p>
            <w:pPr>
              <w:ind w:left="171"/>
              <w:spacing w:before="189" w:line="224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11"/>
              </w:rPr>
              <w:t>100万+</w:t>
            </w:r>
          </w:p>
        </w:tc>
        <w:tc>
          <w:tcPr>
            <w:tcW w:w="1085" w:type="dxa"/>
            <w:vAlign w:val="top"/>
            <w:tcBorders>
              <w:bottom w:val="single" w:color="000000" w:sz="4" w:space="0"/>
            </w:tcBorders>
          </w:tcPr>
          <w:p>
            <w:pPr>
              <w:ind w:left="196"/>
              <w:spacing w:before="189" w:line="224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5"/>
              </w:rPr>
              <w:t>1000万+</w:t>
            </w:r>
          </w:p>
        </w:tc>
        <w:tc>
          <w:tcPr>
            <w:tcW w:w="1617" w:type="dxa"/>
            <w:vAlign w:val="top"/>
            <w:tcBorders>
              <w:bottom w:val="single" w:color="000000" w:sz="4" w:space="0"/>
            </w:tcBorders>
          </w:tcPr>
          <w:p>
            <w:pPr>
              <w:ind w:left="211"/>
              <w:spacing w:before="189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股权、企业</w:t>
            </w:r>
          </w:p>
        </w:tc>
        <w:tc>
          <w:tcPr>
            <w:tcW w:w="1894" w:type="dxa"/>
            <w:vAlign w:val="top"/>
            <w:tcBorders>
              <w:bottom w:val="single" w:color="000000" w:sz="4" w:space="0"/>
            </w:tcBorders>
          </w:tcPr>
          <w:p>
            <w:pPr>
              <w:ind w:left="134"/>
              <w:spacing w:before="190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1"/>
              </w:rPr>
              <w:t>高消费、健康</w:t>
            </w:r>
          </w:p>
        </w:tc>
      </w:tr>
      <w:tr>
        <w:trPr>
          <w:trHeight w:val="683" w:hRule="atLeast"/>
        </w:trPr>
        <w:tc>
          <w:tcPr>
            <w:tcW w:w="1008" w:type="dxa"/>
            <w:vAlign w:val="top"/>
            <w:tcBorders>
              <w:top w:val="single" w:color="000000" w:sz="4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ind w:left="9"/>
              <w:spacing w:before="68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27"/>
              </w:rPr>
              <w:t>中端(5</w:t>
            </w:r>
          </w:p>
        </w:tc>
        <w:tc>
          <w:tcPr>
            <w:tcW w:w="1625" w:type="dxa"/>
            <w:vAlign w:val="top"/>
            <w:tcBorders>
              <w:top w:val="single" w:color="000000" w:sz="4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ind w:left="171"/>
              <w:spacing w:before="68" w:line="224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1"/>
              </w:rPr>
              <w:t>50-100万</w:t>
            </w:r>
          </w:p>
        </w:tc>
        <w:tc>
          <w:tcPr>
            <w:tcW w:w="1085" w:type="dxa"/>
            <w:vAlign w:val="top"/>
            <w:tcBorders>
              <w:top w:val="single" w:color="000000" w:sz="4" w:space="0"/>
            </w:tcBorders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60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500-</w:t>
            </w:r>
          </w:p>
        </w:tc>
        <w:tc>
          <w:tcPr>
            <w:tcW w:w="1617" w:type="dxa"/>
            <w:vAlign w:val="top"/>
            <w:tcBorders>
              <w:top w:val="single" w:color="00000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ind w:left="231"/>
              <w:spacing w:before="69" w:line="220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多套房产</w:t>
            </w:r>
          </w:p>
        </w:tc>
        <w:tc>
          <w:tcPr>
            <w:tcW w:w="1894" w:type="dxa"/>
            <w:vAlign w:val="top"/>
            <w:tcBorders>
              <w:top w:val="single" w:color="00000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ind w:left="134"/>
              <w:spacing w:before="68" w:line="21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3"/>
              </w:rPr>
              <w:t>教育旅游为主，中</w:t>
            </w:r>
          </w:p>
        </w:tc>
      </w:tr>
      <w:tr>
        <w:trPr>
          <w:trHeight w:val="281" w:hRule="atLeast"/>
        </w:trPr>
        <w:tc>
          <w:tcPr>
            <w:tcW w:w="1008" w:type="dxa"/>
            <w:vAlign w:val="top"/>
            <w:tcBorders>
              <w:bottom w:val="single" w:color="000000" w:sz="4" w:space="0"/>
            </w:tcBorders>
          </w:tcPr>
          <w:p>
            <w:pPr>
              <w:ind w:left="9"/>
              <w:spacing w:before="68" w:line="178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5"/>
              </w:rPr>
              <w:t>级</w:t>
            </w:r>
            <w:r>
              <w:rPr>
                <w:rFonts w:ascii="SimHei" w:hAnsi="SimHei" w:eastAsia="SimHei" w:cs="SimHei"/>
                <w:sz w:val="21"/>
                <w:szCs w:val="21"/>
                <w:spacing w:val="7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5"/>
              </w:rPr>
              <w:t>)</w:t>
            </w:r>
          </w:p>
        </w:tc>
        <w:tc>
          <w:tcPr>
            <w:tcW w:w="1625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5" w:type="dxa"/>
            <w:vAlign w:val="top"/>
            <w:tcBorders>
              <w:bottom w:val="single" w:color="000000" w:sz="4" w:space="0"/>
            </w:tcBorders>
          </w:tcPr>
          <w:p>
            <w:pPr>
              <w:ind w:left="258"/>
              <w:spacing w:before="68" w:line="178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8"/>
              </w:rPr>
              <w:t>1</w:t>
            </w:r>
            <w:r>
              <w:rPr>
                <w:rFonts w:ascii="SimHei" w:hAnsi="SimHei" w:eastAsia="SimHei" w:cs="SimHei"/>
                <w:sz w:val="21"/>
                <w:szCs w:val="21"/>
                <w:spacing w:val="9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8"/>
              </w:rPr>
              <w:t>0</w:t>
            </w:r>
            <w:r>
              <w:rPr>
                <w:rFonts w:ascii="SimHei" w:hAnsi="SimHei" w:eastAsia="SimHei" w:cs="SimHei"/>
                <w:sz w:val="21"/>
                <w:szCs w:val="21"/>
                <w:spacing w:val="9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8"/>
              </w:rPr>
              <w:t>0</w:t>
            </w:r>
            <w:r>
              <w:rPr>
                <w:rFonts w:ascii="SimHei" w:hAnsi="SimHei" w:eastAsia="SimHei" w:cs="SimHei"/>
                <w:sz w:val="21"/>
                <w:szCs w:val="21"/>
                <w:spacing w:val="9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8"/>
              </w:rPr>
              <w:t>0</w:t>
            </w:r>
          </w:p>
        </w:tc>
        <w:tc>
          <w:tcPr>
            <w:tcW w:w="1617" w:type="dxa"/>
            <w:vAlign w:val="top"/>
            <w:tcBorders>
              <w:bottom w:val="single" w:color="000000" w:sz="4" w:space="0"/>
            </w:tcBorders>
          </w:tcPr>
          <w:p>
            <w:pPr>
              <w:ind w:left="19"/>
              <w:spacing w:before="68" w:line="178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</w:rPr>
              <w:t>万</w:t>
            </w:r>
          </w:p>
        </w:tc>
        <w:tc>
          <w:tcPr>
            <w:tcW w:w="1894" w:type="dxa"/>
            <w:vAlign w:val="top"/>
            <w:tcBorders>
              <w:bottom w:val="single" w:color="000000" w:sz="4" w:space="0"/>
            </w:tcBorders>
          </w:tcPr>
          <w:p>
            <w:pPr>
              <w:ind w:left="204"/>
              <w:spacing w:before="68" w:line="178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6"/>
              </w:rPr>
              <w:t>等</w:t>
            </w:r>
            <w:r>
              <w:rPr>
                <w:rFonts w:ascii="SimHei" w:hAnsi="SimHei" w:eastAsia="SimHei" w:cs="SimHei"/>
                <w:sz w:val="21"/>
                <w:szCs w:val="21"/>
                <w:spacing w:val="13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6"/>
              </w:rPr>
              <w:t>负</w:t>
            </w:r>
            <w:r>
              <w:rPr>
                <w:rFonts w:ascii="SimHei" w:hAnsi="SimHei" w:eastAsia="SimHei" w:cs="SimHei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6"/>
              </w:rPr>
              <w:t>债</w:t>
            </w:r>
          </w:p>
        </w:tc>
      </w:tr>
      <w:tr>
        <w:trPr>
          <w:trHeight w:val="689" w:hRule="atLeast"/>
        </w:trPr>
        <w:tc>
          <w:tcPr>
            <w:tcW w:w="1008" w:type="dxa"/>
            <w:vAlign w:val="top"/>
            <w:tcBorders>
              <w:top w:val="single" w:color="000000" w:sz="4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ind w:left="9"/>
              <w:spacing w:before="68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14"/>
              </w:rPr>
              <w:t>低</w:t>
            </w:r>
            <w:r>
              <w:rPr>
                <w:rFonts w:ascii="SimHei" w:hAnsi="SimHei" w:eastAsia="SimHei" w:cs="SimHei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14"/>
              </w:rPr>
              <w:t>端</w:t>
            </w:r>
            <w:r>
              <w:rPr>
                <w:rFonts w:ascii="SimHei" w:hAnsi="SimHei" w:eastAsia="SimHei" w:cs="SimHei"/>
                <w:sz w:val="21"/>
                <w:szCs w:val="21"/>
                <w:spacing w:val="-1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14"/>
              </w:rPr>
              <w:t>(</w:t>
            </w:r>
            <w:r>
              <w:rPr>
                <w:rFonts w:ascii="SimHei" w:hAnsi="SimHei" w:eastAsia="SimHei" w:cs="SimHei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14"/>
              </w:rPr>
              <w:t>6</w:t>
            </w:r>
          </w:p>
        </w:tc>
        <w:tc>
          <w:tcPr>
            <w:tcW w:w="1625" w:type="dxa"/>
            <w:vAlign w:val="top"/>
            <w:tcBorders>
              <w:top w:val="single" w:color="000000" w:sz="4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ind w:left="171"/>
              <w:spacing w:before="68" w:line="224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4"/>
              </w:rPr>
              <w:t>20-50万</w:t>
            </w:r>
          </w:p>
        </w:tc>
        <w:tc>
          <w:tcPr>
            <w:tcW w:w="1085" w:type="dxa"/>
            <w:vAlign w:val="top"/>
            <w:tcBorders>
              <w:top w:val="single" w:color="000000" w:sz="4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300-600</w:t>
            </w:r>
          </w:p>
        </w:tc>
        <w:tc>
          <w:tcPr>
            <w:tcW w:w="1617" w:type="dxa"/>
            <w:vAlign w:val="top"/>
            <w:tcBorders>
              <w:top w:val="single" w:color="000000" w:sz="4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ind w:left="221"/>
              <w:spacing w:before="69" w:line="220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单/双套房产</w:t>
            </w:r>
          </w:p>
        </w:tc>
        <w:tc>
          <w:tcPr>
            <w:tcW w:w="1894" w:type="dxa"/>
            <w:vAlign w:val="top"/>
            <w:tcBorders>
              <w:top w:val="single" w:color="000000" w:sz="4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ind w:left="134"/>
              <w:spacing w:before="68" w:line="21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1"/>
              </w:rPr>
              <w:t>房贷压力大，谨慎</w:t>
            </w:r>
          </w:p>
        </w:tc>
      </w:tr>
      <w:tr>
        <w:trPr>
          <w:trHeight w:val="291" w:hRule="atLeast"/>
        </w:trPr>
        <w:tc>
          <w:tcPr>
            <w:tcW w:w="1008" w:type="dxa"/>
            <w:vAlign w:val="top"/>
          </w:tcPr>
          <w:p>
            <w:pPr>
              <w:ind w:left="9"/>
              <w:spacing w:before="78" w:line="178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17"/>
              </w:rPr>
              <w:t>级)</w:t>
            </w:r>
          </w:p>
        </w:tc>
        <w:tc>
          <w:tcPr>
            <w:tcW w:w="16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5" w:type="dxa"/>
            <w:vAlign w:val="top"/>
          </w:tcPr>
          <w:p>
            <w:pPr>
              <w:ind w:left="196"/>
              <w:spacing w:before="78" w:line="178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</w:rPr>
              <w:t>万</w:t>
            </w:r>
          </w:p>
        </w:tc>
        <w:tc>
          <w:tcPr>
            <w:tcW w:w="1617" w:type="dxa"/>
            <w:vAlign w:val="top"/>
          </w:tcPr>
          <w:p>
            <w:pPr>
              <w:ind w:left="231"/>
              <w:spacing w:before="78" w:line="178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10"/>
              </w:rPr>
              <w:t>+储蓄</w:t>
            </w:r>
          </w:p>
        </w:tc>
        <w:tc>
          <w:tcPr>
            <w:tcW w:w="1894" w:type="dxa"/>
            <w:vAlign w:val="top"/>
          </w:tcPr>
          <w:p>
            <w:pPr>
              <w:ind w:left="134"/>
              <w:spacing w:before="78" w:line="178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11"/>
              </w:rPr>
              <w:t>消费</w:t>
            </w:r>
          </w:p>
        </w:tc>
      </w:tr>
    </w:tbl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70" w:line="222" w:lineRule="auto"/>
        <w:rPr/>
      </w:pPr>
      <w:r>
        <w:rPr>
          <w:b/>
          <w:bCs/>
          <w:spacing w:val="-3"/>
        </w:rPr>
        <w:t>在中国经济与社会结构中的角色与趋势</w:t>
      </w:r>
    </w:p>
    <w:p>
      <w:pPr>
        <w:pStyle w:val="BodyText"/>
        <w:ind w:left="9" w:right="2095"/>
        <w:spacing w:before="192" w:line="322" w:lineRule="auto"/>
        <w:rPr/>
      </w:pPr>
      <w:r>
        <w:rPr>
          <w:spacing w:val="11"/>
        </w:rPr>
        <w:t>中产是消费引擎(空调、新能源车等销量全球领先),贡献内需70%以上；社会</w:t>
      </w:r>
      <w:r>
        <w:rPr>
          <w:spacing w:val="11"/>
        </w:rPr>
        <w:t xml:space="preserve"> </w:t>
      </w:r>
      <w:r>
        <w:rPr>
          <w:spacing w:val="-2"/>
        </w:rPr>
        <w:t>角色为缓冲层，维持稳定。但近期趋势：</w:t>
      </w:r>
    </w:p>
    <w:p>
      <w:pPr>
        <w:pStyle w:val="BodyText"/>
        <w:ind w:left="339"/>
        <w:spacing w:before="125" w:line="221" w:lineRule="auto"/>
        <w:rPr/>
      </w:pPr>
      <w:r>
        <w:rPr>
          <w:spacing w:val="12"/>
        </w:rPr>
        <w:t>.规模扩大放缓(胡润2025:富裕家庭下降0.8%)。</w:t>
      </w:r>
    </w:p>
    <w:p>
      <w:pPr>
        <w:pStyle w:val="BodyText"/>
        <w:ind w:left="339"/>
        <w:spacing w:before="218" w:line="220" w:lineRule="auto"/>
        <w:rPr/>
      </w:pPr>
      <w:r>
        <w:rPr>
          <w:spacing w:val="12"/>
        </w:rPr>
        <w:t>.财富缩水(总财富下降3.6%,房产依赖风险高)。</w:t>
      </w:r>
    </w:p>
    <w:p>
      <w:pPr>
        <w:pStyle w:val="BodyText"/>
        <w:ind w:left="439" w:right="2094" w:hanging="100"/>
        <w:spacing w:before="221" w:line="319" w:lineRule="auto"/>
        <w:rPr/>
      </w:pPr>
      <w:r>
        <w:rPr>
          <w:spacing w:val="2"/>
        </w:rPr>
        <w:t>.积极因素：共同富裕政策推动“扩中”,预计2035年中等收入占比近50%,形</w:t>
      </w:r>
      <w:r>
        <w:rPr>
          <w:spacing w:val="2"/>
        </w:rPr>
        <w:t xml:space="preserve"> </w:t>
      </w:r>
      <w:r>
        <w:rPr>
          <w:spacing w:val="-1"/>
        </w:rPr>
        <w:t>成橄榄型结构。</w:t>
      </w:r>
    </w:p>
    <w:p>
      <w:pPr>
        <w:pStyle w:val="BodyText"/>
        <w:ind w:left="439" w:right="2436" w:hanging="100"/>
        <w:spacing w:before="115" w:line="332" w:lineRule="auto"/>
        <w:rPr/>
      </w:pPr>
      <w:r>
        <w:rPr>
          <w:spacing w:val="8"/>
        </w:rPr>
        <w:t>.挑战：经济不确定性、代际传承(未来30年84</w:t>
      </w:r>
      <w:r>
        <w:rPr>
          <w:spacing w:val="7"/>
        </w:rPr>
        <w:t>万亿财富转移)、城乡分</w:t>
      </w:r>
      <w:r>
        <w:rPr/>
        <w:t xml:space="preserve"> </w:t>
      </w:r>
      <w:r>
        <w:rPr>
          <w:spacing w:val="-4"/>
        </w:rPr>
        <w:t>化。</w:t>
      </w:r>
    </w:p>
    <w:p>
      <w:pPr>
        <w:pStyle w:val="BodyText"/>
        <w:ind w:left="9" w:right="2053"/>
        <w:spacing w:before="125" w:line="334" w:lineRule="auto"/>
        <w:rPr/>
      </w:pPr>
      <w:r>
        <w:rPr>
          <w:spacing w:val="1"/>
        </w:rPr>
        <w:t>总体而言，中国阶层结构正向现代化转型，中间阶层扩大是关键，</w:t>
      </w:r>
      <w:r>
        <w:rPr/>
        <w:t>但需深化改革</w:t>
      </w:r>
      <w:r>
        <w:rPr/>
        <w:t xml:space="preserve"> </w:t>
      </w:r>
      <w:r>
        <w:rPr>
          <w:spacing w:val="-3"/>
        </w:rPr>
        <w:t>提升流动性和财务健康。</w:t>
      </w:r>
    </w:p>
    <w:p>
      <w:pPr>
        <w:ind w:left="9"/>
        <w:spacing w:before="113" w:line="198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</w:rPr>
        <w:t>Key</w:t>
      </w:r>
      <w:r>
        <w:rPr>
          <w:rFonts w:ascii="Arial" w:hAnsi="Arial" w:eastAsia="Arial" w:cs="Arial"/>
          <w:sz w:val="21"/>
          <w:szCs w:val="21"/>
          <w:spacing w:val="57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Citations</w:t>
      </w:r>
    </w:p>
    <w:p>
      <w:pPr>
        <w:spacing w:line="198" w:lineRule="auto"/>
        <w:sectPr>
          <w:headerReference w:type="default" r:id="rId3"/>
          <w:pgSz w:w="12240" w:h="15840"/>
          <w:pgMar w:top="400" w:right="1836" w:bottom="0" w:left="96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28" w:right="2459" w:hanging="229"/>
        <w:spacing w:before="68" w:line="348" w:lineRule="auto"/>
        <w:rPr>
          <w:rFonts w:ascii="Arial" w:hAnsi="Arial" w:eastAsia="Arial" w:cs="Arial"/>
        </w:rPr>
      </w:pPr>
      <w:r>
        <w:rPr>
          <w:spacing w:val="1"/>
        </w:rPr>
        <w:t>.国家统计局：《中华人民共和国2024年国民经济和社会发</w:t>
      </w:r>
      <w:r>
        <w:rPr/>
        <w:t>展统计公报》</w:t>
      </w:r>
      <w:r>
        <w:rPr/>
        <w:t xml:space="preserve"> </w:t>
      </w:r>
      <w:r>
        <w:rPr>
          <w:rFonts w:ascii="Arial" w:hAnsi="Arial" w:eastAsia="Arial" w:cs="Arial"/>
        </w:rPr>
        <w:t>(</w:t>
      </w:r>
      <w:hyperlink w:history="true" r:id="rId4">
        <w:r>
          <w:rPr>
            <w:rFonts w:ascii="Arial" w:hAnsi="Arial" w:eastAsia="Arial" w:cs="Arial"/>
          </w:rPr>
          <w:t>https://www.stats.gov.cn/sj/zxfb/202502/t202</w:t>
        </w:r>
        <w:r>
          <w:rPr>
            <w:rFonts w:ascii="Arial" w:hAnsi="Arial" w:eastAsia="Arial" w:cs="Arial"/>
            <w:spacing w:val="-1"/>
          </w:rPr>
          <w:t>50228_1958817.html)</w:t>
        </w:r>
      </w:hyperlink>
    </w:p>
    <w:p>
      <w:pPr>
        <w:pStyle w:val="BodyText"/>
        <w:spacing w:before="73" w:line="221" w:lineRule="auto"/>
        <w:rPr/>
      </w:pPr>
      <w:r>
        <w:rPr>
          <w:spacing w:val="2"/>
        </w:rPr>
        <w:t>.胡润研究院：《2025中国金融市场投资者</w:t>
      </w:r>
      <w:r>
        <w:rPr>
          <w:spacing w:val="1"/>
        </w:rPr>
        <w:t>洞见白皮书》</w:t>
      </w:r>
    </w:p>
    <w:p>
      <w:pPr>
        <w:pStyle w:val="BodyText"/>
        <w:ind w:right="3169" w:firstLine="229"/>
        <w:spacing w:before="78" w:line="397" w:lineRule="auto"/>
        <w:rPr/>
      </w:pPr>
      <w:r>
        <w:rPr>
          <w:rFonts w:ascii="Arial" w:hAnsi="Arial" w:eastAsia="Arial" w:cs="Arial"/>
        </w:rPr>
        <w:t>(</w:t>
      </w:r>
      <w:hyperlink w:history="true" r:id="rId5">
        <w:r>
          <w:rPr>
            <w:rFonts w:ascii="Arial" w:hAnsi="Arial" w:eastAsia="Arial" w:cs="Arial"/>
          </w:rPr>
          <w:t>https://res.hurun.net/file/20250103/2025</w:t>
        </w:r>
        <w:r>
          <w:rPr>
            <w:rFonts w:ascii="Arial" w:hAnsi="Arial" w:eastAsia="Arial" w:cs="Arial"/>
            <w:spacing w:val="-1"/>
          </w:rPr>
          <w:t>0103095634246.pdf)</w:t>
        </w:r>
      </w:hyperlink>
      <w:r>
        <w:rPr>
          <w:rFonts w:ascii="Arial" w:hAnsi="Arial" w:eastAsia="Arial" w:cs="Arial"/>
        </w:rPr>
        <w:t xml:space="preserve"> </w:t>
      </w:r>
      <w:r>
        <w:rPr>
          <w:spacing w:val="-2"/>
        </w:rPr>
        <w:t>.中国社会科学院相关研究报告</w:t>
      </w:r>
    </w:p>
    <w:p>
      <w:pPr>
        <w:ind w:left="110" w:right="2119" w:firstLine="119"/>
        <w:spacing w:before="2" w:line="290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1"/>
          <w:szCs w:val="21"/>
        </w:rPr>
        <w:t>(</w:t>
      </w:r>
      <w:hyperlink w:history="true" r:id="rId6">
        <w:r>
          <w:rPr>
            <w:rFonts w:ascii="Arial" w:hAnsi="Arial" w:eastAsia="Arial" w:cs="Arial"/>
            <w:sz w:val="21"/>
            <w:szCs w:val="21"/>
          </w:rPr>
          <w:t>http://hprc.cssn.cn/gsyj/shs/shxss/202211/P02022</w:t>
        </w:r>
        <w:r>
          <w:rPr>
            <w:rFonts w:ascii="Arial" w:hAnsi="Arial" w:eastAsia="Arial" w:cs="Arial"/>
            <w:sz w:val="21"/>
            <w:szCs w:val="21"/>
            <w:spacing w:val="-1"/>
          </w:rPr>
          <w:t>1125409740211070.p</w:t>
        </w:r>
      </w:hyperlink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</w:rPr>
        <w:t>df)</w:t>
      </w:r>
    </w:p>
    <w:p>
      <w:pPr>
        <w:pStyle w:val="BodyText"/>
        <w:spacing w:before="237" w:line="221" w:lineRule="auto"/>
        <w:rPr/>
      </w:pPr>
      <w:r>
        <w:rPr>
          <w:spacing w:val="-2"/>
        </w:rPr>
        <w:t>.网络流传9阶层模型总结</w:t>
      </w:r>
    </w:p>
    <w:p>
      <w:pPr>
        <w:pStyle w:val="BodyText"/>
        <w:ind w:right="3449" w:firstLine="229"/>
        <w:spacing w:before="68" w:line="435" w:lineRule="auto"/>
        <w:rPr/>
      </w:pPr>
      <w:r>
        <w:rPr>
          <w:rFonts w:ascii="Arial" w:hAnsi="Arial" w:eastAsia="Arial" w:cs="Arial"/>
        </w:rPr>
        <w:t>(</w:t>
      </w:r>
      <w:hyperlink w:history="true" r:id="rId7">
        <w:r>
          <w:rPr>
            <w:rFonts w:ascii="Arial" w:hAnsi="Arial" w:eastAsia="Arial" w:cs="Arial"/>
          </w:rPr>
          <w:t>http://xqdoc.imedao.com/15b7c7377ef</w:t>
        </w:r>
        <w:r>
          <w:rPr>
            <w:rFonts w:ascii="Arial" w:hAnsi="Arial" w:eastAsia="Arial" w:cs="Arial"/>
            <w:spacing w:val="-1"/>
          </w:rPr>
          <w:t>22643fd767afc.pdf)</w:t>
        </w:r>
      </w:hyperlink>
      <w:r>
        <w:rPr>
          <w:rFonts w:ascii="Arial" w:hAnsi="Arial" w:eastAsia="Arial" w:cs="Arial"/>
        </w:rPr>
        <w:t xml:space="preserve"> </w:t>
      </w:r>
      <w:r>
        <w:rPr>
          <w:rFonts w:ascii="SimSun" w:hAnsi="SimSun" w:eastAsia="SimSun" w:cs="SimSun"/>
          <w:spacing w:val="-2"/>
        </w:rPr>
        <w:t>.UBS《2025 </w:t>
      </w:r>
      <w:r>
        <w:rPr>
          <w:spacing w:val="-2"/>
        </w:rPr>
        <w:t>全球财富报告》相关中国数据</w:t>
      </w:r>
    </w:p>
    <w:p>
      <w:pPr>
        <w:pStyle w:val="BodyText"/>
        <w:spacing w:before="48" w:line="222" w:lineRule="auto"/>
        <w:rPr/>
      </w:pPr>
      <w:r>
        <w:rPr>
          <w:spacing w:val="-1"/>
        </w:rPr>
        <w:t>.麦肯锡与中国私人财富报告辅助参考</w:t>
      </w:r>
    </w:p>
    <w:sectPr>
      <w:pgSz w:w="12240" w:h="15840"/>
      <w:pgMar w:top="400" w:right="1836" w:bottom="0" w:left="130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9" w:line="231" w:lineRule="auto"/>
      <w:rPr/>
    </w:pPr>
    <w:r>
      <w:rPr>
        <w:spacing w:val="4"/>
      </w:rPr>
      <w:t>8级</w:t>
    </w:r>
    <w:r>
      <w:rPr>
        <w:spacing w:val="4"/>
      </w:rPr>
      <w:t xml:space="preserve">      </w:t>
    </w:r>
    <w:r>
      <w:rPr>
        <w:spacing w:val="4"/>
      </w:rPr>
      <w:t>工厂工人、</w:t>
    </w:r>
    <w:r>
      <w:rPr>
        <w:spacing w:val="4"/>
      </w:rPr>
      <w:t xml:space="preserve">   </w:t>
    </w:r>
    <w:r>
      <w:rPr>
        <w:spacing w:val="4"/>
      </w:rPr>
      <w:t>自食其</w:t>
    </w:r>
    <w:r>
      <w:rPr>
        <w:spacing w:val="24"/>
      </w:rPr>
      <w:t xml:space="preserve">  </w:t>
    </w:r>
    <w:r>
      <w:rPr>
        <w:spacing w:val="4"/>
      </w:rPr>
      <w:t>5-10万</w:t>
    </w:r>
    <w:r>
      <w:rPr>
        <w:spacing w:val="4"/>
      </w:rPr>
      <w:t xml:space="preserve"> </w:t>
    </w:r>
    <w:r>
      <w:rPr>
        <w:spacing w:val="3"/>
      </w:rPr>
      <w:t xml:space="preserve">        </w:t>
    </w:r>
    <w:r>
      <w:rPr>
        <w:spacing w:val="3"/>
      </w:rPr>
      <w:t>净资产&lt;100</w:t>
    </w:r>
    <w:r>
      <w:rPr>
        <w:spacing w:val="20"/>
      </w:rPr>
      <w:t xml:space="preserve">  </w:t>
    </w:r>
    <w:r>
      <w:rPr>
        <w:spacing w:val="3"/>
      </w:rPr>
      <w:t>~30%</w:t>
    </w:r>
  </w:p>
  <w:p>
    <w:pPr>
      <w:pStyle w:val="BodyText"/>
      <w:ind w:left="762"/>
      <w:spacing w:before="108" w:line="214" w:lineRule="auto"/>
      <w:rPr>
        <w:sz w:val="20"/>
        <w:szCs w:val="20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195475</wp:posOffset>
          </wp:positionV>
          <wp:extent cx="4578331" cy="6807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578331" cy="68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7"/>
      </w:rPr>
      <w:t>普</w:t>
    </w:r>
    <w:r>
      <w:rPr>
        <w:spacing w:val="-7"/>
      </w:rPr>
      <w:t xml:space="preserve"> </w:t>
    </w:r>
    <w:r>
      <w:rPr>
        <w:spacing w:val="-7"/>
      </w:rPr>
      <w:t>通</w:t>
    </w:r>
    <w:r>
      <w:rPr>
        <w:spacing w:val="5"/>
      </w:rPr>
      <w:t xml:space="preserve"> </w:t>
    </w:r>
    <w:r>
      <w:rPr>
        <w:spacing w:val="-7"/>
      </w:rPr>
      <w:t>农</w:t>
    </w:r>
    <w:r>
      <w:rPr>
        <w:spacing w:val="-7"/>
      </w:rPr>
      <w:t xml:space="preserve"> </w:t>
    </w:r>
    <w:r>
      <w:rPr>
        <w:spacing w:val="-7"/>
      </w:rPr>
      <w:t>民</w:t>
    </w:r>
    <w:r>
      <w:rPr>
        <w:spacing w:val="-7"/>
      </w:rPr>
      <w:t xml:space="preserve">     </w:t>
    </w:r>
    <w:r>
      <w:rPr>
        <w:spacing w:val="-7"/>
      </w:rPr>
      <w:t>力</w:t>
    </w:r>
    <w:r>
      <w:rPr>
        <w:spacing w:val="-7"/>
      </w:rPr>
      <w:t xml:space="preserve">                      </w:t>
    </w:r>
    <w:r>
      <w:rPr>
        <w:sz w:val="20"/>
        <w:szCs w:val="20"/>
        <w:spacing w:val="-7"/>
      </w:rPr>
      <w:t>万</w:t>
    </w:r>
    <w:r>
      <w:rPr>
        <w:sz w:val="20"/>
        <w:szCs w:val="20"/>
        <w:spacing w:val="38"/>
      </w:rPr>
      <w:t xml:space="preserve"> </w:t>
    </w:r>
    <w:r>
      <w:rPr>
        <w:sz w:val="20"/>
        <w:szCs w:val="20"/>
        <w:spacing w:val="-7"/>
      </w:rPr>
      <w:t>，</w:t>
    </w:r>
    <w:r>
      <w:rPr>
        <w:sz w:val="20"/>
        <w:szCs w:val="20"/>
        <w:spacing w:val="-7"/>
      </w:rPr>
      <w:t xml:space="preserve"> </w:t>
    </w:r>
    <w:r>
      <w:rPr>
        <w:sz w:val="20"/>
        <w:szCs w:val="20"/>
        <w:spacing w:val="-7"/>
      </w:rPr>
      <w:t>低</w:t>
    </w:r>
    <w:r>
      <w:rPr>
        <w:sz w:val="20"/>
        <w:szCs w:val="20"/>
        <w:spacing w:val="17"/>
      </w:rPr>
      <w:t xml:space="preserve"> </w:t>
    </w:r>
    <w:r>
      <w:rPr>
        <w:sz w:val="20"/>
        <w:szCs w:val="20"/>
        <w:spacing w:val="-7"/>
      </w:rPr>
      <w:t>储</w:t>
    </w:r>
    <w:r>
      <w:rPr>
        <w:sz w:val="20"/>
        <w:szCs w:val="20"/>
        <w:spacing w:val="19"/>
      </w:rPr>
      <w:t xml:space="preserve"> </w:t>
    </w:r>
    <w:r>
      <w:rPr>
        <w:sz w:val="20"/>
        <w:szCs w:val="20"/>
        <w:spacing w:val="-7"/>
      </w:rPr>
      <w:t>蓄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yperlink" Target="http://xqdoc.imedao.com/15b7c7377ef22643fd767afc.pdf)" TargetMode="External"/><Relationship Id="rId6" Type="http://schemas.openxmlformats.org/officeDocument/2006/relationships/hyperlink" Target="http://hprc.cssn.cn/gsyj/shs/shxss/202211/P020221125409740211070.p" TargetMode="External"/><Relationship Id="rId5" Type="http://schemas.openxmlformats.org/officeDocument/2006/relationships/hyperlink" Target="https://res.hurun.net/file/20250103/20250103095634246.pdf)" TargetMode="External"/><Relationship Id="rId4" Type="http://schemas.openxmlformats.org/officeDocument/2006/relationships/hyperlink" Target="https://www.stats.gov.cn/sj/zxfb/202502/t20250228_1958817.html)" TargetMode="External"/><Relationship Id="rId3" Type="http://schemas.openxmlformats.org/officeDocument/2006/relationships/header" Target="header2.xml"/><Relationship Id="rId2" Type="http://schemas.openxmlformats.org/officeDocument/2006/relationships/header" Target="header1.xml"/><Relationship Id="rId10" Type="http://schemas.openxmlformats.org/officeDocument/2006/relationships/fontTable" Target="fontTable.xm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2026-03-15T23:56:10</vt:filetime>
  </property>
  <property fmtid="{D5CDD505-2E9C-101B-9397-08002B2CF9AE}" pid="4" name="UsrData">
    <vt:lpwstr>69b6d6986314910020303bb6wl</vt:lpwstr>
  </property>
</Properties>
</file>