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4"/>
        <w:spacing w:before="60" w:line="221" w:lineRule="auto"/>
        <w:outlineLvl w:val="0"/>
        <w:rPr>
          <w:sz w:val="30"/>
          <w:szCs w:val="30"/>
        </w:rPr>
      </w:pPr>
      <w:r>
        <w:rPr>
          <w:sz w:val="30"/>
          <w:szCs w:val="30"/>
          <w:b/>
          <w:bCs/>
          <w:spacing w:val="-4"/>
        </w:rPr>
        <w:t>中国不同收入阶层的概况</w:t>
      </w:r>
    </w:p>
    <w:p>
      <w:pPr>
        <w:pStyle w:val="BodyText"/>
        <w:spacing w:before="222" w:line="338" w:lineRule="auto"/>
        <w:jc w:val="both"/>
        <w:rPr/>
      </w:pPr>
      <w:r>
        <w:rPr>
          <w:spacing w:val="15"/>
        </w:rPr>
        <w:t>中国社会收入阶层大致可以分为低收入群体、中低收入群体、中等收入(广义中产)群体、高收</w:t>
      </w:r>
      <w:r>
        <w:rPr>
          <w:spacing w:val="16"/>
        </w:rPr>
        <w:t xml:space="preserve"> </w:t>
      </w:r>
      <w:r>
        <w:rPr>
          <w:spacing w:val="10"/>
        </w:rPr>
        <w:t>入群体和富裕阶层。划分标准因机构和年份不同而有差异，通常基于家庭年收入、资产、职</w:t>
      </w:r>
      <w:r>
        <w:rPr>
          <w:spacing w:val="9"/>
        </w:rPr>
        <w:t>业等</w:t>
      </w:r>
      <w:r>
        <w:rPr/>
        <w:t xml:space="preserve"> </w:t>
      </w:r>
      <w:r>
        <w:rPr>
          <w:spacing w:val="16"/>
        </w:rPr>
        <w:t>综合考虑。以下是2025年左右的大致情况(数据基于主流报告和统计趋势):</w:t>
      </w:r>
    </w:p>
    <w:p>
      <w:pPr>
        <w:pStyle w:val="BodyText"/>
        <w:ind w:left="343"/>
        <w:spacing w:before="127" w:line="213" w:lineRule="auto"/>
        <w:rPr/>
      </w:pPr>
      <w:r>
        <w:rPr>
          <w:rFonts w:ascii="SimSun" w:hAnsi="SimSun" w:eastAsia="SimSun" w:cs="SimSun"/>
          <w:b/>
          <w:bCs/>
          <w:spacing w:val="14"/>
        </w:rPr>
        <w:t>1.</w:t>
      </w:r>
      <w:r>
        <w:rPr>
          <w:rFonts w:ascii="SimSun" w:hAnsi="SimSun" w:eastAsia="SimSun" w:cs="SimSun"/>
          <w:spacing w:val="-2"/>
        </w:rPr>
        <w:t xml:space="preserve"> </w:t>
      </w:r>
      <w:r>
        <w:rPr>
          <w:b/>
          <w:bCs/>
          <w:spacing w:val="14"/>
        </w:rPr>
        <w:t>低收入群体</w:t>
      </w:r>
      <w:r>
        <w:rPr>
          <w:spacing w:val="14"/>
        </w:rPr>
        <w:t xml:space="preserve"> </w:t>
      </w:r>
      <w:r>
        <w:rPr>
          <w:spacing w:val="14"/>
        </w:rPr>
        <w:t>(占比最大，约占总人口50%以上)</w:t>
      </w:r>
    </w:p>
    <w:p>
      <w:pPr>
        <w:pStyle w:val="BodyText"/>
        <w:ind w:left="1029"/>
        <w:spacing w:before="264" w:line="213" w:lineRule="auto"/>
        <w:rPr/>
      </w:pPr>
      <w:r>
        <w:rPr>
          <w:spacing w:val="9"/>
        </w:rPr>
        <w:t>·</w:t>
      </w:r>
      <w:r>
        <w:rPr>
          <w:spacing w:val="-86"/>
        </w:rPr>
        <w:t xml:space="preserve"> </w:t>
      </w:r>
      <w:r>
        <w:rPr>
          <w:spacing w:val="9"/>
        </w:rPr>
        <w:t>月收入一般在3000元以下，年家庭收入10万元</w:t>
      </w:r>
      <w:r>
        <w:rPr>
          <w:spacing w:val="8"/>
        </w:rPr>
        <w:t>左右或更低。</w:t>
      </w:r>
    </w:p>
    <w:p>
      <w:pPr>
        <w:pStyle w:val="BodyText"/>
        <w:ind w:left="1029"/>
        <w:spacing w:before="284" w:line="213" w:lineRule="auto"/>
        <w:rPr/>
      </w:pPr>
      <w:r>
        <w:rPr>
          <w:spacing w:val="6"/>
        </w:rPr>
        <w:t>·</w:t>
      </w:r>
      <w:r>
        <w:rPr>
          <w:spacing w:val="-92"/>
        </w:rPr>
        <w:t xml:space="preserve"> </w:t>
      </w:r>
      <w:r>
        <w:rPr>
          <w:spacing w:val="6"/>
        </w:rPr>
        <w:t>主要从事体力劳动、基层服务等工作，如工厂</w:t>
      </w:r>
      <w:r>
        <w:rPr>
          <w:spacing w:val="5"/>
        </w:rPr>
        <w:t>工人、农民工、低端服务业。</w:t>
      </w:r>
    </w:p>
    <w:p>
      <w:pPr>
        <w:pStyle w:val="BodyText"/>
        <w:ind w:left="1029"/>
        <w:spacing w:before="265" w:line="213" w:lineRule="auto"/>
        <w:rPr/>
      </w:pPr>
      <w:r>
        <w:rPr>
          <w:spacing w:val="6"/>
        </w:rPr>
        <w:t>·</w:t>
      </w:r>
      <w:r>
        <w:rPr>
          <w:spacing w:val="-88"/>
        </w:rPr>
        <w:t xml:space="preserve"> </w:t>
      </w:r>
      <w:r>
        <w:rPr>
          <w:spacing w:val="6"/>
        </w:rPr>
        <w:t>财力有限，基本生活开支占大部分，储蓄少，几乎无大额资产，生活压力较大。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343"/>
        <w:spacing w:before="75" w:line="221" w:lineRule="auto"/>
        <w:rPr/>
      </w:pPr>
      <w:r>
        <w:rPr>
          <w:rFonts w:ascii="SimSun" w:hAnsi="SimSun" w:eastAsia="SimSun" w:cs="SimSun"/>
          <w:b/>
          <w:bCs/>
          <w:spacing w:val="16"/>
        </w:rPr>
        <w:t>2.</w:t>
      </w:r>
      <w:r>
        <w:rPr>
          <w:rFonts w:ascii="SimSun" w:hAnsi="SimSun" w:eastAsia="SimSun" w:cs="SimSun"/>
          <w:spacing w:val="16"/>
        </w:rPr>
        <w:t xml:space="preserve"> </w:t>
      </w:r>
      <w:r>
        <w:rPr>
          <w:b/>
          <w:bCs/>
          <w:spacing w:val="16"/>
        </w:rPr>
        <w:t>中低收入群体</w:t>
      </w:r>
      <w:r>
        <w:rPr>
          <w:spacing w:val="16"/>
        </w:rPr>
        <w:t xml:space="preserve"> </w:t>
      </w:r>
      <w:r>
        <w:rPr>
          <w:spacing w:val="16"/>
        </w:rPr>
        <w:t>(占比约30-40%)</w:t>
      </w:r>
    </w:p>
    <w:p>
      <w:pPr>
        <w:pStyle w:val="BodyText"/>
        <w:ind w:left="1029"/>
        <w:spacing w:before="269" w:line="213" w:lineRule="auto"/>
        <w:rPr/>
      </w:pPr>
      <w:r>
        <w:rPr>
          <w:spacing w:val="14"/>
        </w:rPr>
        <w:t>·</w:t>
      </w:r>
      <w:r>
        <w:rPr>
          <w:spacing w:val="-72"/>
        </w:rPr>
        <w:t xml:space="preserve"> </w:t>
      </w:r>
      <w:r>
        <w:rPr>
          <w:spacing w:val="14"/>
        </w:rPr>
        <w:t>月收入3000-8000元，年家庭收入10-20万元左右。</w:t>
      </w:r>
    </w:p>
    <w:p>
      <w:pPr>
        <w:pStyle w:val="BodyText"/>
        <w:ind w:left="1029"/>
        <w:spacing w:before="284" w:line="221" w:lineRule="auto"/>
        <w:rPr/>
      </w:pPr>
      <w:r>
        <w:rPr>
          <w:spacing w:val="2"/>
        </w:rPr>
        <w:t>·</w:t>
      </w:r>
      <w:r>
        <w:rPr>
          <w:spacing w:val="-80"/>
        </w:rPr>
        <w:t xml:space="preserve"> </w:t>
      </w:r>
      <w:r>
        <w:rPr>
          <w:spacing w:val="2"/>
        </w:rPr>
        <w:t>多为普通上班族、基层白领、小店主等。</w:t>
      </w:r>
    </w:p>
    <w:p>
      <w:pPr>
        <w:pStyle w:val="BodyText"/>
        <w:ind w:left="1188" w:right="14" w:hanging="159"/>
        <w:spacing w:before="236" w:line="286" w:lineRule="auto"/>
        <w:rPr/>
      </w:pPr>
      <w:r>
        <w:rPr>
          <w:spacing w:val="13"/>
        </w:rPr>
        <w:t>·</w:t>
      </w:r>
      <w:r>
        <w:rPr>
          <w:spacing w:val="-84"/>
        </w:rPr>
        <w:t xml:space="preserve"> </w:t>
      </w:r>
      <w:r>
        <w:rPr>
          <w:spacing w:val="13"/>
        </w:rPr>
        <w:t>有基本储蓄，能满足日常消费，但大额支出(如买房买车)需贷款或积累多年。资产</w:t>
      </w:r>
      <w:r>
        <w:rPr/>
        <w:t xml:space="preserve"> </w:t>
      </w:r>
      <w:r>
        <w:rPr>
          <w:spacing w:val="7"/>
        </w:rPr>
        <w:t>主要是一套小户型住房或无房。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339"/>
        <w:spacing w:before="74" w:line="221" w:lineRule="auto"/>
        <w:rPr/>
      </w:pPr>
      <w:r>
        <w:rPr>
          <w:rFonts w:ascii="SimSun" w:hAnsi="SimSun" w:eastAsia="SimSun" w:cs="SimSun"/>
          <w:spacing w:val="23"/>
        </w:rPr>
        <w:t>3. </w:t>
      </w:r>
      <w:r>
        <w:rPr>
          <w:spacing w:val="23"/>
        </w:rPr>
        <w:t>中等收入群体(广义中产)</w:t>
      </w:r>
      <w:r>
        <w:rPr>
          <w:spacing w:val="126"/>
        </w:rPr>
        <w:t xml:space="preserve"> </w:t>
      </w:r>
      <w:r>
        <w:rPr>
          <w:spacing w:val="23"/>
        </w:rPr>
        <w:t>占比约30%,人数约4亿人)</w:t>
      </w:r>
    </w:p>
    <w:p>
      <w:pPr>
        <w:pStyle w:val="BodyText"/>
        <w:ind w:left="1029"/>
        <w:spacing w:before="256" w:line="222" w:lineRule="auto"/>
        <w:rPr/>
      </w:pPr>
      <w:r>
        <w:rPr>
          <w:spacing w:val="12"/>
        </w:rPr>
        <w:t>·</w:t>
      </w:r>
      <w:r>
        <w:rPr>
          <w:spacing w:val="-88"/>
        </w:rPr>
        <w:t xml:space="preserve"> </w:t>
      </w:r>
      <w:r>
        <w:rPr>
          <w:spacing w:val="12"/>
        </w:rPr>
        <w:t>年家庭收入大致10-30万元(城镇中位数约15-</w:t>
      </w:r>
      <w:r>
        <w:rPr>
          <w:spacing w:val="11"/>
        </w:rPr>
        <w:t>25万元)。</w:t>
      </w:r>
    </w:p>
    <w:p>
      <w:pPr>
        <w:pStyle w:val="BodyText"/>
        <w:ind w:left="1029"/>
        <w:spacing w:before="263" w:line="213" w:lineRule="auto"/>
        <w:rPr/>
      </w:pPr>
      <w:r>
        <w:rPr>
          <w:spacing w:val="1"/>
        </w:rPr>
        <w:t>·</w:t>
      </w:r>
      <w:r>
        <w:rPr>
          <w:spacing w:val="-89"/>
        </w:rPr>
        <w:t xml:space="preserve"> </w:t>
      </w:r>
      <w:r>
        <w:rPr>
          <w:spacing w:val="1"/>
        </w:rPr>
        <w:t>这部分是国家常说的“中等收入群体”,生活相对稳定，但不算富裕。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343"/>
        <w:spacing w:before="75" w:line="221" w:lineRule="auto"/>
        <w:rPr/>
      </w:pPr>
      <w:r>
        <w:rPr>
          <w:rFonts w:ascii="SimSun" w:hAnsi="SimSun" w:eastAsia="SimSun" w:cs="SimSun"/>
          <w:b/>
          <w:bCs/>
          <w:spacing w:val="12"/>
        </w:rPr>
        <w:t>4.</w:t>
      </w:r>
      <w:r>
        <w:rPr>
          <w:rFonts w:ascii="SimSun" w:hAnsi="SimSun" w:eastAsia="SimSun" w:cs="SimSun"/>
          <w:spacing w:val="-11"/>
        </w:rPr>
        <w:t xml:space="preserve"> </w:t>
      </w:r>
      <w:r>
        <w:rPr>
          <w:b/>
          <w:bCs/>
          <w:spacing w:val="12"/>
        </w:rPr>
        <w:t>高收入群体</w:t>
      </w:r>
      <w:r>
        <w:rPr>
          <w:spacing w:val="12"/>
        </w:rPr>
        <w:t xml:space="preserve"> </w:t>
      </w:r>
      <w:r>
        <w:rPr>
          <w:spacing w:val="12"/>
        </w:rPr>
        <w:t>(占比约5-</w:t>
      </w:r>
      <w:r>
        <w:rPr>
          <w:spacing w:val="-62"/>
        </w:rPr>
        <w:t xml:space="preserve"> </w:t>
      </w:r>
      <w:r>
        <w:rPr>
          <w:spacing w:val="12"/>
        </w:rPr>
        <w:t>10%)</w:t>
      </w:r>
    </w:p>
    <w:p>
      <w:pPr>
        <w:pStyle w:val="BodyText"/>
        <w:ind w:left="1029"/>
        <w:spacing w:before="269" w:line="222" w:lineRule="auto"/>
        <w:rPr/>
      </w:pPr>
      <w:r>
        <w:rPr>
          <w:spacing w:val="4"/>
        </w:rPr>
        <w:t>·</w:t>
      </w:r>
      <w:r>
        <w:rPr>
          <w:spacing w:val="-81"/>
        </w:rPr>
        <w:t xml:space="preserve"> </w:t>
      </w:r>
      <w:r>
        <w:rPr>
          <w:spacing w:val="4"/>
        </w:rPr>
        <w:t>年家庭收入30-100万元。</w:t>
      </w:r>
    </w:p>
    <w:p>
      <w:pPr>
        <w:pStyle w:val="BodyText"/>
        <w:ind w:left="1029"/>
        <w:spacing w:before="263" w:line="221" w:lineRule="auto"/>
        <w:rPr/>
      </w:pPr>
      <w:r>
        <w:rPr>
          <w:spacing w:val="3"/>
        </w:rPr>
        <w:t>·</w:t>
      </w:r>
      <w:r>
        <w:rPr>
          <w:spacing w:val="-84"/>
        </w:rPr>
        <w:t xml:space="preserve"> </w:t>
      </w:r>
      <w:r>
        <w:rPr>
          <w:spacing w:val="3"/>
        </w:rPr>
        <w:t>多为中高层管理人员、专业人士、企业主等。</w:t>
      </w:r>
    </w:p>
    <w:p>
      <w:pPr>
        <w:pStyle w:val="BodyText"/>
        <w:ind w:left="1029"/>
        <w:spacing w:before="264" w:line="220" w:lineRule="auto"/>
        <w:rPr/>
      </w:pPr>
      <w:r>
        <w:rPr>
          <w:spacing w:val="12"/>
        </w:rPr>
        <w:t>·</w:t>
      </w:r>
      <w:r>
        <w:rPr>
          <w:spacing w:val="-81"/>
        </w:rPr>
        <w:t xml:space="preserve"> </w:t>
      </w:r>
      <w:r>
        <w:rPr>
          <w:spacing w:val="12"/>
        </w:rPr>
        <w:t>有较好资产(如多套房、投资),消费能力强。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339"/>
        <w:spacing w:before="75" w:line="221" w:lineRule="auto"/>
        <w:rPr/>
      </w:pPr>
      <w:r>
        <w:rPr>
          <w:rFonts w:ascii="SimSun" w:hAnsi="SimSun" w:eastAsia="SimSun" w:cs="SimSun"/>
          <w:spacing w:val="22"/>
        </w:rPr>
        <w:t>5.</w:t>
      </w:r>
      <w:r>
        <w:rPr>
          <w:rFonts w:ascii="SimSun" w:hAnsi="SimSun" w:eastAsia="SimSun" w:cs="SimSun"/>
          <w:spacing w:val="-10"/>
        </w:rPr>
        <w:t xml:space="preserve"> </w:t>
      </w:r>
      <w:r>
        <w:rPr>
          <w:spacing w:val="22"/>
        </w:rPr>
        <w:t>富裕阶层(占比1-2%)</w:t>
      </w:r>
    </w:p>
    <w:p>
      <w:pPr>
        <w:pStyle w:val="BodyText"/>
        <w:ind w:left="1029"/>
        <w:spacing w:before="245" w:line="213" w:lineRule="auto"/>
        <w:rPr/>
      </w:pPr>
      <w:r>
        <w:rPr>
          <w:spacing w:val="5"/>
        </w:rPr>
        <w:t>·</w:t>
      </w:r>
      <w:r>
        <w:rPr>
          <w:spacing w:val="-91"/>
        </w:rPr>
        <w:t xml:space="preserve"> </w:t>
      </w:r>
      <w:r>
        <w:rPr>
          <w:spacing w:val="5"/>
        </w:rPr>
        <w:t>年家庭收入100万元以上，净资产千万级。</w:t>
      </w:r>
    </w:p>
    <w:p>
      <w:pPr>
        <w:pStyle w:val="BodyText"/>
        <w:ind w:left="1029"/>
        <w:spacing w:before="274" w:line="213" w:lineRule="auto"/>
        <w:rPr/>
      </w:pPr>
      <w:r>
        <w:rPr>
          <w:spacing w:val="4"/>
        </w:rPr>
        <w:t>·</w:t>
      </w:r>
      <w:r>
        <w:rPr>
          <w:spacing w:val="-86"/>
        </w:rPr>
        <w:t xml:space="preserve"> </w:t>
      </w:r>
      <w:r>
        <w:rPr>
          <w:spacing w:val="4"/>
        </w:rPr>
        <w:t>企业家、高管、投资成功者等，财富积累多，生活高端。</w:t>
      </w:r>
    </w:p>
    <w:p>
      <w:pPr>
        <w:pStyle w:val="BodyText"/>
        <w:spacing w:before="316" w:line="350" w:lineRule="auto"/>
        <w:rPr/>
      </w:pPr>
      <w:r>
        <w:rPr>
          <w:spacing w:val="4"/>
        </w:rPr>
        <w:t>整体来说，中国收入分布呈“金字塔”形，低中收入占绝大多数，真正富裕的极少。城镇居民收入</w:t>
      </w:r>
      <w:r>
        <w:rPr>
          <w:spacing w:val="17"/>
        </w:rPr>
        <w:t xml:space="preserve"> </w:t>
      </w:r>
      <w:r>
        <w:rPr>
          <w:spacing w:val="5"/>
        </w:rPr>
        <w:t>高于农村，</w:t>
      </w:r>
      <w:r>
        <w:rPr>
          <w:spacing w:val="-57"/>
        </w:rPr>
        <w:t xml:space="preserve"> </w:t>
      </w:r>
      <w:r>
        <w:rPr>
          <w:spacing w:val="5"/>
        </w:rPr>
        <w:t>一线城市远高于中小城市。</w:t>
      </w:r>
    </w:p>
    <w:p>
      <w:pPr>
        <w:spacing w:line="350" w:lineRule="auto"/>
        <w:sectPr>
          <w:pgSz w:w="12240" w:h="15840"/>
          <w:pgMar w:top="1114" w:right="1179" w:bottom="0" w:left="980" w:header="0" w:footer="0" w:gutter="0"/>
        </w:sectPr>
        <w:rPr/>
      </w:pPr>
    </w:p>
    <w:p>
      <w:pPr>
        <w:pStyle w:val="BodyText"/>
        <w:ind w:left="119"/>
        <w:spacing w:before="60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2"/>
        </w:rPr>
        <w:t>重点：中产群体的情况</w:t>
      </w:r>
    </w:p>
    <w:p>
      <w:pPr>
        <w:pStyle w:val="BodyText"/>
        <w:spacing w:before="242" w:line="221" w:lineRule="auto"/>
        <w:rPr/>
      </w:pPr>
      <w:r>
        <w:rPr>
          <w:spacing w:val="-5"/>
        </w:rPr>
        <w:t>“中产”有宽严两种定义：</w:t>
      </w:r>
    </w:p>
    <w:p>
      <w:pPr>
        <w:pStyle w:val="BodyText"/>
        <w:ind w:left="474"/>
        <w:spacing w:before="244" w:line="213" w:lineRule="auto"/>
        <w:rPr/>
      </w:pPr>
      <w:r>
        <w:rPr>
          <w:spacing w:val="19"/>
        </w:rPr>
        <w:t>·</w:t>
      </w:r>
      <w:r>
        <w:rPr>
          <w:spacing w:val="-79"/>
        </w:rPr>
        <w:t xml:space="preserve"> </w:t>
      </w:r>
      <w:r>
        <w:rPr>
          <w:spacing w:val="19"/>
        </w:rPr>
        <w:t>广义中产(中等收入群体):约4亿人，占总人口近30%,是目前中国规模最大的中产层。</w:t>
      </w:r>
    </w:p>
    <w:p>
      <w:pPr>
        <w:pStyle w:val="BodyText"/>
        <w:ind w:left="614" w:right="411" w:hanging="140"/>
        <w:spacing w:before="254" w:line="300" w:lineRule="auto"/>
        <w:rPr/>
      </w:pPr>
      <w:r>
        <w:rPr>
          <w:spacing w:val="16"/>
        </w:rPr>
        <w:t>·</w:t>
      </w:r>
      <w:r>
        <w:rPr>
          <w:spacing w:val="-79"/>
        </w:rPr>
        <w:t xml:space="preserve"> </w:t>
      </w:r>
      <w:r>
        <w:rPr>
          <w:spacing w:val="16"/>
        </w:rPr>
        <w:t>严格中产(更常见的社会认知):家庭年收入35万元以上、净资产300万元以上，只有约</w:t>
      </w:r>
      <w:r>
        <w:rPr/>
        <w:t xml:space="preserve"> </w:t>
      </w:r>
      <w:r>
        <w:rPr>
          <w:spacing w:val="25"/>
        </w:rPr>
        <w:t>3000-4000万户(约1-1.5亿人),占比不到10%。</w:t>
      </w:r>
    </w:p>
    <w:p>
      <w:pPr>
        <w:pStyle w:val="BodyText"/>
        <w:ind w:left="115"/>
        <w:spacing w:before="312" w:line="220" w:lineRule="auto"/>
        <w:rPr/>
      </w:pPr>
      <w:r>
        <w:rPr>
          <w:spacing w:val="6"/>
        </w:rPr>
        <w:t>下面主要说严格意义上的中产(大家通常理解的“有房有车、体面生活”那一类):</w:t>
      </w:r>
    </w:p>
    <w:p>
      <w:pPr>
        <w:pStyle w:val="BodyText"/>
        <w:ind w:left="478"/>
        <w:spacing w:before="254" w:line="222" w:lineRule="auto"/>
        <w:rPr/>
      </w:pPr>
      <w:r>
        <w:rPr>
          <w:b/>
          <w:bCs/>
          <w:spacing w:val="-18"/>
        </w:rPr>
        <w:t>·</w:t>
      </w:r>
      <w:r>
        <w:rPr>
          <w:spacing w:val="-94"/>
        </w:rPr>
        <w:t xml:space="preserve"> </w:t>
      </w:r>
      <w:r>
        <w:rPr>
          <w:b/>
          <w:bCs/>
          <w:spacing w:val="-18"/>
        </w:rPr>
        <w:t>收入水平：</w:t>
      </w:r>
    </w:p>
    <w:p>
      <w:pPr>
        <w:pStyle w:val="BodyText"/>
        <w:ind w:left="615" w:right="15"/>
        <w:spacing w:before="157" w:line="339" w:lineRule="auto"/>
        <w:rPr/>
      </w:pPr>
      <w:r>
        <w:rPr>
          <w:spacing w:val="12"/>
        </w:rPr>
        <w:t>家庭年收入通常35万元以上(月收入约3万元起，</w:t>
      </w:r>
      <w:r>
        <w:rPr>
          <w:spacing w:val="91"/>
        </w:rPr>
        <w:t xml:space="preserve"> </w:t>
      </w:r>
      <w:r>
        <w:rPr>
          <w:spacing w:val="12"/>
        </w:rPr>
        <w:t>一线城市更高)。个人年税后收入20-50万</w:t>
      </w:r>
      <w:r>
        <w:rPr/>
        <w:t xml:space="preserve"> </w:t>
      </w:r>
      <w:r>
        <w:rPr>
          <w:spacing w:val="6"/>
        </w:rPr>
        <w:t>元算典型中产。</w:t>
      </w:r>
    </w:p>
    <w:p>
      <w:pPr>
        <w:pStyle w:val="BodyText"/>
        <w:ind w:left="478"/>
        <w:spacing w:before="102" w:line="222" w:lineRule="auto"/>
        <w:rPr/>
      </w:pPr>
      <w:r>
        <w:rPr>
          <w:b/>
          <w:bCs/>
          <w:spacing w:val="-14"/>
        </w:rPr>
        <w:t>·</w:t>
      </w:r>
      <w:r>
        <w:rPr>
          <w:spacing w:val="-87"/>
        </w:rPr>
        <w:t xml:space="preserve"> </w:t>
      </w:r>
      <w:r>
        <w:rPr>
          <w:b/>
          <w:bCs/>
          <w:spacing w:val="-14"/>
        </w:rPr>
        <w:t>做什么工作：</w:t>
      </w:r>
    </w:p>
    <w:p>
      <w:pPr>
        <w:pStyle w:val="BodyText"/>
        <w:ind w:left="615" w:right="298"/>
        <w:spacing w:before="147" w:line="334" w:lineRule="auto"/>
        <w:rPr/>
      </w:pPr>
      <w:r>
        <w:rPr>
          <w:spacing w:val="6"/>
        </w:rPr>
        <w:t>多为白领专业人士，如企业中高层管理人员、医生、律师、教师、</w:t>
      </w:r>
      <w:r>
        <w:rPr>
          <w:spacing w:val="5"/>
        </w:rPr>
        <w:t xml:space="preserve"> </w:t>
      </w:r>
      <w:r>
        <w:rPr>
          <w:rFonts w:ascii="Arial" w:hAnsi="Arial" w:eastAsia="Arial" w:cs="Arial"/>
        </w:rPr>
        <w:t>IT</w:t>
      </w:r>
      <w:r>
        <w:rPr>
          <w:rFonts w:ascii="Arial" w:hAnsi="Arial" w:eastAsia="Arial" w:cs="Arial"/>
          <w:spacing w:val="5"/>
        </w:rPr>
        <w:t>/ </w:t>
      </w:r>
      <w:r>
        <w:rPr>
          <w:spacing w:val="5"/>
        </w:rPr>
        <w:t>金融从业者、公务员</w:t>
      </w:r>
      <w:r>
        <w:rPr/>
        <w:t xml:space="preserve"> </w:t>
      </w:r>
      <w:r>
        <w:rPr>
          <w:spacing w:val="9"/>
        </w:rPr>
        <w:t>等。至少一人有本科以上学历，工作稳定、</w:t>
      </w:r>
      <w:r>
        <w:rPr>
          <w:spacing w:val="8"/>
        </w:rPr>
        <w:t>有社保。</w:t>
      </w:r>
    </w:p>
    <w:p>
      <w:pPr>
        <w:pStyle w:val="BodyText"/>
        <w:ind w:left="478"/>
        <w:spacing w:before="123" w:line="221" w:lineRule="auto"/>
        <w:rPr/>
      </w:pPr>
      <w:r>
        <w:rPr>
          <w:b/>
          <w:bCs/>
          <w:spacing w:val="-19"/>
        </w:rPr>
        <w:t>·</w:t>
      </w:r>
      <w:r>
        <w:rPr>
          <w:spacing w:val="-88"/>
        </w:rPr>
        <w:t xml:space="preserve"> </w:t>
      </w:r>
      <w:r>
        <w:rPr>
          <w:b/>
          <w:bCs/>
          <w:spacing w:val="-19"/>
        </w:rPr>
        <w:t>怎么花钱：</w:t>
      </w:r>
    </w:p>
    <w:p>
      <w:pPr>
        <w:pStyle w:val="BodyText"/>
        <w:ind w:left="615" w:right="222"/>
        <w:spacing w:before="150" w:line="334" w:lineRule="auto"/>
        <w:rPr/>
      </w:pPr>
      <w:r>
        <w:rPr>
          <w:spacing w:val="16"/>
        </w:rPr>
        <w:t>消费注重品质和体验：孩子教育(补课、兴趣班每年几万到十几万)、旅游(国内国外年均</w:t>
      </w:r>
      <w:r>
        <w:rPr>
          <w:spacing w:val="2"/>
        </w:rPr>
        <w:t xml:space="preserve"> </w:t>
      </w:r>
      <w:r>
        <w:rPr>
          <w:spacing w:val="10"/>
        </w:rPr>
        <w:t>几次)、健身娱乐、品质餐饮。日常开支较大，注重生活质量，</w:t>
      </w:r>
      <w:r>
        <w:rPr>
          <w:spacing w:val="9"/>
        </w:rPr>
        <w:t>但不像富裕阶层那么奢侈。</w:t>
      </w:r>
    </w:p>
    <w:p>
      <w:pPr>
        <w:pStyle w:val="BodyText"/>
        <w:ind w:left="478"/>
        <w:spacing w:before="135" w:line="222" w:lineRule="auto"/>
        <w:rPr/>
      </w:pPr>
      <w:r>
        <w:rPr>
          <w:b/>
          <w:bCs/>
          <w:spacing w:val="-17"/>
        </w:rPr>
        <w:t>·</w:t>
      </w:r>
      <w:r>
        <w:rPr>
          <w:spacing w:val="-95"/>
        </w:rPr>
        <w:t xml:space="preserve"> </w:t>
      </w:r>
      <w:r>
        <w:rPr>
          <w:b/>
          <w:bCs/>
          <w:spacing w:val="-17"/>
        </w:rPr>
        <w:t>有没有贷款：</w:t>
      </w:r>
    </w:p>
    <w:p>
      <w:pPr>
        <w:pStyle w:val="BodyText"/>
        <w:ind w:left="615" w:right="1"/>
        <w:spacing w:before="134" w:line="347" w:lineRule="auto"/>
        <w:rPr/>
      </w:pPr>
      <w:r>
        <w:rPr>
          <w:spacing w:val="20"/>
        </w:rPr>
        <w:t>非常普遍。大多数有房贷(房产占家庭资产60-70%),可能还有车贷、教育贷。月供往往占</w:t>
      </w:r>
      <w:r>
        <w:rPr>
          <w:spacing w:val="3"/>
        </w:rPr>
        <w:t xml:space="preserve"> </w:t>
      </w:r>
      <w:r>
        <w:rPr>
          <w:spacing w:val="28"/>
        </w:rPr>
        <w:t>收入30-50%,是主要压力来源。</w:t>
      </w:r>
    </w:p>
    <w:p>
      <w:pPr>
        <w:pStyle w:val="BodyText"/>
        <w:ind w:left="478"/>
        <w:spacing w:before="103" w:line="222" w:lineRule="auto"/>
        <w:rPr/>
      </w:pPr>
      <w:r>
        <w:rPr>
          <w:b/>
          <w:bCs/>
          <w:spacing w:val="-11"/>
        </w:rPr>
        <w:t>·</w:t>
      </w:r>
      <w:r>
        <w:rPr>
          <w:spacing w:val="-91"/>
        </w:rPr>
        <w:t xml:space="preserve"> </w:t>
      </w:r>
      <w:r>
        <w:rPr>
          <w:b/>
          <w:bCs/>
          <w:spacing w:val="-11"/>
        </w:rPr>
        <w:t>家里资产怎么样：</w:t>
      </w:r>
    </w:p>
    <w:p>
      <w:pPr>
        <w:pStyle w:val="BodyText"/>
        <w:ind w:left="615" w:right="222"/>
        <w:spacing w:before="135" w:line="332" w:lineRule="auto"/>
        <w:rPr/>
      </w:pPr>
      <w:r>
        <w:rPr>
          <w:spacing w:val="22"/>
        </w:rPr>
        <w:t>核心是房产：通常有一套以上住房(一线城市总价500-1000万+),净资产300-1000万</w:t>
      </w:r>
      <w:r>
        <w:rPr>
          <w:spacing w:val="6"/>
        </w:rPr>
        <w:t xml:space="preserve">  </w:t>
      </w:r>
      <w:r>
        <w:rPr>
          <w:spacing w:val="24"/>
        </w:rPr>
        <w:t>元。金融资产(如股票、基金、存款)占比不高</w:t>
      </w:r>
      <w:r>
        <w:rPr>
          <w:spacing w:val="23"/>
        </w:rPr>
        <w:t>(20-30%)。车子中档以上，存款几万到</w:t>
      </w:r>
      <w:r>
        <w:rPr/>
        <w:t xml:space="preserve"> </w:t>
      </w:r>
      <w:r>
        <w:rPr>
          <w:spacing w:val="13"/>
        </w:rPr>
        <w:t>几十万。整体财富中等，但流动性不强(大部分锁在房子上)。</w:t>
      </w:r>
    </w:p>
    <w:p>
      <w:pPr>
        <w:pStyle w:val="BodyText"/>
        <w:ind w:left="478"/>
        <w:spacing w:before="127" w:line="213" w:lineRule="auto"/>
        <w:rPr/>
      </w:pPr>
      <w:r>
        <w:rPr>
          <w:b/>
          <w:bCs/>
          <w:spacing w:val="-2"/>
        </w:rPr>
        <w:t>·</w:t>
      </w:r>
      <w:r>
        <w:rPr>
          <w:spacing w:val="-95"/>
        </w:rPr>
        <w:t xml:space="preserve"> </w:t>
      </w:r>
      <w:r>
        <w:rPr>
          <w:b/>
          <w:bCs/>
          <w:spacing w:val="-2"/>
        </w:rPr>
        <w:t>大概有多少人，财力属于什么水平：</w:t>
      </w:r>
    </w:p>
    <w:p>
      <w:pPr>
        <w:pStyle w:val="BodyText"/>
        <w:ind w:left="615"/>
        <w:spacing w:before="166" w:line="336" w:lineRule="auto"/>
        <w:rPr/>
      </w:pPr>
      <w:r>
        <w:rPr>
          <w:spacing w:val="15"/>
        </w:rPr>
        <w:t>严格中产约3000多万户(1亿多人),</w:t>
      </w:r>
      <w:r>
        <w:rPr>
          <w:spacing w:val="14"/>
        </w:rPr>
        <w:t>主要集中在一二线城市。财力属于“中等偏上”:生活舒</w:t>
      </w:r>
      <w:r>
        <w:rPr/>
        <w:t xml:space="preserve"> </w:t>
      </w:r>
      <w:r>
        <w:rPr>
          <w:spacing w:val="13"/>
        </w:rPr>
        <w:t>适、不愁吃穿，能应对一般开支，但抗风险能力一般(失业、生病、大修房等可能压力很</w:t>
      </w:r>
    </w:p>
    <w:p>
      <w:pPr>
        <w:pStyle w:val="BodyText"/>
        <w:ind w:left="615"/>
        <w:spacing w:before="15" w:line="213" w:lineRule="auto"/>
        <w:rPr/>
      </w:pPr>
      <w:r>
        <w:rPr>
          <w:spacing w:val="-2"/>
        </w:rPr>
        <w:t>大)。很多人感觉“看起来富裕，实际月光+负债”,属于“脆弱中</w:t>
      </w:r>
      <w:r>
        <w:rPr>
          <w:spacing w:val="-3"/>
        </w:rPr>
        <w:t>产”。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114" w:right="119"/>
        <w:spacing w:before="75" w:line="335" w:lineRule="auto"/>
        <w:jc w:val="both"/>
        <w:rPr/>
      </w:pPr>
      <w:r>
        <w:rPr>
          <w:spacing w:val="10"/>
        </w:rPr>
        <w:t>总的来说，中国中产群体正在扩大，但真正稳定的严格中产仍属少数。他们是消费主力，推动教</w:t>
      </w:r>
      <w:r>
        <w:rPr>
          <w:spacing w:val="17"/>
        </w:rPr>
        <w:t xml:space="preserve"> </w:t>
      </w:r>
      <w:r>
        <w:rPr>
          <w:spacing w:val="11"/>
        </w:rPr>
        <w:t>育、旅游、住房等行业，但也面临房价、教育</w:t>
      </w:r>
      <w:r>
        <w:rPr>
          <w:spacing w:val="10"/>
        </w:rPr>
        <w:t>成本高企的压力。未来随着经济发展，这个群体预</w:t>
      </w:r>
      <w:r>
        <w:rPr/>
        <w:t xml:space="preserve"> </w:t>
      </w:r>
      <w:r>
        <w:rPr>
          <w:spacing w:val="6"/>
        </w:rPr>
        <w:t>计还会继续增长。</w:t>
      </w:r>
    </w:p>
    <w:p>
      <w:pPr>
        <w:spacing w:line="335" w:lineRule="auto"/>
        <w:sectPr>
          <w:pgSz w:w="12240" w:h="15840"/>
          <w:pgMar w:top="1224" w:right="1038" w:bottom="0" w:left="865" w:header="0" w:footer="0" w:gutter="0"/>
        </w:sectPr>
        <w:rPr/>
      </w:pPr>
    </w:p>
    <w:p>
      <w:pPr>
        <w:rPr>
          <w:rFonts w:ascii="Arial"/>
          <w:sz w:val="21"/>
        </w:rPr>
      </w:pPr>
      <w:r/>
    </w:p>
    <w:sectPr>
      <w:headerReference w:type="default" r:id="rId1"/>
      <w:footerReference w:type="default" r:id="rId2"/>
      <w:pgSz w:w="12240" w:h="15840"/>
      <w:pgMar w:top="0" w:right="0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3"/>
      <w:szCs w:val="2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2026-03-15T23:56:06Z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2026-03-15T23:56:07</vt:filetime>
  </property>
  <property fmtid="{D5CDD505-2E9C-101B-9397-08002B2CF9AE}" pid="4" name="UsrData">
    <vt:lpwstr>69b6d6957fe946001fc137e6wl</vt:lpwstr>
  </property>
</Properties>
</file>