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12"/>
        <w:spacing w:before="88" w:line="221" w:lineRule="auto"/>
        <w:outlineLvl w:val="0"/>
        <w:rPr>
          <w:sz w:val="44"/>
          <w:szCs w:val="44"/>
        </w:rPr>
      </w:pPr>
      <w:r>
        <w:rPr>
          <w:sz w:val="44"/>
          <w:szCs w:val="44"/>
          <w:b/>
          <w:bCs/>
          <w:spacing w:val="4"/>
        </w:rPr>
        <w:t>中国社会分层财务图谱与中产阶层深度洞察</w:t>
      </w:r>
    </w:p>
    <w:p>
      <w:pPr>
        <w:spacing w:line="416" w:lineRule="auto"/>
        <w:rPr>
          <w:rFonts w:ascii="Arial"/>
          <w:sz w:val="21"/>
        </w:rPr>
      </w:pPr>
      <w:r/>
    </w:p>
    <w:p>
      <w:pPr>
        <w:pStyle w:val="BodyText"/>
        <w:ind w:left="10"/>
        <w:spacing w:before="114" w:line="222" w:lineRule="auto"/>
        <w:rPr>
          <w:sz w:val="35"/>
          <w:szCs w:val="35"/>
        </w:rPr>
      </w:pPr>
      <w:r>
        <w:rPr>
          <w:sz w:val="35"/>
          <w:szCs w:val="35"/>
          <w:b/>
          <w:bCs/>
          <w:spacing w:val="-1"/>
        </w:rPr>
        <w:t>战略研究报告</w:t>
      </w:r>
    </w:p>
    <w:p>
      <w:pPr>
        <w:pStyle w:val="BodyText"/>
        <w:ind w:left="5"/>
        <w:spacing w:before="219" w:line="221" w:lineRule="auto"/>
        <w:rPr/>
      </w:pPr>
      <w:r>
        <w:rPr>
          <w:spacing w:val="-1"/>
        </w:rPr>
        <w:t>撰写单位：虚拟顶级智库首席分析师</w:t>
      </w:r>
    </w:p>
    <w:p>
      <w:pPr>
        <w:pStyle w:val="BodyText"/>
        <w:ind w:left="5"/>
        <w:spacing w:before="145" w:line="223" w:lineRule="auto"/>
        <w:rPr/>
      </w:pPr>
      <w:r>
        <w:rPr>
          <w:spacing w:val="9"/>
        </w:rPr>
        <w:t>报告日期：2026年1月</w:t>
      </w:r>
    </w:p>
    <w:p>
      <w:pPr>
        <w:spacing w:line="367" w:lineRule="auto"/>
        <w:rPr>
          <w:rFonts w:ascii="Arial"/>
          <w:sz w:val="21"/>
        </w:rPr>
      </w:pPr>
      <w:r/>
    </w:p>
    <w:p>
      <w:pPr>
        <w:pStyle w:val="BodyText"/>
        <w:spacing w:before="98" w:line="222" w:lineRule="auto"/>
        <w:rPr>
          <w:sz w:val="30"/>
          <w:szCs w:val="30"/>
        </w:rPr>
      </w:pPr>
      <w:r>
        <w:rPr>
          <w:sz w:val="30"/>
          <w:szCs w:val="30"/>
          <w:b/>
          <w:bCs/>
          <w:spacing w:val="3"/>
        </w:rPr>
        <w:t>摘要</w:t>
      </w:r>
    </w:p>
    <w:p>
      <w:pPr>
        <w:pStyle w:val="BodyText"/>
        <w:ind w:left="5" w:right="55"/>
        <w:spacing w:before="210" w:line="318" w:lineRule="auto"/>
        <w:rPr/>
      </w:pPr>
      <w:r>
        <w:rPr/>
        <w:t>中国社会分层结构在经济高速发展和现代化进程中呈现出显著的动态变迁特征。据国家统计局于</w:t>
      </w:r>
      <w:r>
        <w:rPr>
          <w:spacing w:val="11"/>
        </w:rPr>
        <w:t xml:space="preserve"> </w:t>
      </w:r>
      <w:r>
        <w:rPr>
          <w:spacing w:val="6"/>
        </w:rPr>
        <w:t>2025年发布的《2024年国民经济和社会发展</w:t>
      </w:r>
      <w:r>
        <w:rPr>
          <w:spacing w:val="5"/>
        </w:rPr>
        <w:t>统计公报》数据显示，全国居民人均可支配收入达</w:t>
      </w:r>
      <w:r>
        <w:rPr/>
        <w:t xml:space="preserve"> </w:t>
      </w:r>
      <w:r>
        <w:rPr>
          <w:spacing w:val="4"/>
        </w:rPr>
        <w:t>41314元，中位数为34707元，反映出收入分配在一定程度上趋向均衡，但阶层间财富差距依然</w:t>
      </w:r>
      <w:r>
        <w:rPr>
          <w:spacing w:val="5"/>
        </w:rPr>
        <w:t xml:space="preserve"> </w:t>
      </w:r>
      <w:r>
        <w:rPr>
          <w:spacing w:val="1"/>
        </w:rPr>
        <w:t>存在。本报告采用广泛流传的九阶层模型作为分析框架，结合国家</w:t>
      </w:r>
      <w:r>
        <w:rPr/>
        <w:t>统计局、中国家庭金融调查</w:t>
      </w:r>
    </w:p>
    <w:p>
      <w:pPr>
        <w:pStyle w:val="BodyText"/>
        <w:ind w:left="5" w:firstLine="149"/>
        <w:spacing w:before="1" w:line="329" w:lineRule="auto"/>
        <w:rPr/>
      </w:pPr>
      <w:r>
        <w:rPr>
          <w:rFonts w:ascii="Times New Roman" w:hAnsi="Times New Roman" w:eastAsia="Times New Roman" w:cs="Times New Roman"/>
        </w:rPr>
        <w:t>(CHFS)</w:t>
      </w:r>
      <w:r>
        <w:rPr>
          <w:rFonts w:ascii="Times New Roman" w:hAnsi="Times New Roman" w:eastAsia="Times New Roman" w:cs="Times New Roman"/>
          <w:spacing w:val="-34"/>
        </w:rPr>
        <w:t xml:space="preserve"> </w:t>
      </w:r>
      <w:r>
        <w:rPr>
          <w:rFonts w:ascii="SimSun" w:hAnsi="SimSun" w:eastAsia="SimSun" w:cs="SimSun"/>
        </w:rPr>
        <w:t>、 </w:t>
      </w:r>
      <w:r>
        <w:rPr/>
        <w:t>麦肯锡消费者报告以及</w:t>
      </w:r>
      <w:r>
        <w:rPr>
          <w:rFonts w:ascii="Times New Roman" w:hAnsi="Times New Roman" w:eastAsia="Times New Roman" w:cs="Times New Roman"/>
        </w:rPr>
        <w:t>UBS</w:t>
      </w:r>
      <w:r>
        <w:rPr/>
        <w:t>全球财富报告等权威</w:t>
      </w:r>
      <w:r>
        <w:rPr>
          <w:spacing w:val="-1"/>
        </w:rPr>
        <w:t>来源，对中国社会阶层财务图谱进行</w:t>
      </w:r>
      <w:r>
        <w:rPr/>
        <w:t xml:space="preserve"> </w:t>
      </w:r>
      <w:r>
        <w:rPr>
          <w:spacing w:val="7"/>
        </w:rPr>
        <w:t>系统梳理，重点深度剖析中产阶层(对应模型中4-6级)的收入水平、净资产构成、金融资产配</w:t>
      </w:r>
      <w:r>
        <w:rPr>
          <w:spacing w:val="3"/>
        </w:rPr>
        <w:t xml:space="preserve">  </w:t>
      </w:r>
      <w:r>
        <w:rPr>
          <w:spacing w:val="-5"/>
        </w:rPr>
        <w:t>置及潜在财务脆弱性。报告旨在为决策层提供参考，推动中等</w:t>
      </w:r>
      <w:r>
        <w:rPr>
          <w:spacing w:val="-6"/>
        </w:rPr>
        <w:t>收入群体扩大，与“共同富裕”战略</w:t>
      </w:r>
      <w:r>
        <w:rPr/>
        <w:t xml:space="preserve"> </w:t>
      </w:r>
      <w:r>
        <w:rPr>
          <w:spacing w:val="-18"/>
        </w:rPr>
        <w:t>和“双循环”发展格局相衔接。</w:t>
      </w:r>
    </w:p>
    <w:p>
      <w:pPr>
        <w:spacing w:line="261" w:lineRule="auto"/>
        <w:rPr>
          <w:rFonts w:ascii="Arial"/>
          <w:sz w:val="21"/>
        </w:rPr>
      </w:pPr>
      <w:r/>
    </w:p>
    <w:p>
      <w:pPr>
        <w:pStyle w:val="BodyText"/>
        <w:ind w:left="10"/>
        <w:spacing w:before="99" w:line="221" w:lineRule="auto"/>
        <w:outlineLvl w:val="2"/>
        <w:rPr>
          <w:sz w:val="30"/>
          <w:szCs w:val="30"/>
        </w:rPr>
      </w:pPr>
      <w:r>
        <w:rPr>
          <w:sz w:val="30"/>
          <w:szCs w:val="30"/>
          <w:b/>
          <w:bCs/>
          <w:spacing w:val="-2"/>
        </w:rPr>
        <w:t>一、中国社会阶层划分的宏观背景</w:t>
      </w:r>
    </w:p>
    <w:p>
      <w:pPr>
        <w:pStyle w:val="BodyText"/>
        <w:ind w:left="9"/>
        <w:spacing w:before="189" w:line="221" w:lineRule="auto"/>
        <w:outlineLvl w:val="3"/>
        <w:rPr/>
      </w:pPr>
      <w:r>
        <w:rPr>
          <w:b/>
          <w:bCs/>
          <w:spacing w:val="-4"/>
        </w:rPr>
        <w:t>(一)社会分层研究的理论与方法论基础</w:t>
      </w:r>
    </w:p>
    <w:p>
      <w:pPr>
        <w:pStyle w:val="BodyText"/>
        <w:ind w:left="5" w:right="44"/>
        <w:spacing w:before="188" w:line="329" w:lineRule="auto"/>
        <w:jc w:val="both"/>
        <w:rPr/>
      </w:pPr>
      <w:r>
        <w:rPr/>
        <w:t>社会分层研究普遍认为，阶层划分需综合考虑职业地位、人力资本溢价、</w:t>
      </w:r>
      <w:r>
        <w:rPr>
          <w:spacing w:val="-1"/>
        </w:rPr>
        <w:t>可支配收入中位数以及</w:t>
      </w:r>
      <w:r>
        <w:rPr/>
        <w:t xml:space="preserve"> </w:t>
      </w:r>
      <w:r>
        <w:rPr>
          <w:spacing w:val="1"/>
        </w:rPr>
        <w:t>净资产构成等多维指标。在中国语境下，阶层固化</w:t>
      </w:r>
      <w:r>
        <w:rPr/>
        <w:t>指数与流动性约束成为关键观测变量。据中国</w:t>
      </w:r>
      <w:r>
        <w:rPr/>
        <w:t xml:space="preserve"> </w:t>
      </w:r>
      <w:r>
        <w:rPr/>
        <w:t>社会科学院相关研究指出，21世纪以来，中国社会阶层结构发生深刻变迁，城乡二元结构弱化，</w:t>
      </w:r>
      <w:r>
        <w:rPr/>
        <w:t xml:space="preserve"> </w:t>
      </w:r>
      <w:r>
        <w:rPr>
          <w:spacing w:val="-1"/>
        </w:rPr>
        <w:t>中等收入群体逐步扩大，但区域发展不均衡性在一定程度上制约了阶层流动。</w:t>
      </w:r>
    </w:p>
    <w:p>
      <w:pPr>
        <w:pStyle w:val="BodyText"/>
        <w:ind w:left="9"/>
        <w:spacing w:before="204" w:line="221" w:lineRule="auto"/>
        <w:outlineLvl w:val="3"/>
        <w:rPr/>
      </w:pPr>
      <w:r>
        <w:rPr>
          <w:b/>
          <w:bCs/>
          <w:spacing w:val="-4"/>
        </w:rPr>
        <w:t>(二)当代中国社会分层的财务维度特征</w:t>
      </w:r>
    </w:p>
    <w:p>
      <w:pPr>
        <w:pStyle w:val="BodyText"/>
        <w:ind w:left="5" w:right="18"/>
        <w:spacing w:before="226" w:line="314" w:lineRule="auto"/>
        <w:jc w:val="both"/>
        <w:rPr/>
      </w:pPr>
      <w:r>
        <w:rPr/>
        <w:t>数据显示，中国家庭净资产构成以实物资产为主，住房资产占比显著高于金融资产。根据中国人</w:t>
      </w:r>
      <w:r>
        <w:rPr>
          <w:spacing w:val="9"/>
        </w:rPr>
        <w:t xml:space="preserve"> </w:t>
      </w:r>
      <w:r>
        <w:rPr/>
        <w:t>民银行及西南财经大学中国家庭金融调查</w:t>
      </w:r>
      <w:r>
        <w:rPr>
          <w:spacing w:val="-14"/>
        </w:rPr>
        <w:t xml:space="preserve"> </w:t>
      </w:r>
      <w:r>
        <w:rPr>
          <w:rFonts w:ascii="SimSun" w:hAnsi="SimSun" w:eastAsia="SimSun" w:cs="SimSun"/>
        </w:rPr>
        <w:t>(CHFS)</w:t>
      </w:r>
      <w:r>
        <w:rPr>
          <w:rFonts w:ascii="SimSun" w:hAnsi="SimSun" w:eastAsia="SimSun" w:cs="SimSun"/>
          <w:spacing w:val="41"/>
        </w:rPr>
        <w:t xml:space="preserve">  </w:t>
      </w:r>
      <w:r>
        <w:rPr/>
        <w:t>历史数据，城镇家庭住房资产占比普遍高达</w:t>
      </w:r>
      <w:r>
        <w:rPr/>
        <w:t xml:space="preserve">  </w:t>
      </w:r>
      <w:r>
        <w:rPr>
          <w:spacing w:val="4"/>
        </w:rPr>
        <w:t>70%左右，金融资产配置比例相对较低。这一特征在不同阶层间呈现明显差异，上层阶层</w:t>
      </w:r>
      <w:r>
        <w:rPr>
          <w:spacing w:val="3"/>
        </w:rPr>
        <w:t>金融资</w:t>
      </w:r>
      <w:r>
        <w:rPr/>
        <w:t xml:space="preserve"> </w:t>
      </w:r>
      <w:r>
        <w:rPr>
          <w:spacing w:val="-2"/>
        </w:rPr>
        <w:t>产占比更高，下层阶层则面临更高的流动性约束。</w:t>
      </w:r>
    </w:p>
    <w:p>
      <w:pPr>
        <w:spacing w:line="285" w:lineRule="auto"/>
        <w:rPr>
          <w:rFonts w:ascii="Arial"/>
          <w:sz w:val="21"/>
        </w:rPr>
      </w:pPr>
      <w:r/>
    </w:p>
    <w:p>
      <w:pPr>
        <w:pStyle w:val="BodyText"/>
        <w:ind w:left="10"/>
        <w:spacing w:before="98" w:line="221" w:lineRule="auto"/>
        <w:outlineLvl w:val="2"/>
        <w:rPr>
          <w:sz w:val="30"/>
          <w:szCs w:val="30"/>
        </w:rPr>
      </w:pPr>
      <w:r>
        <w:rPr>
          <w:sz w:val="30"/>
          <w:szCs w:val="30"/>
          <w:b/>
          <w:bCs/>
          <w:spacing w:val="-3"/>
        </w:rPr>
        <w:t>二、中国社会九阶层模型的框架与构成</w:t>
      </w:r>
    </w:p>
    <w:p>
      <w:pPr>
        <w:pStyle w:val="BodyText"/>
        <w:ind w:left="9"/>
        <w:spacing w:before="210" w:line="221" w:lineRule="auto"/>
        <w:outlineLvl w:val="3"/>
        <w:rPr/>
      </w:pPr>
      <w:r>
        <w:rPr>
          <w:b/>
          <w:bCs/>
          <w:spacing w:val="-4"/>
        </w:rPr>
        <w:t>(一)九阶层模型的具体构成</w:t>
      </w:r>
    </w:p>
    <w:p>
      <w:pPr>
        <w:spacing w:line="221" w:lineRule="auto"/>
        <w:sectPr>
          <w:pgSz w:w="12240" w:h="15840"/>
          <w:pgMar w:top="1148" w:right="1111" w:bottom="0" w:left="974" w:header="0" w:footer="0" w:gutter="0"/>
        </w:sectPr>
        <w:rPr/>
      </w:pPr>
    </w:p>
    <w:p>
      <w:pPr>
        <w:pStyle w:val="BodyText"/>
        <w:spacing w:before="47" w:line="335" w:lineRule="auto"/>
        <w:rPr>
          <w:sz w:val="23"/>
          <w:szCs w:val="23"/>
        </w:rPr>
      </w:pPr>
      <w:r>
        <w:rPr>
          <w:sz w:val="23"/>
          <w:szCs w:val="23"/>
          <w:spacing w:val="7"/>
        </w:rPr>
        <w:t>当代中国社会分层研究中，</w:t>
      </w:r>
      <w:r>
        <w:rPr>
          <w:sz w:val="23"/>
          <w:szCs w:val="23"/>
          <w:spacing w:val="7"/>
        </w:rPr>
        <w:t xml:space="preserve"> </w:t>
      </w:r>
      <w:r>
        <w:rPr>
          <w:sz w:val="23"/>
          <w:szCs w:val="23"/>
          <w:spacing w:val="7"/>
        </w:rPr>
        <w:t>一种广泛流传并具参考价值的九阶层金字塔模型，将社会群体划分为</w:t>
      </w:r>
      <w:r>
        <w:rPr>
          <w:sz w:val="23"/>
          <w:szCs w:val="23"/>
          <w:spacing w:val="1"/>
        </w:rPr>
        <w:t xml:space="preserve">  </w:t>
      </w:r>
      <w:r>
        <w:rPr>
          <w:sz w:val="23"/>
          <w:szCs w:val="23"/>
          <w:spacing w:val="24"/>
        </w:rPr>
        <w:t>上层(1-3级)、中层(4-6级)与下层(7-9级)三大板块。该模</w:t>
      </w:r>
      <w:r>
        <w:rPr>
          <w:sz w:val="23"/>
          <w:szCs w:val="23"/>
          <w:spacing w:val="23"/>
        </w:rPr>
        <w:t>型综合权力、财富与职业因素进</w:t>
      </w:r>
      <w:r>
        <w:rPr>
          <w:sz w:val="23"/>
          <w:szCs w:val="23"/>
        </w:rPr>
        <w:t xml:space="preserve"> </w:t>
      </w:r>
      <w:r>
        <w:rPr>
          <w:sz w:val="23"/>
          <w:szCs w:val="23"/>
          <w:spacing w:val="8"/>
        </w:rPr>
        <w:t>行划分，在一定程度上反映了当前社会结构特征。</w:t>
      </w:r>
    </w:p>
    <w:p>
      <w:pPr>
        <w:pStyle w:val="BodyText"/>
        <w:ind w:left="353"/>
        <w:spacing w:before="143" w:line="221" w:lineRule="auto"/>
        <w:rPr>
          <w:sz w:val="23"/>
          <w:szCs w:val="23"/>
        </w:rPr>
      </w:pPr>
      <w:r>
        <w:rPr>
          <w:rFonts w:ascii="SimSun" w:hAnsi="SimSun" w:eastAsia="SimSun" w:cs="SimSun"/>
          <w:sz w:val="23"/>
          <w:szCs w:val="23"/>
          <w:b/>
          <w:bCs/>
          <w:spacing w:val="13"/>
        </w:rPr>
        <w:t>1.</w:t>
      </w:r>
      <w:r>
        <w:rPr>
          <w:rFonts w:ascii="SimSun" w:hAnsi="SimSun" w:eastAsia="SimSun" w:cs="SimSun"/>
          <w:sz w:val="23"/>
          <w:szCs w:val="23"/>
          <w:spacing w:val="13"/>
        </w:rPr>
        <w:t xml:space="preserve"> </w:t>
      </w:r>
      <w:r>
        <w:rPr>
          <w:sz w:val="23"/>
          <w:szCs w:val="23"/>
          <w:b/>
          <w:bCs/>
          <w:spacing w:val="13"/>
        </w:rPr>
        <w:t>上层社会(1-3级)</w:t>
      </w:r>
    </w:p>
    <w:p>
      <w:pPr>
        <w:pStyle w:val="BodyText"/>
        <w:ind w:left="1029"/>
        <w:spacing w:before="257" w:line="221" w:lineRule="auto"/>
        <w:rPr>
          <w:sz w:val="23"/>
          <w:szCs w:val="23"/>
        </w:rPr>
      </w:pPr>
      <w:r>
        <w:rPr>
          <w:sz w:val="23"/>
          <w:szCs w:val="23"/>
          <w:spacing w:val="-3"/>
        </w:rPr>
        <w:t>·第1级：核心权力精英阶层。</w:t>
      </w:r>
    </w:p>
    <w:p>
      <w:pPr>
        <w:pStyle w:val="BodyText"/>
        <w:ind w:left="1029"/>
        <w:spacing w:before="274" w:line="221" w:lineRule="auto"/>
        <w:rPr>
          <w:sz w:val="23"/>
          <w:szCs w:val="23"/>
        </w:rPr>
      </w:pPr>
      <w:r>
        <w:rPr>
          <w:sz w:val="23"/>
          <w:szCs w:val="23"/>
          <w:spacing w:val="4"/>
        </w:rPr>
        <w:t>·</w:t>
      </w:r>
      <w:r>
        <w:rPr>
          <w:sz w:val="23"/>
          <w:szCs w:val="23"/>
          <w:spacing w:val="-86"/>
        </w:rPr>
        <w:t xml:space="preserve"> </w:t>
      </w:r>
      <w:r>
        <w:rPr>
          <w:sz w:val="23"/>
          <w:szCs w:val="23"/>
          <w:spacing w:val="4"/>
        </w:rPr>
        <w:t>第2级：省部级实权干部、大型权贵家族及顶级富豪。</w:t>
      </w:r>
    </w:p>
    <w:p>
      <w:pPr>
        <w:pStyle w:val="BodyText"/>
        <w:ind w:left="1029"/>
        <w:spacing w:before="265" w:line="221" w:lineRule="auto"/>
        <w:rPr>
          <w:sz w:val="23"/>
          <w:szCs w:val="23"/>
        </w:rPr>
      </w:pPr>
      <w:r>
        <w:rPr>
          <w:sz w:val="23"/>
          <w:szCs w:val="23"/>
          <w:spacing w:val="4"/>
        </w:rPr>
        <w:t>·</w:t>
      </w:r>
      <w:r>
        <w:rPr>
          <w:sz w:val="23"/>
          <w:szCs w:val="23"/>
          <w:spacing w:val="-95"/>
        </w:rPr>
        <w:t xml:space="preserve"> </w:t>
      </w:r>
      <w:r>
        <w:rPr>
          <w:sz w:val="23"/>
          <w:szCs w:val="23"/>
          <w:spacing w:val="4"/>
        </w:rPr>
        <w:t>第3级：</w:t>
      </w:r>
      <w:r>
        <w:rPr>
          <w:sz w:val="23"/>
          <w:szCs w:val="23"/>
          <w:spacing w:val="-66"/>
        </w:rPr>
        <w:t xml:space="preserve"> </w:t>
      </w:r>
      <w:r>
        <w:rPr>
          <w:sz w:val="23"/>
          <w:szCs w:val="23"/>
          <w:spacing w:val="4"/>
        </w:rPr>
        <w:t>一般省部级、副省部级及大型企业主、顶级银</w:t>
      </w:r>
      <w:r>
        <w:rPr>
          <w:sz w:val="23"/>
          <w:szCs w:val="23"/>
          <w:spacing w:val="3"/>
        </w:rPr>
        <w:t>行家。</w:t>
      </w:r>
    </w:p>
    <w:p>
      <w:pPr>
        <w:pStyle w:val="BodyText"/>
        <w:ind w:left="1199"/>
        <w:spacing w:before="135" w:line="213" w:lineRule="auto"/>
        <w:rPr>
          <w:sz w:val="23"/>
          <w:szCs w:val="23"/>
        </w:rPr>
      </w:pPr>
      <w:r>
        <w:rPr>
          <w:sz w:val="23"/>
          <w:szCs w:val="23"/>
          <w:spacing w:val="8"/>
        </w:rPr>
        <w:t>该板块占比极小，但掌控社会资源比例最高。</w:t>
      </w:r>
    </w:p>
    <w:p>
      <w:pPr>
        <w:spacing w:line="264" w:lineRule="auto"/>
        <w:rPr>
          <w:rFonts w:ascii="Arial"/>
          <w:sz w:val="21"/>
        </w:rPr>
      </w:pPr>
      <w:r/>
    </w:p>
    <w:p>
      <w:pPr>
        <w:pStyle w:val="BodyText"/>
        <w:ind w:left="353"/>
        <w:spacing w:before="75" w:line="213" w:lineRule="auto"/>
        <w:rPr>
          <w:sz w:val="23"/>
          <w:szCs w:val="23"/>
        </w:rPr>
      </w:pPr>
      <w:r>
        <w:rPr>
          <w:rFonts w:ascii="SimSun" w:hAnsi="SimSun" w:eastAsia="SimSun" w:cs="SimSun"/>
          <w:sz w:val="23"/>
          <w:szCs w:val="23"/>
          <w:b/>
          <w:bCs/>
          <w:spacing w:val="16"/>
        </w:rPr>
        <w:t>2.</w:t>
      </w:r>
      <w:r>
        <w:rPr>
          <w:rFonts w:ascii="SimSun" w:hAnsi="SimSun" w:eastAsia="SimSun" w:cs="SimSun"/>
          <w:sz w:val="23"/>
          <w:szCs w:val="23"/>
          <w:spacing w:val="-14"/>
        </w:rPr>
        <w:t xml:space="preserve"> </w:t>
      </w:r>
      <w:r>
        <w:rPr>
          <w:sz w:val="23"/>
          <w:szCs w:val="23"/>
          <w:b/>
          <w:bCs/>
          <w:spacing w:val="16"/>
        </w:rPr>
        <w:t>中层社会(4-6级，新中产阶层)</w:t>
      </w:r>
    </w:p>
    <w:p>
      <w:pPr>
        <w:pStyle w:val="BodyText"/>
        <w:ind w:left="1029"/>
        <w:spacing w:before="288" w:line="221" w:lineRule="auto"/>
        <w:rPr>
          <w:sz w:val="23"/>
          <w:szCs w:val="23"/>
        </w:rPr>
      </w:pPr>
      <w:r>
        <w:rPr>
          <w:sz w:val="23"/>
          <w:szCs w:val="23"/>
          <w:spacing w:val="10"/>
        </w:rPr>
        <w:t>·</w:t>
      </w:r>
      <w:r>
        <w:rPr>
          <w:sz w:val="23"/>
          <w:szCs w:val="23"/>
          <w:spacing w:val="-91"/>
        </w:rPr>
        <w:t xml:space="preserve"> </w:t>
      </w:r>
      <w:r>
        <w:rPr>
          <w:sz w:val="23"/>
          <w:szCs w:val="23"/>
          <w:spacing w:val="10"/>
        </w:rPr>
        <w:t>第4级：高端中产(大型企业高管、顶级专业人士、知</w:t>
      </w:r>
      <w:r>
        <w:rPr>
          <w:sz w:val="23"/>
          <w:szCs w:val="23"/>
          <w:spacing w:val="9"/>
        </w:rPr>
        <w:t>名学者等)。</w:t>
      </w:r>
    </w:p>
    <w:p>
      <w:pPr>
        <w:pStyle w:val="BodyText"/>
        <w:ind w:left="1029"/>
        <w:spacing w:before="255" w:line="221" w:lineRule="auto"/>
        <w:rPr>
          <w:sz w:val="23"/>
          <w:szCs w:val="23"/>
        </w:rPr>
      </w:pPr>
      <w:r>
        <w:rPr>
          <w:sz w:val="23"/>
          <w:szCs w:val="23"/>
          <w:spacing w:val="10"/>
        </w:rPr>
        <w:t>·</w:t>
      </w:r>
      <w:r>
        <w:rPr>
          <w:sz w:val="23"/>
          <w:szCs w:val="23"/>
          <w:spacing w:val="-91"/>
        </w:rPr>
        <w:t xml:space="preserve"> </w:t>
      </w:r>
      <w:r>
        <w:rPr>
          <w:sz w:val="23"/>
          <w:szCs w:val="23"/>
          <w:spacing w:val="10"/>
        </w:rPr>
        <w:t>第5级：中端中产(中型企业主、专业技术人员、公务员中</w:t>
      </w:r>
      <w:r>
        <w:rPr>
          <w:sz w:val="23"/>
          <w:szCs w:val="23"/>
          <w:spacing w:val="9"/>
        </w:rPr>
        <w:t>高层等)。</w:t>
      </w:r>
    </w:p>
    <w:p>
      <w:pPr>
        <w:pStyle w:val="BodyText"/>
        <w:ind w:left="1029"/>
        <w:spacing w:before="254" w:line="221" w:lineRule="auto"/>
        <w:rPr>
          <w:sz w:val="23"/>
          <w:szCs w:val="23"/>
        </w:rPr>
      </w:pPr>
      <w:r>
        <w:rPr>
          <w:sz w:val="23"/>
          <w:szCs w:val="23"/>
          <w:spacing w:val="9"/>
        </w:rPr>
        <w:t>·</w:t>
      </w:r>
      <w:r>
        <w:rPr>
          <w:sz w:val="23"/>
          <w:szCs w:val="23"/>
          <w:spacing w:val="-92"/>
        </w:rPr>
        <w:t xml:space="preserve"> </w:t>
      </w:r>
      <w:r>
        <w:rPr>
          <w:sz w:val="23"/>
          <w:szCs w:val="23"/>
          <w:spacing w:val="9"/>
        </w:rPr>
        <w:t>第6级：低端中产(普通白领、教师、医生、小型</w:t>
      </w:r>
      <w:r>
        <w:rPr>
          <w:sz w:val="23"/>
          <w:szCs w:val="23"/>
          <w:spacing w:val="8"/>
        </w:rPr>
        <w:t>企业主等)。</w:t>
      </w:r>
    </w:p>
    <w:p>
      <w:pPr>
        <w:pStyle w:val="BodyText"/>
        <w:ind w:left="1199"/>
        <w:spacing w:before="155" w:line="213" w:lineRule="auto"/>
        <w:rPr>
          <w:sz w:val="23"/>
          <w:szCs w:val="23"/>
        </w:rPr>
      </w:pPr>
      <w:r>
        <w:rPr>
          <w:sz w:val="23"/>
          <w:szCs w:val="23"/>
          <w:spacing w:val="8"/>
        </w:rPr>
        <w:t>该板块被视为社会稳定器，在一定程度上分享经济发展红利。</w:t>
      </w:r>
    </w:p>
    <w:p>
      <w:pPr>
        <w:spacing w:line="254" w:lineRule="auto"/>
        <w:rPr>
          <w:rFonts w:ascii="Arial"/>
          <w:sz w:val="21"/>
        </w:rPr>
      </w:pPr>
      <w:r/>
    </w:p>
    <w:p>
      <w:pPr>
        <w:pStyle w:val="BodyText"/>
        <w:ind w:left="353"/>
        <w:spacing w:before="76" w:line="221" w:lineRule="auto"/>
        <w:rPr>
          <w:sz w:val="23"/>
          <w:szCs w:val="23"/>
        </w:rPr>
      </w:pPr>
      <w:r>
        <w:rPr>
          <w:rFonts w:ascii="SimSun" w:hAnsi="SimSun" w:eastAsia="SimSun" w:cs="SimSun"/>
          <w:sz w:val="23"/>
          <w:szCs w:val="23"/>
          <w:b/>
          <w:bCs/>
          <w:spacing w:val="18"/>
        </w:rPr>
        <w:t>3.</w:t>
      </w:r>
      <w:r>
        <w:rPr>
          <w:rFonts w:ascii="SimSun" w:hAnsi="SimSun" w:eastAsia="SimSun" w:cs="SimSun"/>
          <w:sz w:val="23"/>
          <w:szCs w:val="23"/>
          <w:spacing w:val="-8"/>
        </w:rPr>
        <w:t xml:space="preserve"> </w:t>
      </w:r>
      <w:r>
        <w:rPr>
          <w:sz w:val="23"/>
          <w:szCs w:val="23"/>
          <w:b/>
          <w:bCs/>
          <w:spacing w:val="18"/>
        </w:rPr>
        <w:t>下层社会(7-9级)</w:t>
      </w:r>
    </w:p>
    <w:p>
      <w:pPr>
        <w:pStyle w:val="BodyText"/>
        <w:ind w:left="1029"/>
        <w:spacing w:before="278" w:line="221" w:lineRule="auto"/>
        <w:rPr>
          <w:sz w:val="23"/>
          <w:szCs w:val="23"/>
        </w:rPr>
      </w:pPr>
      <w:r>
        <w:rPr>
          <w:sz w:val="23"/>
          <w:szCs w:val="23"/>
        </w:rPr>
        <w:t>·</w:t>
      </w:r>
      <w:r>
        <w:rPr>
          <w:sz w:val="23"/>
          <w:szCs w:val="23"/>
          <w:spacing w:val="-97"/>
        </w:rPr>
        <w:t xml:space="preserve"> </w:t>
      </w:r>
      <w:r>
        <w:rPr>
          <w:sz w:val="23"/>
          <w:szCs w:val="23"/>
        </w:rPr>
        <w:t>第7级：普通工薪阶层及个体户。</w:t>
      </w:r>
    </w:p>
    <w:p>
      <w:pPr>
        <w:pStyle w:val="BodyText"/>
        <w:ind w:left="1029"/>
        <w:spacing w:before="255" w:line="221" w:lineRule="auto"/>
        <w:rPr>
          <w:sz w:val="23"/>
          <w:szCs w:val="23"/>
        </w:rPr>
      </w:pPr>
      <w:r>
        <w:rPr>
          <w:sz w:val="23"/>
          <w:szCs w:val="23"/>
          <w:spacing w:val="5"/>
        </w:rPr>
        <w:t>·</w:t>
      </w:r>
      <w:r>
        <w:rPr>
          <w:sz w:val="23"/>
          <w:szCs w:val="23"/>
          <w:spacing w:val="-81"/>
        </w:rPr>
        <w:t xml:space="preserve"> </w:t>
      </w:r>
      <w:r>
        <w:rPr>
          <w:sz w:val="23"/>
          <w:szCs w:val="23"/>
          <w:spacing w:val="5"/>
        </w:rPr>
        <w:t>第8级：产业工人、普通服务人员及农民工。</w:t>
      </w:r>
    </w:p>
    <w:p>
      <w:pPr>
        <w:pStyle w:val="BodyText"/>
        <w:ind w:left="1029"/>
        <w:spacing w:before="254" w:line="221" w:lineRule="auto"/>
        <w:rPr>
          <w:sz w:val="23"/>
          <w:szCs w:val="23"/>
        </w:rPr>
      </w:pPr>
      <w:r>
        <w:rPr>
          <w:sz w:val="23"/>
          <w:szCs w:val="23"/>
          <w:spacing w:val="4"/>
        </w:rPr>
        <w:t>·</w:t>
      </w:r>
      <w:r>
        <w:rPr>
          <w:sz w:val="23"/>
          <w:szCs w:val="23"/>
          <w:spacing w:val="-83"/>
        </w:rPr>
        <w:t xml:space="preserve"> </w:t>
      </w:r>
      <w:r>
        <w:rPr>
          <w:sz w:val="23"/>
          <w:szCs w:val="23"/>
          <w:spacing w:val="4"/>
        </w:rPr>
        <w:t>第9级：城市底层失业人口及偏远地区低收入农民。</w:t>
      </w:r>
    </w:p>
    <w:p>
      <w:pPr>
        <w:pStyle w:val="BodyText"/>
        <w:ind w:left="1199"/>
        <w:spacing w:before="155" w:line="213" w:lineRule="auto"/>
        <w:rPr>
          <w:sz w:val="23"/>
          <w:szCs w:val="23"/>
        </w:rPr>
      </w:pPr>
      <w:r>
        <w:rPr>
          <w:sz w:val="23"/>
          <w:szCs w:val="23"/>
          <w:spacing w:val="8"/>
        </w:rPr>
        <w:t>该板块面临生存压力较大，流动性约束突出。</w:t>
      </w:r>
    </w:p>
    <w:p>
      <w:pPr>
        <w:spacing w:line="294" w:lineRule="auto"/>
        <w:rPr>
          <w:rFonts w:ascii="Arial"/>
          <w:sz w:val="21"/>
        </w:rPr>
      </w:pPr>
      <w:r/>
    </w:p>
    <w:p>
      <w:pPr>
        <w:pStyle w:val="BodyText"/>
        <w:ind w:left="3"/>
        <w:spacing w:before="75" w:line="221" w:lineRule="auto"/>
        <w:outlineLvl w:val="4"/>
        <w:rPr>
          <w:sz w:val="23"/>
          <w:szCs w:val="23"/>
        </w:rPr>
      </w:pPr>
      <w:r>
        <w:rPr>
          <w:sz w:val="23"/>
          <w:szCs w:val="23"/>
          <w:b/>
          <w:bCs/>
          <w:spacing w:val="12"/>
        </w:rPr>
        <w:t>(二)九阶层模型的财务对比(表格呈现)</w:t>
      </w:r>
    </w:p>
    <w:p>
      <w:pPr>
        <w:pStyle w:val="BodyText"/>
        <w:spacing w:before="229" w:line="334" w:lineRule="auto"/>
        <w:rPr>
          <w:sz w:val="23"/>
          <w:szCs w:val="23"/>
        </w:rPr>
      </w:pPr>
      <w:r>
        <w:rPr>
          <w:sz w:val="23"/>
          <w:szCs w:val="23"/>
          <w:spacing w:val="12"/>
        </w:rPr>
        <w:t>下表基于国家统计局2024年居民五等份收入分组数据及相关报告估算，展示各板块大致对应的年</w:t>
      </w:r>
      <w:r>
        <w:rPr>
          <w:sz w:val="23"/>
          <w:szCs w:val="23"/>
          <w:spacing w:val="12"/>
        </w:rPr>
        <w:t xml:space="preserve"> </w:t>
      </w:r>
      <w:r>
        <w:rPr>
          <w:sz w:val="23"/>
          <w:szCs w:val="23"/>
          <w:spacing w:val="19"/>
        </w:rPr>
        <w:t>人均可支配收入区间(单位：元，2024年数据):</w:t>
      </w:r>
    </w:p>
    <w:p>
      <w:pPr>
        <w:spacing w:line="334" w:lineRule="auto"/>
        <w:sectPr>
          <w:pgSz w:w="12240" w:h="15840"/>
          <w:pgMar w:top="1241" w:right="1058" w:bottom="0" w:left="980" w:header="0" w:footer="0" w:gutter="0"/>
        </w:sectPr>
        <w:rPr>
          <w:sz w:val="23"/>
          <w:szCs w:val="23"/>
        </w:rPr>
      </w:pPr>
    </w:p>
    <w:p>
      <w:pPr>
        <w:spacing w:line="340" w:lineRule="auto"/>
        <w:rPr>
          <w:rFonts w:ascii="Arial"/>
          <w:sz w:val="21"/>
        </w:rPr>
      </w:pPr>
      <w:r/>
    </w:p>
    <w:p>
      <w:pPr>
        <w:pStyle w:val="BodyText"/>
        <w:ind w:left="3"/>
        <w:spacing w:before="72" w:line="221" w:lineRule="auto"/>
        <w:rPr>
          <w:sz w:val="22"/>
          <w:szCs w:val="22"/>
        </w:rPr>
      </w:pPr>
      <w:r>
        <w:rPr>
          <w:sz w:val="22"/>
          <w:szCs w:val="22"/>
          <w:b/>
          <w:bCs/>
          <w:spacing w:val="-12"/>
        </w:rPr>
        <w:t>阶层板块</w:t>
      </w:r>
    </w:p>
    <w:p>
      <w:pPr>
        <w:spacing w:line="266" w:lineRule="auto"/>
        <w:rPr>
          <w:rFonts w:ascii="Arial"/>
          <w:sz w:val="21"/>
        </w:rPr>
      </w:pPr>
      <w:r/>
    </w:p>
    <w:p>
      <w:pPr>
        <w:pStyle w:val="BodyText"/>
        <w:spacing w:before="72" w:line="221" w:lineRule="auto"/>
        <w:rPr>
          <w:sz w:val="22"/>
          <w:szCs w:val="22"/>
        </w:rPr>
      </w:pPr>
      <w:r>
        <w:rPr>
          <w:sz w:val="22"/>
          <w:szCs w:val="22"/>
          <w:spacing w:val="-8"/>
        </w:rPr>
        <w:t>上层社会</w:t>
      </w:r>
    </w:p>
    <w:p>
      <w:pPr>
        <w:spacing w:line="14" w:lineRule="auto"/>
        <w:rPr>
          <w:rFonts w:ascii="Arial"/>
          <w:sz w:val="2"/>
        </w:rPr>
      </w:pPr>
      <w:r>
        <w:rPr>
          <w:rFonts w:ascii="Arial" w:hAnsi="Arial" w:eastAsia="Arial" w:cs="Arial"/>
          <w:sz w:val="2"/>
          <w:szCs w:val="2"/>
        </w:rPr>
        <w:br w:type="column"/>
      </w:r>
    </w:p>
    <w:p>
      <w:pPr>
        <w:pStyle w:val="BodyText"/>
        <w:ind w:left="3"/>
        <w:spacing w:before="43" w:line="221" w:lineRule="auto"/>
        <w:rPr>
          <w:sz w:val="22"/>
          <w:szCs w:val="22"/>
        </w:rPr>
      </w:pPr>
      <w:r>
        <w:rPr>
          <w:sz w:val="22"/>
          <w:szCs w:val="22"/>
          <w:b/>
          <w:bCs/>
          <w:spacing w:val="-9"/>
        </w:rPr>
        <w:t>对应级</w:t>
      </w:r>
    </w:p>
    <w:p>
      <w:pPr>
        <w:pStyle w:val="BodyText"/>
        <w:spacing w:before="130" w:line="222" w:lineRule="auto"/>
        <w:rPr>
          <w:sz w:val="22"/>
          <w:szCs w:val="22"/>
        </w:rPr>
      </w:pPr>
      <w:r>
        <w:rPr>
          <w:sz w:val="22"/>
          <w:szCs w:val="22"/>
        </w:rPr>
        <w:t>别</w:t>
      </w:r>
    </w:p>
    <w:p>
      <w:pPr>
        <w:spacing w:line="241" w:lineRule="auto"/>
        <w:rPr>
          <w:rFonts w:ascii="Arial"/>
          <w:sz w:val="21"/>
        </w:rPr>
      </w:pPr>
      <w:r/>
    </w:p>
    <w:p>
      <w:pPr>
        <w:pStyle w:val="BodyText"/>
        <w:spacing w:before="72" w:line="221" w:lineRule="auto"/>
        <w:rPr>
          <w:sz w:val="22"/>
          <w:szCs w:val="22"/>
        </w:rPr>
      </w:pPr>
      <w:r>
        <w:rPr>
          <w:sz w:val="22"/>
          <w:szCs w:val="22"/>
          <w:spacing w:val="-5"/>
        </w:rPr>
        <w:t>1-3级</w:t>
      </w:r>
    </w:p>
    <w:p>
      <w:pPr>
        <w:spacing w:line="14" w:lineRule="auto"/>
        <w:rPr>
          <w:rFonts w:ascii="Arial"/>
          <w:sz w:val="2"/>
        </w:rPr>
      </w:pPr>
      <w:r>
        <w:rPr>
          <w:rFonts w:ascii="Arial" w:hAnsi="Arial" w:eastAsia="Arial" w:cs="Arial"/>
          <w:sz w:val="2"/>
          <w:szCs w:val="2"/>
        </w:rPr>
        <w:br w:type="column"/>
      </w:r>
    </w:p>
    <w:p>
      <w:pPr>
        <w:pStyle w:val="BodyText"/>
        <w:ind w:left="3" w:right="256"/>
        <w:spacing w:before="44" w:line="303" w:lineRule="auto"/>
        <w:rPr>
          <w:rFonts w:ascii="SimSun" w:hAnsi="SimSun" w:eastAsia="SimSun" w:cs="SimSun"/>
          <w:sz w:val="22"/>
          <w:szCs w:val="22"/>
        </w:rPr>
      </w:pPr>
      <w:r>
        <w:rPr>
          <w:sz w:val="22"/>
          <w:szCs w:val="22"/>
          <w:b/>
          <w:bCs/>
          <w:spacing w:val="-4"/>
        </w:rPr>
        <w:t>年人均可支配收入区间(估</w:t>
      </w:r>
      <w:r>
        <w:rPr>
          <w:sz w:val="22"/>
          <w:szCs w:val="22"/>
          <w:spacing w:val="9"/>
        </w:rPr>
        <w:t xml:space="preserve"> </w:t>
      </w:r>
      <w:r>
        <w:rPr>
          <w:rFonts w:ascii="SimSun" w:hAnsi="SimSun" w:eastAsia="SimSun" w:cs="SimSun"/>
          <w:sz w:val="22"/>
          <w:szCs w:val="22"/>
          <w:b/>
          <w:bCs/>
          <w:spacing w:val="-6"/>
        </w:rPr>
        <w:t>算)</w:t>
      </w:r>
    </w:p>
    <w:p>
      <w:pPr>
        <w:pStyle w:val="BodyText"/>
        <w:spacing w:before="259" w:line="221" w:lineRule="auto"/>
        <w:rPr>
          <w:sz w:val="22"/>
          <w:szCs w:val="22"/>
        </w:rPr>
      </w:pPr>
      <w:r>
        <w:rPr>
          <w:sz w:val="22"/>
          <w:szCs w:val="22"/>
          <w:spacing w:val="9"/>
        </w:rPr>
        <w:t>200,000以上</w:t>
      </w:r>
    </w:p>
    <w:p>
      <w:pPr>
        <w:spacing w:line="14" w:lineRule="auto"/>
        <w:rPr>
          <w:rFonts w:ascii="Arial"/>
          <w:sz w:val="2"/>
        </w:rPr>
      </w:pPr>
      <w:r>
        <w:rPr>
          <w:rFonts w:ascii="Arial" w:hAnsi="Arial" w:eastAsia="Arial" w:cs="Arial"/>
          <w:sz w:val="2"/>
          <w:szCs w:val="2"/>
        </w:rPr>
        <w:br w:type="column"/>
      </w:r>
    </w:p>
    <w:p>
      <w:pPr>
        <w:spacing w:line="339" w:lineRule="auto"/>
        <w:rPr>
          <w:rFonts w:ascii="Arial"/>
          <w:sz w:val="21"/>
        </w:rPr>
      </w:pPr>
      <w:r/>
    </w:p>
    <w:p>
      <w:pPr>
        <w:pStyle w:val="BodyText"/>
        <w:ind w:left="3"/>
        <w:spacing w:before="72" w:line="221" w:lineRule="auto"/>
        <w:rPr>
          <w:sz w:val="22"/>
          <w:szCs w:val="22"/>
        </w:rPr>
      </w:pPr>
      <w:r>
        <w:rPr>
          <w:sz w:val="22"/>
          <w:szCs w:val="22"/>
          <w:b/>
          <w:bCs/>
          <w:spacing w:val="5"/>
        </w:rPr>
        <w:t>占比特征(约)</w:t>
      </w:r>
    </w:p>
    <w:p>
      <w:pPr>
        <w:spacing w:line="354" w:lineRule="auto"/>
        <w:rPr>
          <w:rFonts w:ascii="Arial"/>
          <w:sz w:val="21"/>
        </w:rPr>
      </w:pPr>
      <w:r/>
    </w:p>
    <w:p>
      <w:pPr>
        <w:spacing w:before="45"/>
        <w:rPr>
          <w:rFonts w:ascii="SimSun" w:hAnsi="SimSun" w:eastAsia="SimSun" w:cs="SimSun"/>
          <w:sz w:val="14"/>
          <w:szCs w:val="14"/>
        </w:rPr>
      </w:pPr>
      <w:r>
        <w:rPr>
          <w:rFonts w:ascii="SimSun" w:hAnsi="SimSun" w:eastAsia="SimSun" w:cs="SimSun"/>
          <w:sz w:val="14"/>
          <w:szCs w:val="14"/>
          <w:spacing w:val="-2"/>
        </w:rPr>
        <w:t>&lt;1%</w:t>
      </w:r>
    </w:p>
    <w:p>
      <w:pPr>
        <w:spacing w:line="14" w:lineRule="auto"/>
        <w:rPr>
          <w:rFonts w:ascii="Arial"/>
          <w:sz w:val="2"/>
        </w:rPr>
      </w:pPr>
      <w:r>
        <w:rPr>
          <w:rFonts w:ascii="Arial" w:hAnsi="Arial" w:eastAsia="Arial" w:cs="Arial"/>
          <w:sz w:val="2"/>
          <w:szCs w:val="2"/>
        </w:rPr>
        <w:br w:type="column"/>
      </w:r>
    </w:p>
    <w:p>
      <w:pPr>
        <w:spacing w:line="349" w:lineRule="auto"/>
        <w:rPr>
          <w:rFonts w:ascii="Arial"/>
          <w:sz w:val="21"/>
        </w:rPr>
      </w:pPr>
      <w:r/>
    </w:p>
    <w:p>
      <w:pPr>
        <w:pStyle w:val="BodyText"/>
        <w:ind w:left="2"/>
        <w:spacing w:before="71" w:line="221" w:lineRule="auto"/>
        <w:rPr>
          <w:sz w:val="22"/>
          <w:szCs w:val="22"/>
        </w:rPr>
      </w:pPr>
      <w:r>
        <w:rPr>
          <w:sz w:val="22"/>
          <w:szCs w:val="22"/>
          <w:b/>
          <w:bCs/>
          <w:spacing w:val="-15"/>
        </w:rPr>
        <w:t>主要财务特征</w:t>
      </w:r>
    </w:p>
    <w:p>
      <w:pPr>
        <w:spacing w:line="247" w:lineRule="auto"/>
        <w:rPr>
          <w:rFonts w:ascii="Arial"/>
          <w:sz w:val="21"/>
        </w:rPr>
      </w:pPr>
      <w:r/>
    </w:p>
    <w:p>
      <w:pPr>
        <w:pStyle w:val="BodyText"/>
        <w:ind w:right="242"/>
        <w:spacing w:before="71" w:line="282" w:lineRule="auto"/>
        <w:rPr>
          <w:sz w:val="22"/>
          <w:szCs w:val="22"/>
        </w:rPr>
      </w:pPr>
      <w:r>
        <w:rPr>
          <w:sz w:val="22"/>
          <w:szCs w:val="22"/>
          <w:spacing w:val="-11"/>
        </w:rPr>
        <w:t>金融资产占比高，净资产规模</w:t>
      </w:r>
      <w:r>
        <w:rPr>
          <w:sz w:val="22"/>
          <w:szCs w:val="22"/>
          <w:spacing w:val="8"/>
        </w:rPr>
        <w:t xml:space="preserve"> </w:t>
      </w:r>
      <w:r>
        <w:rPr>
          <w:sz w:val="22"/>
          <w:szCs w:val="22"/>
          <w:spacing w:val="-7"/>
        </w:rPr>
        <w:t>巨大</w:t>
      </w:r>
    </w:p>
    <w:p>
      <w:pPr>
        <w:spacing w:line="282" w:lineRule="auto"/>
        <w:sectPr>
          <w:pgSz w:w="12240" w:h="15840"/>
          <w:pgMar w:top="1089" w:right="1020" w:bottom="0" w:left="980" w:header="0" w:footer="0" w:gutter="0"/>
          <w:cols w:equalWidth="0" w:num="5">
            <w:col w:w="1660" w:space="100"/>
            <w:col w:w="880" w:space="100"/>
            <w:col w:w="2781" w:space="100"/>
            <w:col w:w="1550" w:space="100"/>
            <w:col w:w="2970" w:space="0"/>
          </w:cols>
        </w:sectPr>
        <w:rPr>
          <w:sz w:val="22"/>
          <w:szCs w:val="22"/>
        </w:rPr>
      </w:pPr>
    </w:p>
    <w:tbl>
      <w:tblPr>
        <w:tblStyle w:val="TableNormal"/>
        <w:tblW w:w="1009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481"/>
        <w:gridCol w:w="1045"/>
        <w:gridCol w:w="2464"/>
        <w:gridCol w:w="1888"/>
        <w:gridCol w:w="3221"/>
      </w:tblGrid>
      <w:tr>
        <w:trPr>
          <w:trHeight w:val="975" w:hRule="atLeast"/>
        </w:trPr>
        <w:tc>
          <w:tcPr>
            <w:tcW w:w="1481" w:type="dxa"/>
            <w:vAlign w:val="top"/>
            <w:tcBorders>
              <w:bottom w:val="single" w:color="000000" w:sz="2" w:space="0"/>
              <w:top w:val="single" w:color="000000" w:sz="4" w:space="0"/>
            </w:tcBorders>
          </w:tcPr>
          <w:p>
            <w:pPr>
              <w:ind w:left="30" w:right="214" w:hanging="30"/>
              <w:spacing w:before="287" w:line="278" w:lineRule="auto"/>
              <w:rPr>
                <w:rFonts w:ascii="SimHei" w:hAnsi="SimHei" w:eastAsia="SimHei" w:cs="SimHei"/>
                <w:sz w:val="23"/>
                <w:szCs w:val="23"/>
              </w:rPr>
            </w:pPr>
            <w:r>
              <w:rPr>
                <w:rFonts w:ascii="SimHei" w:hAnsi="SimHei" w:eastAsia="SimHei" w:cs="SimHei"/>
                <w:sz w:val="22"/>
                <w:szCs w:val="22"/>
                <w:spacing w:val="9"/>
              </w:rPr>
              <w:t>中层社会(中</w:t>
            </w:r>
            <w:r>
              <w:rPr>
                <w:rFonts w:ascii="SimHei" w:hAnsi="SimHei" w:eastAsia="SimHei" w:cs="SimHei"/>
                <w:sz w:val="22"/>
                <w:szCs w:val="22"/>
                <w:spacing w:val="1"/>
              </w:rPr>
              <w:t xml:space="preserve"> </w:t>
            </w:r>
            <w:r>
              <w:rPr>
                <w:rFonts w:ascii="SimHei" w:hAnsi="SimHei" w:eastAsia="SimHei" w:cs="SimHei"/>
                <w:sz w:val="23"/>
                <w:szCs w:val="23"/>
                <w:i/>
                <w:iCs/>
                <w:spacing w:val="-11"/>
                <w:w w:val="95"/>
              </w:rPr>
              <w:t>产)</w:t>
            </w:r>
          </w:p>
        </w:tc>
        <w:tc>
          <w:tcPr>
            <w:tcW w:w="1045" w:type="dxa"/>
            <w:vAlign w:val="top"/>
            <w:tcBorders>
              <w:bottom w:val="single" w:color="000000" w:sz="2" w:space="0"/>
              <w:top w:val="single" w:color="000000" w:sz="4" w:space="0"/>
            </w:tcBorders>
          </w:tcPr>
          <w:p>
            <w:pPr>
              <w:ind w:left="278"/>
              <w:spacing w:before="287" w:line="221" w:lineRule="auto"/>
              <w:rPr>
                <w:rFonts w:ascii="SimHei" w:hAnsi="SimHei" w:eastAsia="SimHei" w:cs="SimHei"/>
                <w:sz w:val="22"/>
                <w:szCs w:val="22"/>
              </w:rPr>
            </w:pPr>
            <w:r>
              <w:rPr>
                <w:rFonts w:ascii="SimHei" w:hAnsi="SimHei" w:eastAsia="SimHei" w:cs="SimHei"/>
                <w:sz w:val="22"/>
                <w:szCs w:val="22"/>
                <w:spacing w:val="9"/>
              </w:rPr>
              <w:t>4-6级</w:t>
            </w:r>
          </w:p>
        </w:tc>
        <w:tc>
          <w:tcPr>
            <w:tcW w:w="2464" w:type="dxa"/>
            <w:vAlign w:val="top"/>
            <w:tcBorders>
              <w:bottom w:val="single" w:color="000000" w:sz="2" w:space="0"/>
              <w:top w:val="single" w:color="000000" w:sz="4" w:space="0"/>
            </w:tcBorders>
          </w:tcPr>
          <w:p>
            <w:pPr>
              <w:ind w:left="213"/>
              <w:spacing w:before="290" w:line="188" w:lineRule="auto"/>
              <w:rPr>
                <w:rFonts w:ascii="Times New Roman" w:hAnsi="Times New Roman" w:eastAsia="Times New Roman" w:cs="Times New Roman"/>
                <w:sz w:val="27"/>
                <w:szCs w:val="27"/>
              </w:rPr>
            </w:pPr>
            <w:r>
              <w:rPr>
                <w:rFonts w:ascii="Times New Roman" w:hAnsi="Times New Roman" w:eastAsia="Times New Roman" w:cs="Times New Roman"/>
                <w:sz w:val="27"/>
                <w:szCs w:val="27"/>
                <w:spacing w:val="-1"/>
              </w:rPr>
              <w:t>60,000-300,000</w:t>
            </w:r>
          </w:p>
        </w:tc>
        <w:tc>
          <w:tcPr>
            <w:tcW w:w="1888" w:type="dxa"/>
            <w:vAlign w:val="top"/>
            <w:tcBorders>
              <w:bottom w:val="single" w:color="000000" w:sz="2" w:space="0"/>
              <w:top w:val="single" w:color="000000" w:sz="4" w:space="0"/>
            </w:tcBorders>
          </w:tcPr>
          <w:p>
            <w:pPr>
              <w:spacing w:line="278" w:lineRule="auto"/>
              <w:rPr>
                <w:rFonts w:ascii="Arial"/>
                <w:sz w:val="21"/>
              </w:rPr>
            </w:pPr>
            <w:r/>
          </w:p>
          <w:p>
            <w:pPr>
              <w:ind w:left="629"/>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1"/>
              </w:rPr>
              <w:t>20%-30%</w:t>
            </w:r>
          </w:p>
        </w:tc>
        <w:tc>
          <w:tcPr>
            <w:tcW w:w="3221" w:type="dxa"/>
            <w:vAlign w:val="top"/>
            <w:tcBorders>
              <w:bottom w:val="single" w:color="000000" w:sz="2" w:space="0"/>
              <w:top w:val="single" w:color="000000" w:sz="4" w:space="0"/>
            </w:tcBorders>
          </w:tcPr>
          <w:p>
            <w:pPr>
              <w:ind w:left="391" w:right="99"/>
              <w:spacing w:before="278" w:line="288" w:lineRule="auto"/>
              <w:rPr>
                <w:rFonts w:ascii="SimHei" w:hAnsi="SimHei" w:eastAsia="SimHei" w:cs="SimHei"/>
                <w:sz w:val="22"/>
                <w:szCs w:val="22"/>
              </w:rPr>
            </w:pPr>
            <w:r>
              <w:rPr>
                <w:rFonts w:ascii="SimHei" w:hAnsi="SimHei" w:eastAsia="SimHei" w:cs="SimHei"/>
                <w:sz w:val="22"/>
                <w:szCs w:val="22"/>
                <w:spacing w:val="-11"/>
              </w:rPr>
              <w:t>住房资产主导，金融资产逐步</w:t>
            </w:r>
            <w:r>
              <w:rPr>
                <w:rFonts w:ascii="SimHei" w:hAnsi="SimHei" w:eastAsia="SimHei" w:cs="SimHei"/>
                <w:sz w:val="22"/>
                <w:szCs w:val="22"/>
                <w:spacing w:val="11"/>
              </w:rPr>
              <w:t xml:space="preserve"> </w:t>
            </w:r>
            <w:r>
              <w:rPr>
                <w:rFonts w:ascii="SimHei" w:hAnsi="SimHei" w:eastAsia="SimHei" w:cs="SimHei"/>
                <w:sz w:val="22"/>
                <w:szCs w:val="22"/>
                <w:spacing w:val="6"/>
              </w:rPr>
              <w:t>增加</w:t>
            </w:r>
          </w:p>
        </w:tc>
      </w:tr>
    </w:tbl>
    <w:p>
      <w:pPr>
        <w:pStyle w:val="BodyText"/>
        <w:spacing w:before="247" w:line="217" w:lineRule="auto"/>
        <w:rPr>
          <w:sz w:val="22"/>
          <w:szCs w:val="22"/>
        </w:rPr>
      </w:pPr>
      <w:r>
        <w:rPr>
          <w:sz w:val="22"/>
          <w:szCs w:val="22"/>
          <w:spacing w:val="-1"/>
        </w:rPr>
        <w:t>下层社会</w:t>
      </w:r>
      <w:r>
        <w:rPr>
          <w:sz w:val="22"/>
          <w:szCs w:val="22"/>
          <w:spacing w:val="-1"/>
        </w:rPr>
        <w:t xml:space="preserve">        </w:t>
      </w:r>
      <w:r>
        <w:rPr>
          <w:sz w:val="22"/>
          <w:szCs w:val="22"/>
          <w:spacing w:val="-1"/>
          <w:position w:val="-2"/>
        </w:rPr>
        <w:t>7-9级</w:t>
      </w:r>
      <w:r>
        <w:rPr>
          <w:sz w:val="22"/>
          <w:szCs w:val="22"/>
          <w:spacing w:val="-1"/>
          <w:position w:val="-2"/>
        </w:rPr>
        <w:t xml:space="preserve">    </w:t>
      </w:r>
      <w:r>
        <w:rPr>
          <w:sz w:val="22"/>
          <w:szCs w:val="22"/>
          <w:spacing w:val="-1"/>
          <w:position w:val="-2"/>
        </w:rPr>
        <w:t>30,000以下</w:t>
      </w:r>
      <w:r>
        <w:rPr>
          <w:sz w:val="22"/>
          <w:szCs w:val="22"/>
          <w:spacing w:val="-1"/>
          <w:position w:val="-2"/>
        </w:rPr>
        <w:t xml:space="preserve">                </w:t>
      </w:r>
      <w:r>
        <w:rPr>
          <w:rFonts w:ascii="SimSun" w:hAnsi="SimSun" w:eastAsia="SimSun" w:cs="SimSun"/>
          <w:sz w:val="27"/>
          <w:szCs w:val="27"/>
          <w:spacing w:val="-1"/>
        </w:rPr>
        <w:t>&gt;60%        </w:t>
      </w:r>
      <w:r>
        <w:rPr>
          <w:sz w:val="22"/>
          <w:szCs w:val="22"/>
          <w:spacing w:val="-1"/>
          <w:position w:val="1"/>
        </w:rPr>
        <w:t>实物资产有限</w:t>
      </w:r>
      <w:r>
        <w:rPr>
          <w:sz w:val="22"/>
          <w:szCs w:val="22"/>
          <w:spacing w:val="-2"/>
          <w:position w:val="1"/>
        </w:rPr>
        <w:t>，流动性约束严</w:t>
      </w:r>
    </w:p>
    <w:p>
      <w:pPr>
        <w:pStyle w:val="BodyText"/>
        <w:ind w:left="7269"/>
        <w:spacing w:before="85" w:line="228" w:lineRule="auto"/>
        <w:rPr>
          <w:sz w:val="22"/>
          <w:szCs w:val="22"/>
        </w:rPr>
      </w:pPr>
      <w:r>
        <w:rPr>
          <w:sz w:val="22"/>
          <w:szCs w:val="22"/>
        </w:rPr>
        <w:t>重</w:t>
      </w:r>
    </w:p>
    <w:p>
      <w:pPr>
        <w:spacing w:line="425" w:lineRule="auto"/>
        <w:rPr>
          <w:rFonts w:ascii="Arial"/>
          <w:sz w:val="21"/>
        </w:rPr>
      </w:pPr>
      <w:r/>
    </w:p>
    <w:p>
      <w:pPr>
        <w:pStyle w:val="BodyText"/>
        <w:ind w:right="25" w:firstLine="3"/>
        <w:spacing w:before="72" w:line="372" w:lineRule="auto"/>
        <w:rPr>
          <w:sz w:val="22"/>
          <w:szCs w:val="22"/>
        </w:rPr>
      </w:pPr>
      <w:r>
        <w:rPr>
          <w:sz w:val="22"/>
          <w:szCs w:val="22"/>
          <w:b/>
          <w:bCs/>
          <w:spacing w:val="19"/>
        </w:rPr>
        <w:t>数据来源：</w:t>
      </w:r>
      <w:r>
        <w:rPr>
          <w:sz w:val="22"/>
          <w:szCs w:val="22"/>
          <w:spacing w:val="19"/>
        </w:rPr>
        <w:t xml:space="preserve"> </w:t>
      </w:r>
      <w:r>
        <w:rPr>
          <w:sz w:val="22"/>
          <w:szCs w:val="22"/>
          <w:spacing w:val="19"/>
        </w:rPr>
        <w:t>据国家统计局2025年公报及相关社会观察模型综合测算。注：收入区</w:t>
      </w:r>
      <w:r>
        <w:rPr>
          <w:sz w:val="22"/>
          <w:szCs w:val="22"/>
          <w:spacing w:val="18"/>
        </w:rPr>
        <w:t>间为估算值，实</w:t>
      </w:r>
      <w:r>
        <w:rPr>
          <w:sz w:val="22"/>
          <w:szCs w:val="22"/>
        </w:rPr>
        <w:t xml:space="preserve"> </w:t>
      </w:r>
      <w:r>
        <w:rPr>
          <w:sz w:val="22"/>
          <w:szCs w:val="22"/>
          <w:spacing w:val="12"/>
        </w:rPr>
        <w:t>际因区域而异。</w:t>
      </w:r>
    </w:p>
    <w:p>
      <w:pPr>
        <w:pStyle w:val="BodyText"/>
        <w:ind w:left="4"/>
        <w:spacing w:before="311" w:line="221" w:lineRule="auto"/>
        <w:outlineLvl w:val="2"/>
        <w:rPr>
          <w:sz w:val="30"/>
          <w:szCs w:val="30"/>
        </w:rPr>
      </w:pPr>
      <w:r>
        <w:rPr>
          <w:sz w:val="30"/>
          <w:szCs w:val="30"/>
          <w:b/>
          <w:bCs/>
          <w:spacing w:val="18"/>
        </w:rPr>
        <w:t>三、中产阶层(4-6级)的深度洞察</w:t>
      </w:r>
    </w:p>
    <w:p>
      <w:pPr>
        <w:pStyle w:val="BodyText"/>
        <w:ind w:left="3"/>
        <w:spacing w:before="209" w:line="221" w:lineRule="auto"/>
        <w:outlineLvl w:val="4"/>
        <w:rPr>
          <w:sz w:val="22"/>
          <w:szCs w:val="22"/>
        </w:rPr>
      </w:pPr>
      <w:r>
        <w:rPr>
          <w:sz w:val="22"/>
          <w:szCs w:val="22"/>
          <w:b/>
          <w:bCs/>
          <w:spacing w:val="15"/>
        </w:rPr>
        <w:t>(一)中产阶层的界定与人数规模</w:t>
      </w:r>
    </w:p>
    <w:p>
      <w:pPr>
        <w:pStyle w:val="BodyText"/>
        <w:spacing w:before="229" w:line="220" w:lineRule="auto"/>
        <w:rPr>
          <w:sz w:val="22"/>
          <w:szCs w:val="22"/>
        </w:rPr>
      </w:pPr>
      <w:r>
        <w:rPr>
          <w:sz w:val="22"/>
          <w:szCs w:val="22"/>
          <w:spacing w:val="15"/>
        </w:rPr>
        <w:t>本报告将“新中产”界定为家庭年收入在10-5</w:t>
      </w:r>
      <w:r>
        <w:rPr>
          <w:sz w:val="22"/>
          <w:szCs w:val="22"/>
          <w:spacing w:val="14"/>
        </w:rPr>
        <w:t>0万元区间、具备一定人力资本溢价、净资产以住房</w:t>
      </w:r>
    </w:p>
    <w:p>
      <w:pPr>
        <w:pStyle w:val="BodyText"/>
        <w:spacing w:before="148" w:line="356" w:lineRule="auto"/>
        <w:rPr>
          <w:sz w:val="22"/>
          <w:szCs w:val="22"/>
        </w:rPr>
      </w:pPr>
      <w:r>
        <w:rPr>
          <w:sz w:val="22"/>
          <w:szCs w:val="22"/>
          <w:spacing w:val="20"/>
        </w:rPr>
        <w:t>为主但金融资产配置逐步多元化的群体。据麦肯锡相关消费者报告指出，中国城市中产阶层持续</w:t>
      </w:r>
      <w:r>
        <w:rPr>
          <w:sz w:val="22"/>
          <w:szCs w:val="22"/>
          <w:spacing w:val="4"/>
        </w:rPr>
        <w:t xml:space="preserve">  </w:t>
      </w:r>
      <w:r>
        <w:rPr>
          <w:sz w:val="22"/>
          <w:szCs w:val="22"/>
          <w:spacing w:val="23"/>
        </w:rPr>
        <w:t>壮大，预计到2030年一半以上城市家庭将进入主流消费阶层。结</w:t>
      </w:r>
      <w:r>
        <w:rPr>
          <w:sz w:val="22"/>
          <w:szCs w:val="22"/>
          <w:spacing w:val="22"/>
        </w:rPr>
        <w:t>合国家统计局数据，中间收入组</w:t>
      </w:r>
      <w:r>
        <w:rPr>
          <w:sz w:val="22"/>
          <w:szCs w:val="22"/>
        </w:rPr>
        <w:t xml:space="preserve"> </w:t>
      </w:r>
      <w:r>
        <w:rPr>
          <w:sz w:val="22"/>
          <w:szCs w:val="22"/>
          <w:spacing w:val="29"/>
        </w:rPr>
        <w:t>及以上群体(人均可支配收入约33,925元以上)对应中产</w:t>
      </w:r>
      <w:r>
        <w:rPr>
          <w:sz w:val="22"/>
          <w:szCs w:val="22"/>
          <w:spacing w:val="28"/>
        </w:rPr>
        <w:t>核心部分，规模约4亿人左右(含家庭</w:t>
      </w:r>
      <w:r>
        <w:rPr>
          <w:sz w:val="22"/>
          <w:szCs w:val="22"/>
        </w:rPr>
        <w:t xml:space="preserve">  </w:t>
      </w:r>
      <w:r>
        <w:rPr>
          <w:sz w:val="22"/>
          <w:szCs w:val="22"/>
          <w:spacing w:val="23"/>
        </w:rPr>
        <w:t>成员),但严格新中产标准下人数在2-3亿区间。</w:t>
      </w:r>
    </w:p>
    <w:p>
      <w:pPr>
        <w:pStyle w:val="BodyText"/>
        <w:ind w:left="3"/>
        <w:spacing w:before="221" w:line="221" w:lineRule="auto"/>
        <w:outlineLvl w:val="4"/>
        <w:rPr>
          <w:sz w:val="22"/>
          <w:szCs w:val="22"/>
        </w:rPr>
      </w:pPr>
      <w:r>
        <w:rPr>
          <w:sz w:val="22"/>
          <w:szCs w:val="22"/>
          <w:b/>
          <w:bCs/>
          <w:spacing w:val="16"/>
        </w:rPr>
        <w:t>(二)中产阶层的财务优势与典型构成</w:t>
      </w:r>
    </w:p>
    <w:p>
      <w:pPr>
        <w:pStyle w:val="BodyText"/>
        <w:ind w:right="27"/>
        <w:spacing w:before="221" w:line="358" w:lineRule="auto"/>
        <w:rPr>
          <w:sz w:val="22"/>
          <w:szCs w:val="22"/>
        </w:rPr>
      </w:pPr>
      <w:r>
        <w:rPr>
          <w:sz w:val="22"/>
          <w:szCs w:val="22"/>
          <w:spacing w:val="20"/>
        </w:rPr>
        <w:t>中产阶层在一定程度上受益于城镇化与产业升级，收入稳定性较高，人力资本溢价显著。数据显</w:t>
      </w:r>
      <w:r>
        <w:rPr>
          <w:sz w:val="22"/>
          <w:szCs w:val="22"/>
          <w:spacing w:val="5"/>
        </w:rPr>
        <w:t xml:space="preserve">  </w:t>
      </w:r>
      <w:r>
        <w:rPr>
          <w:sz w:val="22"/>
          <w:szCs w:val="22"/>
          <w:spacing w:val="31"/>
        </w:rPr>
        <w:t>示，城镇中产家庭净资产构成中，住房资产占比约60%-70%,金融资产(股票、基金、理财等)</w:t>
      </w:r>
      <w:r>
        <w:rPr>
          <w:sz w:val="22"/>
          <w:szCs w:val="22"/>
          <w:spacing w:val="15"/>
        </w:rPr>
        <w:t xml:space="preserve"> </w:t>
      </w:r>
      <w:r>
        <w:rPr>
          <w:sz w:val="22"/>
          <w:szCs w:val="22"/>
          <w:spacing w:val="29"/>
        </w:rPr>
        <w:t>占比逐步提升至15%-25%。</w:t>
      </w:r>
    </w:p>
    <w:p>
      <w:pPr>
        <w:pStyle w:val="BodyText"/>
        <w:ind w:right="66"/>
        <w:spacing w:before="88" w:line="284" w:lineRule="auto"/>
        <w:rPr>
          <w:sz w:val="22"/>
          <w:szCs w:val="22"/>
        </w:rPr>
      </w:pPr>
      <w:r>
        <w:rPr>
          <w:sz w:val="22"/>
          <w:szCs w:val="22"/>
          <w:spacing w:val="27"/>
        </w:rPr>
        <w:t>中产阶层家庭净资产构成典型比例表(城镇家庭，基于</w:t>
      </w:r>
      <w:r>
        <w:rPr>
          <w:rFonts w:ascii="SimSun" w:hAnsi="SimSun" w:eastAsia="SimSun" w:cs="SimSun"/>
          <w:sz w:val="22"/>
          <w:szCs w:val="22"/>
        </w:rPr>
        <w:t>CHFS</w:t>
      </w:r>
      <w:r>
        <w:rPr>
          <w:rFonts w:ascii="SimSun" w:hAnsi="SimSun" w:eastAsia="SimSun" w:cs="SimSun"/>
          <w:sz w:val="22"/>
          <w:szCs w:val="22"/>
          <w:spacing w:val="3"/>
        </w:rPr>
        <w:t xml:space="preserve">  </w:t>
      </w:r>
      <w:r>
        <w:rPr>
          <w:sz w:val="22"/>
          <w:szCs w:val="22"/>
          <w:spacing w:val="27"/>
        </w:rPr>
        <w:t>及相</w:t>
      </w:r>
      <w:r>
        <w:rPr>
          <w:sz w:val="22"/>
          <w:szCs w:val="22"/>
          <w:spacing w:val="26"/>
        </w:rPr>
        <w:t>关调查估算，2023-2024年数</w:t>
      </w:r>
      <w:r>
        <w:rPr>
          <w:sz w:val="22"/>
          <w:szCs w:val="22"/>
          <w:spacing w:val="1"/>
        </w:rPr>
        <w:t xml:space="preserve"> </w:t>
      </w:r>
      <w:r>
        <w:rPr>
          <w:sz w:val="22"/>
          <w:szCs w:val="22"/>
          <w:spacing w:val="-5"/>
        </w:rPr>
        <w:t>据</w:t>
      </w:r>
      <w:r>
        <w:rPr>
          <w:sz w:val="22"/>
          <w:szCs w:val="22"/>
          <w:spacing w:val="-34"/>
        </w:rPr>
        <w:t xml:space="preserve"> </w:t>
      </w:r>
      <w:r>
        <w:rPr>
          <w:sz w:val="22"/>
          <w:szCs w:val="22"/>
          <w:spacing w:val="-5"/>
        </w:rPr>
        <w:t>)</w:t>
      </w:r>
    </w:p>
    <w:p>
      <w:pPr>
        <w:spacing w:line="284" w:lineRule="auto"/>
        <w:sectPr>
          <w:type w:val="continuous"/>
          <w:pgSz w:w="12240" w:h="15840"/>
          <w:pgMar w:top="1089" w:right="1020" w:bottom="0" w:left="980" w:header="0" w:footer="0" w:gutter="0"/>
          <w:cols w:equalWidth="0" w:num="1">
            <w:col w:w="10240" w:space="0"/>
          </w:cols>
        </w:sectPr>
        <w:rPr>
          <w:sz w:val="22"/>
          <w:szCs w:val="22"/>
        </w:rPr>
      </w:pPr>
    </w:p>
    <w:p>
      <w:pPr>
        <w:spacing w:line="313" w:lineRule="auto"/>
        <w:rPr>
          <w:rFonts w:ascii="Arial"/>
          <w:sz w:val="21"/>
        </w:rPr>
      </w:pPr>
      <w:r/>
    </w:p>
    <w:p>
      <w:pPr>
        <w:spacing w:line="314" w:lineRule="auto"/>
        <w:rPr>
          <w:rFonts w:ascii="Arial"/>
          <w:sz w:val="21"/>
        </w:rPr>
      </w:pPr>
      <w:r/>
    </w:p>
    <w:p>
      <w:pPr>
        <w:spacing w:line="314" w:lineRule="auto"/>
        <w:rPr>
          <w:rFonts w:ascii="Arial"/>
          <w:sz w:val="21"/>
        </w:rPr>
      </w:pPr>
      <w:r/>
    </w:p>
    <w:p>
      <w:pPr>
        <w:pStyle w:val="BodyText"/>
        <w:ind w:left="93"/>
        <w:spacing w:before="72" w:line="220" w:lineRule="auto"/>
        <w:rPr>
          <w:sz w:val="22"/>
          <w:szCs w:val="22"/>
        </w:rPr>
      </w:pPr>
      <w:r>
        <w:rPr>
          <w:sz w:val="22"/>
          <w:szCs w:val="22"/>
          <w:spacing w:val="-7"/>
        </w:rPr>
        <w:t>住房资产</w:t>
      </w:r>
    </w:p>
    <w:p>
      <w:pPr>
        <w:spacing w:line="14" w:lineRule="auto"/>
        <w:rPr>
          <w:rFonts w:ascii="Arial"/>
          <w:sz w:val="2"/>
        </w:rPr>
      </w:pPr>
      <w:r>
        <w:rPr>
          <w:rFonts w:ascii="Arial" w:hAnsi="Arial" w:eastAsia="Arial" w:cs="Arial"/>
          <w:sz w:val="2"/>
          <w:szCs w:val="2"/>
        </w:rPr>
        <w:br w:type="column"/>
      </w:r>
    </w:p>
    <w:p>
      <w:pPr>
        <w:pStyle w:val="BodyText"/>
        <w:ind w:left="3"/>
        <w:spacing w:before="54" w:line="221" w:lineRule="auto"/>
        <w:rPr>
          <w:sz w:val="22"/>
          <w:szCs w:val="22"/>
        </w:rPr>
      </w:pPr>
      <w:r>
        <w:rPr>
          <w:sz w:val="22"/>
          <w:szCs w:val="22"/>
          <w:b/>
          <w:bCs/>
          <w:spacing w:val="-6"/>
        </w:rPr>
        <w:t>资产类</w:t>
      </w:r>
    </w:p>
    <w:p>
      <w:pPr>
        <w:pStyle w:val="BodyText"/>
        <w:spacing w:before="110" w:line="222" w:lineRule="auto"/>
        <w:rPr>
          <w:sz w:val="22"/>
          <w:szCs w:val="22"/>
        </w:rPr>
      </w:pPr>
      <w:r>
        <w:rPr>
          <w:sz w:val="22"/>
          <w:szCs w:val="22"/>
        </w:rPr>
        <w:t>别</w:t>
      </w:r>
    </w:p>
    <w:p>
      <w:pPr>
        <w:spacing w:before="303"/>
        <w:rPr>
          <w:rFonts w:ascii="SimSun" w:hAnsi="SimSun" w:eastAsia="SimSun" w:cs="SimSun"/>
          <w:sz w:val="26"/>
          <w:szCs w:val="26"/>
        </w:rPr>
      </w:pPr>
      <w:r>
        <w:rPr>
          <w:rFonts w:ascii="SimSun" w:hAnsi="SimSun" w:eastAsia="SimSun" w:cs="SimSun"/>
          <w:sz w:val="26"/>
          <w:szCs w:val="26"/>
          <w:spacing w:val="-3"/>
        </w:rPr>
        <w:t>65-70</w:t>
      </w:r>
    </w:p>
    <w:p>
      <w:pPr>
        <w:spacing w:line="14" w:lineRule="auto"/>
        <w:rPr>
          <w:rFonts w:ascii="Arial"/>
          <w:sz w:val="2"/>
        </w:rPr>
      </w:pPr>
      <w:r>
        <w:rPr>
          <w:rFonts w:ascii="Arial" w:hAnsi="Arial" w:eastAsia="Arial" w:cs="Arial"/>
          <w:sz w:val="2"/>
          <w:szCs w:val="2"/>
        </w:rPr>
        <w:br w:type="column"/>
      </w:r>
    </w:p>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spacing w:before="85"/>
        <w:rPr>
          <w:rFonts w:ascii="SimSun" w:hAnsi="SimSun" w:eastAsia="SimSun" w:cs="SimSun"/>
          <w:sz w:val="26"/>
          <w:szCs w:val="26"/>
        </w:rPr>
      </w:pPr>
      <w:r>
        <w:rPr>
          <w:rFonts w:ascii="SimSun" w:hAnsi="SimSun" w:eastAsia="SimSun" w:cs="SimSun"/>
          <w:sz w:val="26"/>
          <w:szCs w:val="26"/>
          <w:spacing w:val="-4"/>
        </w:rPr>
        <w:t>200-</w:t>
      </w:r>
    </w:p>
    <w:p>
      <w:pPr>
        <w:spacing w:before="15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1"/>
        </w:rPr>
        <w:t>400</w:t>
      </w:r>
    </w:p>
    <w:p>
      <w:pPr>
        <w:spacing w:line="14" w:lineRule="auto"/>
        <w:rPr>
          <w:rFonts w:ascii="Arial"/>
          <w:sz w:val="2"/>
        </w:rPr>
      </w:pPr>
      <w:r>
        <w:rPr>
          <w:rFonts w:ascii="Arial" w:hAnsi="Arial" w:eastAsia="Arial" w:cs="Arial"/>
          <w:sz w:val="2"/>
          <w:szCs w:val="2"/>
        </w:rPr>
        <w:br w:type="column"/>
      </w:r>
    </w:p>
    <w:p>
      <w:pPr>
        <w:spacing w:line="356" w:lineRule="auto"/>
        <w:rPr>
          <w:rFonts w:ascii="Arial"/>
          <w:sz w:val="21"/>
        </w:rPr>
      </w:pPr>
      <w:r/>
    </w:p>
    <w:p>
      <w:pPr>
        <w:pStyle w:val="BodyText"/>
        <w:ind w:left="3"/>
        <w:spacing w:before="72" w:line="225" w:lineRule="auto"/>
        <w:rPr>
          <w:sz w:val="22"/>
          <w:szCs w:val="22"/>
        </w:rPr>
      </w:pPr>
      <w:r>
        <w:rPr>
          <w:sz w:val="22"/>
          <w:szCs w:val="22"/>
          <w:b/>
          <w:bCs/>
          <w:spacing w:val="30"/>
        </w:rPr>
        <w:t>占比(%)</w:t>
      </w:r>
    </w:p>
    <w:p>
      <w:pPr>
        <w:spacing w:line="257" w:lineRule="auto"/>
        <w:rPr>
          <w:rFonts w:ascii="Arial"/>
          <w:sz w:val="21"/>
        </w:rPr>
      </w:pPr>
      <w:r/>
    </w:p>
    <w:p>
      <w:pPr>
        <w:pStyle w:val="BodyText"/>
        <w:ind w:right="191"/>
        <w:spacing w:before="71" w:line="282" w:lineRule="auto"/>
        <w:rPr>
          <w:rFonts w:ascii="SimSun" w:hAnsi="SimSun" w:eastAsia="SimSun" w:cs="SimSun"/>
          <w:sz w:val="22"/>
          <w:szCs w:val="22"/>
        </w:rPr>
      </w:pPr>
      <w:r>
        <w:rPr>
          <w:sz w:val="22"/>
          <w:szCs w:val="22"/>
          <w:spacing w:val="-11"/>
        </w:rPr>
        <w:t>核心资产，学区房溢价显</w:t>
      </w:r>
      <w:r>
        <w:rPr>
          <w:sz w:val="22"/>
          <w:szCs w:val="22"/>
          <w:spacing w:val="1"/>
        </w:rPr>
        <w:t xml:space="preserve"> </w:t>
      </w:r>
      <w:r>
        <w:rPr>
          <w:rFonts w:ascii="SimSun" w:hAnsi="SimSun" w:eastAsia="SimSun" w:cs="SimSun"/>
          <w:sz w:val="22"/>
          <w:szCs w:val="22"/>
        </w:rPr>
        <w:t>著</w:t>
      </w:r>
    </w:p>
    <w:p>
      <w:pPr>
        <w:spacing w:line="14" w:lineRule="auto"/>
        <w:rPr>
          <w:rFonts w:ascii="Arial"/>
          <w:sz w:val="2"/>
        </w:rPr>
      </w:pPr>
      <w:r>
        <w:rPr>
          <w:rFonts w:ascii="Arial" w:hAnsi="Arial" w:eastAsia="Arial" w:cs="Arial"/>
          <w:sz w:val="2"/>
          <w:szCs w:val="2"/>
        </w:rPr>
        <w:br w:type="column"/>
      </w:r>
    </w:p>
    <w:p>
      <w:pPr>
        <w:pStyle w:val="BodyText"/>
        <w:ind w:left="2466"/>
        <w:spacing w:before="50" w:line="223" w:lineRule="auto"/>
        <w:rPr>
          <w:sz w:val="22"/>
          <w:szCs w:val="22"/>
        </w:rPr>
      </w:pPr>
      <w:r>
        <w:rPr>
          <w:sz w:val="22"/>
          <w:szCs w:val="22"/>
        </w:rPr>
        <w:t>备</w:t>
      </w:r>
    </w:p>
    <w:p>
      <w:pPr>
        <w:pStyle w:val="BodyText"/>
        <w:spacing w:before="99" w:line="213" w:lineRule="auto"/>
        <w:rPr>
          <w:sz w:val="22"/>
          <w:szCs w:val="22"/>
        </w:rPr>
      </w:pPr>
      <w:r>
        <w:rPr>
          <w:sz w:val="22"/>
          <w:szCs w:val="22"/>
          <w:b/>
          <w:bCs/>
          <w:spacing w:val="1"/>
        </w:rPr>
        <w:t>典型金额(户均，万元)</w:t>
      </w:r>
      <w:r>
        <w:rPr>
          <w:sz w:val="22"/>
          <w:szCs w:val="22"/>
          <w:spacing w:val="1"/>
        </w:rPr>
        <w:t xml:space="preserve">  </w:t>
      </w:r>
      <w:r>
        <w:rPr>
          <w:sz w:val="22"/>
          <w:szCs w:val="22"/>
          <w:b/>
          <w:bCs/>
          <w:spacing w:val="1"/>
        </w:rPr>
        <w:t>注</w:t>
      </w:r>
    </w:p>
    <w:p>
      <w:pPr>
        <w:spacing w:line="213" w:lineRule="auto"/>
        <w:sectPr>
          <w:pgSz w:w="12240" w:h="15840"/>
          <w:pgMar w:top="1057" w:right="1166" w:bottom="0" w:left="886" w:header="0" w:footer="0" w:gutter="0"/>
          <w:cols w:equalWidth="0" w:num="5">
            <w:col w:w="1894" w:space="100"/>
            <w:col w:w="961" w:space="100"/>
            <w:col w:w="1060" w:space="100"/>
            <w:col w:w="2494" w:space="100"/>
            <w:col w:w="3381" w:space="0"/>
          </w:cols>
        </w:sectPr>
        <w:rPr>
          <w:sz w:val="22"/>
          <w:szCs w:val="22"/>
        </w:rPr>
      </w:pPr>
    </w:p>
    <w:tbl>
      <w:tblPr>
        <w:tblStyle w:val="TableNormal"/>
        <w:tblW w:w="10089" w:type="dxa"/>
        <w:tblInd w:w="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715"/>
        <w:gridCol w:w="951"/>
        <w:gridCol w:w="1226"/>
        <w:gridCol w:w="6197"/>
      </w:tblGrid>
      <w:tr>
        <w:trPr>
          <w:trHeight w:val="868" w:hRule="atLeast"/>
        </w:trPr>
        <w:tc>
          <w:tcPr>
            <w:tcW w:w="1715" w:type="dxa"/>
            <w:vAlign w:val="top"/>
            <w:tcBorders>
              <w:top w:val="single" w:color="000000" w:sz="2" w:space="0"/>
              <w:bottom w:val="single" w:color="000000" w:sz="4" w:space="0"/>
            </w:tcBorders>
          </w:tcPr>
          <w:p>
            <w:pPr>
              <w:pStyle w:val="TableText"/>
              <w:spacing w:before="292" w:line="222" w:lineRule="auto"/>
              <w:rPr/>
            </w:pPr>
            <w:r>
              <w:rPr>
                <w:spacing w:val="-7"/>
              </w:rPr>
              <w:t>金融资产</w:t>
            </w:r>
          </w:p>
        </w:tc>
        <w:tc>
          <w:tcPr>
            <w:tcW w:w="951" w:type="dxa"/>
            <w:vAlign w:val="top"/>
            <w:tcBorders>
              <w:top w:val="single" w:color="000000" w:sz="2" w:space="0"/>
              <w:bottom w:val="single" w:color="000000" w:sz="4" w:space="0"/>
            </w:tcBorders>
          </w:tcPr>
          <w:p>
            <w:pPr>
              <w:spacing w:line="267" w:lineRule="auto"/>
              <w:rPr>
                <w:rFonts w:ascii="Arial"/>
                <w:sz w:val="21"/>
              </w:rPr>
            </w:pPr>
            <w:r/>
          </w:p>
          <w:p>
            <w:pPr>
              <w:ind w:left="184"/>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15-25</w:t>
            </w:r>
          </w:p>
        </w:tc>
        <w:tc>
          <w:tcPr>
            <w:tcW w:w="1226" w:type="dxa"/>
            <w:vAlign w:val="top"/>
            <w:tcBorders>
              <w:top w:val="single" w:color="000000" w:sz="2" w:space="0"/>
              <w:bottom w:val="single" w:color="000000" w:sz="4" w:space="0"/>
            </w:tcBorders>
          </w:tcPr>
          <w:p>
            <w:pPr>
              <w:spacing w:line="267" w:lineRule="auto"/>
              <w:rPr>
                <w:rFonts w:ascii="Arial"/>
                <w:sz w:val="21"/>
              </w:rPr>
            </w:pPr>
            <w:r/>
          </w:p>
          <w:p>
            <w:pPr>
              <w:ind w:left="293"/>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50-150</w:t>
            </w:r>
          </w:p>
        </w:tc>
        <w:tc>
          <w:tcPr>
            <w:tcW w:w="6197" w:type="dxa"/>
            <w:vAlign w:val="top"/>
            <w:tcBorders>
              <w:top w:val="single" w:color="000000" w:sz="2" w:space="0"/>
              <w:bottom w:val="single" w:color="000000" w:sz="4" w:space="0"/>
            </w:tcBorders>
          </w:tcPr>
          <w:p>
            <w:pPr>
              <w:pStyle w:val="TableText"/>
              <w:ind w:left="199" w:right="3660" w:firstLine="28"/>
              <w:spacing w:before="301" w:line="239" w:lineRule="auto"/>
              <w:rPr>
                <w:sz w:val="21"/>
                <w:szCs w:val="21"/>
              </w:rPr>
            </w:pPr>
            <w:r>
              <w:rPr>
                <w:spacing w:val="-11"/>
              </w:rPr>
              <w:t>股票、基金、理财产品为</w:t>
            </w:r>
            <w:r>
              <w:rPr>
                <w:spacing w:val="8"/>
              </w:rPr>
              <w:t xml:space="preserve"> </w:t>
            </w:r>
            <w:r>
              <w:rPr>
                <w:sz w:val="21"/>
                <w:szCs w:val="21"/>
              </w:rPr>
              <w:t>主</w:t>
            </w:r>
          </w:p>
        </w:tc>
      </w:tr>
      <w:tr>
        <w:trPr>
          <w:trHeight w:val="699" w:hRule="atLeast"/>
        </w:trPr>
        <w:tc>
          <w:tcPr>
            <w:tcW w:w="1715" w:type="dxa"/>
            <w:vAlign w:val="top"/>
            <w:tcBorders>
              <w:bottom w:val="single" w:color="000000" w:sz="2" w:space="0"/>
              <w:top w:val="single" w:color="000000" w:sz="4" w:space="0"/>
            </w:tcBorders>
          </w:tcPr>
          <w:p>
            <w:pPr>
              <w:spacing w:line="321" w:lineRule="auto"/>
              <w:rPr>
                <w:rFonts w:ascii="Arial"/>
                <w:sz w:val="21"/>
              </w:rPr>
            </w:pPr>
            <w:r/>
          </w:p>
          <w:p>
            <w:pPr>
              <w:pStyle w:val="TableText"/>
              <w:spacing w:before="71" w:line="222" w:lineRule="auto"/>
              <w:rPr/>
            </w:pPr>
            <w:r>
              <w:rPr>
                <w:spacing w:val="-10"/>
              </w:rPr>
              <w:t>其他实物资产</w:t>
            </w:r>
          </w:p>
        </w:tc>
        <w:tc>
          <w:tcPr>
            <w:tcW w:w="951" w:type="dxa"/>
            <w:vAlign w:val="top"/>
            <w:tcBorders>
              <w:bottom w:val="single" w:color="000000" w:sz="2" w:space="0"/>
              <w:top w:val="single" w:color="000000" w:sz="4" w:space="0"/>
            </w:tcBorders>
          </w:tcPr>
          <w:p>
            <w:pPr>
              <w:spacing w:line="368" w:lineRule="auto"/>
              <w:rPr>
                <w:rFonts w:ascii="Arial"/>
                <w:sz w:val="21"/>
              </w:rPr>
            </w:pPr>
            <w:r/>
          </w:p>
          <w:p>
            <w:pPr>
              <w:ind w:left="184"/>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3"/>
              </w:rPr>
              <w:t>5-10</w:t>
            </w:r>
          </w:p>
        </w:tc>
        <w:tc>
          <w:tcPr>
            <w:tcW w:w="1226" w:type="dxa"/>
            <w:vAlign w:val="top"/>
            <w:tcBorders>
              <w:bottom w:val="single" w:color="000000" w:sz="2" w:space="0"/>
              <w:top w:val="single" w:color="000000" w:sz="4" w:space="0"/>
            </w:tcBorders>
          </w:tcPr>
          <w:p>
            <w:pPr>
              <w:spacing w:line="329" w:lineRule="auto"/>
              <w:rPr>
                <w:rFonts w:ascii="Arial"/>
                <w:sz w:val="21"/>
              </w:rPr>
            </w:pPr>
            <w:r/>
          </w:p>
          <w:p>
            <w:pPr>
              <w:ind w:left="293"/>
              <w:spacing w:before="75"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2"/>
              </w:rPr>
              <w:t>20-50</w:t>
            </w:r>
          </w:p>
        </w:tc>
        <w:tc>
          <w:tcPr>
            <w:tcW w:w="6197" w:type="dxa"/>
            <w:vAlign w:val="top"/>
            <w:tcBorders>
              <w:bottom w:val="single" w:color="000000" w:sz="2" w:space="0"/>
              <w:top w:val="single" w:color="000000" w:sz="4" w:space="0"/>
            </w:tcBorders>
          </w:tcPr>
          <w:p>
            <w:pPr>
              <w:spacing w:line="320" w:lineRule="auto"/>
              <w:rPr>
                <w:rFonts w:ascii="Arial"/>
                <w:sz w:val="21"/>
              </w:rPr>
            </w:pPr>
            <w:r/>
          </w:p>
          <w:p>
            <w:pPr>
              <w:pStyle w:val="TableText"/>
              <w:ind w:left="227"/>
              <w:spacing w:before="71" w:line="220" w:lineRule="auto"/>
              <w:rPr/>
            </w:pPr>
            <w:r>
              <w:rPr>
                <w:spacing w:val="-8"/>
              </w:rPr>
              <w:t>车辆、商业房产等</w:t>
            </w:r>
          </w:p>
        </w:tc>
      </w:tr>
      <w:tr>
        <w:trPr>
          <w:trHeight w:val="608" w:hRule="atLeast"/>
        </w:trPr>
        <w:tc>
          <w:tcPr>
            <w:tcW w:w="1715" w:type="dxa"/>
            <w:vAlign w:val="top"/>
            <w:tcBorders>
              <w:bottom w:val="single" w:color="000000" w:sz="2" w:space="0"/>
              <w:top w:val="single" w:color="000000" w:sz="2" w:space="0"/>
            </w:tcBorders>
          </w:tcPr>
          <w:p>
            <w:pPr>
              <w:pStyle w:val="TableText"/>
              <w:spacing w:before="289" w:line="220" w:lineRule="auto"/>
              <w:rPr/>
            </w:pPr>
            <w:r>
              <w:rPr>
                <w:spacing w:val="5"/>
              </w:rPr>
              <w:t>负债(主要房贷)</w:t>
            </w:r>
          </w:p>
        </w:tc>
        <w:tc>
          <w:tcPr>
            <w:tcW w:w="951" w:type="dxa"/>
            <w:vAlign w:val="top"/>
            <w:tcBorders>
              <w:bottom w:val="single" w:color="000000" w:sz="2" w:space="0"/>
              <w:top w:val="single" w:color="000000" w:sz="2" w:space="0"/>
            </w:tcBorders>
          </w:tcPr>
          <w:p>
            <w:pPr>
              <w:spacing w:line="275" w:lineRule="auto"/>
              <w:rPr>
                <w:rFonts w:ascii="Arial"/>
                <w:sz w:val="21"/>
              </w:rPr>
            </w:pPr>
            <w:r/>
          </w:p>
          <w:p>
            <w:pPr>
              <w:ind w:left="184"/>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6"/>
              </w:rPr>
              <w:t>15-25</w:t>
            </w:r>
          </w:p>
        </w:tc>
        <w:tc>
          <w:tcPr>
            <w:tcW w:w="1226" w:type="dxa"/>
            <w:vAlign w:val="top"/>
            <w:tcBorders>
              <w:bottom w:val="single" w:color="000000" w:sz="2" w:space="0"/>
              <w:top w:val="single" w:color="000000" w:sz="2" w:space="0"/>
            </w:tcBorders>
          </w:tcPr>
          <w:p>
            <w:pPr>
              <w:ind w:left="293"/>
              <w:spacing w:before="282"/>
              <w:rPr>
                <w:rFonts w:ascii="SimSun" w:hAnsi="SimSun" w:eastAsia="SimSun" w:cs="SimSun"/>
                <w:sz w:val="22"/>
                <w:szCs w:val="22"/>
              </w:rPr>
            </w:pPr>
            <w:r>
              <w:rPr>
                <w:rFonts w:ascii="SimSun" w:hAnsi="SimSun" w:eastAsia="SimSun" w:cs="SimSun"/>
                <w:sz w:val="22"/>
                <w:szCs w:val="22"/>
                <w:spacing w:val="-4"/>
              </w:rPr>
              <w:t>100-200</w:t>
            </w:r>
          </w:p>
        </w:tc>
        <w:tc>
          <w:tcPr>
            <w:tcW w:w="6197" w:type="dxa"/>
            <w:vAlign w:val="top"/>
            <w:tcBorders>
              <w:bottom w:val="single" w:color="000000" w:sz="2" w:space="0"/>
              <w:top w:val="single" w:color="000000" w:sz="2" w:space="0"/>
            </w:tcBorders>
          </w:tcPr>
          <w:p>
            <w:pPr>
              <w:pStyle w:val="TableText"/>
              <w:ind w:left="217"/>
              <w:spacing w:before="282" w:line="223" w:lineRule="auto"/>
              <w:rPr/>
            </w:pPr>
            <w:r>
              <w:rPr>
                <w:spacing w:val="-6"/>
              </w:rPr>
              <w:t>杠杆率较高</w:t>
            </w:r>
          </w:p>
        </w:tc>
      </w:tr>
    </w:tbl>
    <w:p>
      <w:pPr>
        <w:pStyle w:val="BodyText"/>
        <w:ind w:left="93"/>
        <w:spacing w:before="277" w:line="222" w:lineRule="auto"/>
        <w:rPr>
          <w:sz w:val="22"/>
          <w:szCs w:val="22"/>
        </w:rPr>
      </w:pPr>
      <w:r>
        <w:rPr>
          <w:sz w:val="22"/>
          <w:szCs w:val="22"/>
          <w:spacing w:val="2"/>
        </w:rPr>
        <w:t>净资产(总)</w:t>
      </w:r>
      <w:r>
        <w:rPr>
          <w:sz w:val="22"/>
          <w:szCs w:val="22"/>
          <w:spacing w:val="9"/>
        </w:rPr>
        <w:t xml:space="preserve">      </w:t>
      </w:r>
      <w:r>
        <w:rPr>
          <w:rFonts w:ascii="Times New Roman" w:hAnsi="Times New Roman" w:eastAsia="Times New Roman" w:cs="Times New Roman"/>
          <w:sz w:val="15"/>
          <w:szCs w:val="15"/>
          <w:spacing w:val="2"/>
          <w:position w:val="-1"/>
        </w:rPr>
        <w:t>100          </w:t>
      </w:r>
      <w:r>
        <w:rPr>
          <w:rFonts w:ascii="Times New Roman" w:hAnsi="Times New Roman" w:eastAsia="Times New Roman" w:cs="Times New Roman"/>
          <w:sz w:val="15"/>
          <w:szCs w:val="15"/>
          <w:spacing w:val="1"/>
          <w:position w:val="-1"/>
        </w:rPr>
        <w:t xml:space="preserve">            </w:t>
      </w:r>
      <w:r>
        <w:rPr>
          <w:rFonts w:ascii="Times New Roman" w:hAnsi="Times New Roman" w:eastAsia="Times New Roman" w:cs="Times New Roman"/>
          <w:sz w:val="26"/>
          <w:szCs w:val="26"/>
          <w:spacing w:val="1"/>
          <w:position w:val="-1"/>
        </w:rPr>
        <w:t>300-</w:t>
      </w:r>
      <w:r>
        <w:rPr>
          <w:rFonts w:ascii="Times New Roman" w:hAnsi="Times New Roman" w:eastAsia="Times New Roman" w:cs="Times New Roman"/>
          <w:sz w:val="26"/>
          <w:szCs w:val="26"/>
          <w:spacing w:val="4"/>
          <w:position w:val="-1"/>
        </w:rPr>
        <w:t xml:space="preserve">          </w:t>
      </w:r>
      <w:r>
        <w:rPr>
          <w:sz w:val="22"/>
          <w:szCs w:val="22"/>
          <w:spacing w:val="1"/>
        </w:rPr>
        <w:t>高端中产可达1000万以上</w:t>
      </w:r>
    </w:p>
    <w:p>
      <w:pPr>
        <w:ind w:left="3053"/>
        <w:spacing w:before="181" w:line="188" w:lineRule="auto"/>
        <w:rPr>
          <w:rFonts w:ascii="Times New Roman" w:hAnsi="Times New Roman" w:eastAsia="Times New Roman" w:cs="Times New Roman"/>
          <w:sz w:val="15"/>
          <w:szCs w:val="15"/>
        </w:rPr>
      </w:pPr>
      <w:r>
        <w:rPr>
          <w:rFonts w:ascii="Times New Roman" w:hAnsi="Times New Roman" w:eastAsia="Times New Roman" w:cs="Times New Roman"/>
          <w:sz w:val="15"/>
          <w:szCs w:val="15"/>
          <w:spacing w:val="-2"/>
        </w:rPr>
        <w:t>600</w:t>
      </w:r>
    </w:p>
    <w:p>
      <w:pPr>
        <w:spacing w:line="255" w:lineRule="auto"/>
        <w:rPr>
          <w:rFonts w:ascii="Arial"/>
          <w:sz w:val="21"/>
        </w:rPr>
      </w:pPr>
      <w:r/>
    </w:p>
    <w:p>
      <w:pPr>
        <w:spacing w:line="256" w:lineRule="auto"/>
        <w:rPr>
          <w:rFonts w:ascii="Arial"/>
          <w:sz w:val="21"/>
        </w:rPr>
      </w:pPr>
      <w:r/>
    </w:p>
    <w:p>
      <w:pPr>
        <w:pStyle w:val="BodyText"/>
        <w:ind w:left="93"/>
        <w:spacing w:before="72" w:line="221" w:lineRule="auto"/>
        <w:rPr>
          <w:sz w:val="22"/>
          <w:szCs w:val="22"/>
        </w:rPr>
      </w:pPr>
      <w:r>
        <w:rPr>
          <w:sz w:val="22"/>
          <w:szCs w:val="22"/>
          <w:spacing w:val="17"/>
        </w:rPr>
        <w:t>数据来源：据西南财经大学</w:t>
      </w:r>
      <w:r>
        <w:rPr>
          <w:rFonts w:ascii="Times New Roman" w:hAnsi="Times New Roman" w:eastAsia="Times New Roman" w:cs="Times New Roman"/>
          <w:sz w:val="22"/>
          <w:szCs w:val="22"/>
        </w:rPr>
        <w:t>CHFS</w:t>
      </w:r>
      <w:r>
        <w:rPr>
          <w:rFonts w:ascii="Times New Roman" w:hAnsi="Times New Roman" w:eastAsia="Times New Roman" w:cs="Times New Roman"/>
          <w:sz w:val="22"/>
          <w:szCs w:val="22"/>
          <w:spacing w:val="17"/>
        </w:rPr>
        <w:t xml:space="preserve">  </w:t>
      </w:r>
      <w:r>
        <w:rPr>
          <w:sz w:val="22"/>
          <w:szCs w:val="22"/>
          <w:spacing w:val="17"/>
        </w:rPr>
        <w:t>系列报告及胡</w:t>
      </w:r>
      <w:r>
        <w:rPr>
          <w:sz w:val="22"/>
          <w:szCs w:val="22"/>
          <w:spacing w:val="16"/>
        </w:rPr>
        <w:t>润财富报告综合。</w:t>
      </w:r>
    </w:p>
    <w:p>
      <w:pPr>
        <w:spacing w:line="310" w:lineRule="auto"/>
        <w:rPr>
          <w:rFonts w:ascii="Arial"/>
          <w:sz w:val="21"/>
        </w:rPr>
      </w:pPr>
      <w:r/>
    </w:p>
    <w:p>
      <w:pPr>
        <w:pStyle w:val="BodyText"/>
        <w:ind w:left="96"/>
        <w:spacing w:before="71" w:line="221" w:lineRule="auto"/>
        <w:outlineLvl w:val="4"/>
        <w:rPr>
          <w:sz w:val="22"/>
          <w:szCs w:val="22"/>
        </w:rPr>
      </w:pPr>
      <w:r>
        <w:rPr>
          <w:sz w:val="22"/>
          <w:szCs w:val="22"/>
          <w:b/>
          <w:bCs/>
          <w:spacing w:val="14"/>
        </w:rPr>
        <w:t>(三)中产阶层的潜在财务脆弱性与局限性</w:t>
      </w:r>
    </w:p>
    <w:p>
      <w:pPr>
        <w:pStyle w:val="BodyText"/>
        <w:ind w:left="93"/>
        <w:spacing w:before="202" w:line="351" w:lineRule="auto"/>
        <w:rPr>
          <w:sz w:val="22"/>
          <w:szCs w:val="22"/>
        </w:rPr>
      </w:pPr>
      <w:r>
        <w:rPr>
          <w:sz w:val="22"/>
          <w:szCs w:val="22"/>
          <w:spacing w:val="16"/>
        </w:rPr>
        <w:t>尽管中产阶层财务状况相对优越，但潜在脆弱性不容忽视。</w:t>
      </w:r>
      <w:r>
        <w:rPr>
          <w:sz w:val="22"/>
          <w:szCs w:val="22"/>
          <w:spacing w:val="70"/>
        </w:rPr>
        <w:t xml:space="preserve"> </w:t>
      </w:r>
      <w:r>
        <w:rPr>
          <w:sz w:val="22"/>
          <w:szCs w:val="22"/>
          <w:spacing w:val="16"/>
        </w:rPr>
        <w:t>一是流动性约束突出，住房资产占比</w:t>
      </w:r>
      <w:r>
        <w:rPr>
          <w:sz w:val="22"/>
          <w:szCs w:val="22"/>
        </w:rPr>
        <w:t xml:space="preserve"> </w:t>
      </w:r>
      <w:r>
        <w:rPr>
          <w:sz w:val="22"/>
          <w:szCs w:val="22"/>
          <w:spacing w:val="16"/>
        </w:rPr>
        <w:t>过高导致金融资产配置不足，</w:t>
      </w:r>
      <w:r>
        <w:rPr>
          <w:sz w:val="22"/>
          <w:szCs w:val="22"/>
          <w:spacing w:val="82"/>
        </w:rPr>
        <w:t xml:space="preserve"> </w:t>
      </w:r>
      <w:r>
        <w:rPr>
          <w:sz w:val="22"/>
          <w:szCs w:val="22"/>
          <w:spacing w:val="16"/>
        </w:rPr>
        <w:t>一旦房地产市场波动或</w:t>
      </w:r>
      <w:r>
        <w:rPr>
          <w:sz w:val="22"/>
          <w:szCs w:val="22"/>
          <w:spacing w:val="15"/>
        </w:rPr>
        <w:t>失业风险发生，易引发财务压力。二是区域</w:t>
      </w:r>
      <w:r>
        <w:rPr>
          <w:sz w:val="22"/>
          <w:szCs w:val="22"/>
        </w:rPr>
        <w:t xml:space="preserve"> </w:t>
      </w:r>
      <w:r>
        <w:rPr>
          <w:sz w:val="22"/>
          <w:szCs w:val="22"/>
          <w:spacing w:val="29"/>
        </w:rPr>
        <w:t>发展不均衡性显著,一线城市中产标准(家庭净资产需500万以上)远高于三四线城市，政策适</w:t>
      </w:r>
      <w:r>
        <w:rPr>
          <w:sz w:val="22"/>
          <w:szCs w:val="22"/>
          <w:spacing w:val="15"/>
        </w:rPr>
        <w:t xml:space="preserve"> </w:t>
      </w:r>
      <w:r>
        <w:rPr>
          <w:sz w:val="22"/>
          <w:szCs w:val="22"/>
          <w:spacing w:val="22"/>
        </w:rPr>
        <w:t>用条件存在局限性。三是教育与医疗支出占比高</w:t>
      </w:r>
      <w:r>
        <w:rPr>
          <w:sz w:val="22"/>
          <w:szCs w:val="22"/>
          <w:spacing w:val="22"/>
        </w:rPr>
        <w:t xml:space="preserve"> </w:t>
      </w:r>
      <w:r>
        <w:rPr>
          <w:rFonts w:ascii="SimSun" w:hAnsi="SimSun" w:eastAsia="SimSun" w:cs="SimSun"/>
          <w:sz w:val="22"/>
          <w:szCs w:val="22"/>
          <w:spacing w:val="22"/>
        </w:rPr>
        <w:t>(K12 </w:t>
      </w:r>
      <w:r>
        <w:rPr>
          <w:sz w:val="22"/>
          <w:szCs w:val="22"/>
          <w:spacing w:val="22"/>
        </w:rPr>
        <w:t>教育支出约占15%-</w:t>
      </w:r>
      <w:r>
        <w:rPr>
          <w:sz w:val="22"/>
          <w:szCs w:val="22"/>
          <w:spacing w:val="-66"/>
        </w:rPr>
        <w:t xml:space="preserve"> </w:t>
      </w:r>
      <w:r>
        <w:rPr>
          <w:sz w:val="22"/>
          <w:szCs w:val="22"/>
          <w:spacing w:val="22"/>
        </w:rPr>
        <w:t>20%),在</w:t>
      </w:r>
      <w:r>
        <w:rPr>
          <w:sz w:val="22"/>
          <w:szCs w:val="22"/>
          <w:spacing w:val="-60"/>
        </w:rPr>
        <w:t xml:space="preserve"> </w:t>
      </w:r>
      <w:r>
        <w:rPr>
          <w:sz w:val="22"/>
          <w:szCs w:val="22"/>
          <w:spacing w:val="22"/>
        </w:rPr>
        <w:t>一定程度上</w:t>
      </w:r>
      <w:r>
        <w:rPr>
          <w:sz w:val="22"/>
          <w:szCs w:val="22"/>
        </w:rPr>
        <w:t xml:space="preserve"> </w:t>
      </w:r>
      <w:r>
        <w:rPr>
          <w:sz w:val="22"/>
          <w:szCs w:val="22"/>
          <w:spacing w:val="14"/>
        </w:rPr>
        <w:t>挤压储蓄与投资空间。数据显示，部分中产家庭负债率超过国际平均水平，面临“中产返</w:t>
      </w:r>
      <w:r>
        <w:rPr>
          <w:sz w:val="22"/>
          <w:szCs w:val="22"/>
          <w:spacing w:val="13"/>
        </w:rPr>
        <w:t>贫”风</w:t>
      </w:r>
    </w:p>
    <w:p>
      <w:pPr>
        <w:pStyle w:val="BodyText"/>
        <w:ind w:left="93"/>
        <w:spacing w:before="18" w:line="222" w:lineRule="auto"/>
        <w:rPr>
          <w:sz w:val="22"/>
          <w:szCs w:val="22"/>
        </w:rPr>
      </w:pPr>
      <w:r>
        <w:rPr>
          <w:sz w:val="22"/>
          <w:szCs w:val="22"/>
          <w:spacing w:val="-10"/>
        </w:rPr>
        <w:t>险</w:t>
      </w:r>
      <w:r>
        <w:rPr>
          <w:sz w:val="22"/>
          <w:szCs w:val="22"/>
          <w:spacing w:val="-53"/>
        </w:rPr>
        <w:t xml:space="preserve"> </w:t>
      </w:r>
      <w:r>
        <w:rPr>
          <w:sz w:val="22"/>
          <w:szCs w:val="22"/>
          <w:spacing w:val="-10"/>
        </w:rPr>
        <w:t>。</w:t>
      </w:r>
    </w:p>
    <w:p>
      <w:pPr>
        <w:pStyle w:val="BodyText"/>
        <w:ind w:left="96"/>
        <w:spacing w:before="291" w:line="213" w:lineRule="auto"/>
        <w:rPr>
          <w:sz w:val="22"/>
          <w:szCs w:val="22"/>
        </w:rPr>
      </w:pPr>
      <w:r>
        <w:rPr>
          <w:sz w:val="22"/>
          <w:szCs w:val="22"/>
          <w:b/>
          <w:bCs/>
          <w:spacing w:val="24"/>
        </w:rPr>
        <w:t>不同城市中产标准差异对比表(家庭年收入与净资产门槛，2024-2025年估算)</w:t>
      </w:r>
    </w:p>
    <w:p>
      <w:pPr>
        <w:spacing w:line="282" w:lineRule="auto"/>
        <w:rPr>
          <w:rFonts w:ascii="Arial"/>
          <w:sz w:val="21"/>
        </w:rPr>
      </w:pPr>
      <w:r/>
    </w:p>
    <w:p>
      <w:pPr>
        <w:pStyle w:val="BodyText"/>
        <w:ind w:left="96"/>
        <w:spacing w:before="72" w:line="221" w:lineRule="auto"/>
        <w:rPr>
          <w:sz w:val="22"/>
          <w:szCs w:val="22"/>
        </w:rPr>
      </w:pPr>
      <w:r>
        <w:rPr>
          <w:sz w:val="22"/>
          <w:szCs w:val="22"/>
          <w:b/>
          <w:bCs/>
          <w:spacing w:val="-2"/>
        </w:rPr>
        <w:t>城市等级</w:t>
      </w:r>
      <w:r>
        <w:rPr>
          <w:sz w:val="22"/>
          <w:szCs w:val="22"/>
          <w:spacing w:val="-2"/>
        </w:rPr>
        <w:t xml:space="preserve">  </w:t>
      </w:r>
      <w:r>
        <w:rPr>
          <w:sz w:val="22"/>
          <w:szCs w:val="22"/>
          <w:b/>
          <w:bCs/>
          <w:spacing w:val="-2"/>
        </w:rPr>
        <w:t>年家庭收入门槛(万元)</w:t>
      </w:r>
      <w:r>
        <w:rPr>
          <w:sz w:val="22"/>
          <w:szCs w:val="22"/>
          <w:spacing w:val="-2"/>
        </w:rPr>
        <w:t xml:space="preserve">   </w:t>
      </w:r>
      <w:r>
        <w:rPr>
          <w:sz w:val="22"/>
          <w:szCs w:val="22"/>
          <w:b/>
          <w:bCs/>
          <w:spacing w:val="-2"/>
        </w:rPr>
        <w:t>净资产门槛(万元)</w:t>
      </w:r>
      <w:r>
        <w:rPr>
          <w:sz w:val="22"/>
          <w:szCs w:val="22"/>
          <w:spacing w:val="48"/>
        </w:rPr>
        <w:t xml:space="preserve">  </w:t>
      </w:r>
      <w:r>
        <w:rPr>
          <w:sz w:val="22"/>
          <w:szCs w:val="22"/>
          <w:b/>
          <w:bCs/>
          <w:spacing w:val="-2"/>
        </w:rPr>
        <w:t>主要脆弱性因素</w:t>
      </w:r>
    </w:p>
    <w:p>
      <w:pPr>
        <w:spacing w:line="255" w:lineRule="auto"/>
        <w:rPr>
          <w:rFonts w:ascii="Arial"/>
          <w:sz w:val="21"/>
        </w:rPr>
      </w:pPr>
      <w:r/>
    </w:p>
    <w:p>
      <w:pPr>
        <w:pStyle w:val="BodyText"/>
        <w:ind w:left="93"/>
        <w:spacing w:before="72" w:line="219" w:lineRule="auto"/>
        <w:rPr>
          <w:sz w:val="22"/>
          <w:szCs w:val="22"/>
        </w:rPr>
      </w:pPr>
      <w:r>
        <w:rPr>
          <w:sz w:val="22"/>
          <w:szCs w:val="22"/>
          <w:spacing w:val="1"/>
        </w:rPr>
        <w:t>超一线</w:t>
      </w:r>
      <w:r>
        <w:rPr>
          <w:sz w:val="22"/>
          <w:szCs w:val="22"/>
          <w:spacing w:val="1"/>
        </w:rPr>
        <w:t xml:space="preserve">    </w:t>
      </w:r>
      <w:r>
        <w:rPr>
          <w:sz w:val="22"/>
          <w:szCs w:val="22"/>
          <w:spacing w:val="1"/>
        </w:rPr>
        <w:t>50以上</w:t>
      </w:r>
      <w:r>
        <w:rPr>
          <w:sz w:val="22"/>
          <w:szCs w:val="22"/>
          <w:spacing w:val="1"/>
        </w:rPr>
        <w:t xml:space="preserve">                 </w:t>
      </w:r>
      <w:r>
        <w:rPr>
          <w:sz w:val="22"/>
          <w:szCs w:val="22"/>
        </w:rPr>
        <w:t>800以上</w:t>
      </w:r>
      <w:r>
        <w:rPr>
          <w:sz w:val="22"/>
          <w:szCs w:val="22"/>
          <w:spacing w:val="8"/>
        </w:rPr>
        <w:t xml:space="preserve">           </w:t>
      </w:r>
      <w:r>
        <w:rPr>
          <w:sz w:val="22"/>
          <w:szCs w:val="22"/>
        </w:rPr>
        <w:t>高房价、房贷压力</w:t>
      </w:r>
    </w:p>
    <w:p>
      <w:pPr>
        <w:spacing w:line="63" w:lineRule="exact"/>
        <w:rPr/>
      </w:pPr>
      <w:r/>
    </w:p>
    <w:tbl>
      <w:tblPr>
        <w:tblStyle w:val="TableNormal"/>
        <w:tblW w:w="8329" w:type="dxa"/>
        <w:tblInd w:w="9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604"/>
        <w:gridCol w:w="2436"/>
        <w:gridCol w:w="3289"/>
      </w:tblGrid>
      <w:tr>
        <w:trPr>
          <w:trHeight w:val="609" w:hRule="atLeast"/>
        </w:trPr>
        <w:tc>
          <w:tcPr>
            <w:tcW w:w="2604" w:type="dxa"/>
            <w:vAlign w:val="top"/>
            <w:tcBorders>
              <w:bottom w:val="single" w:color="000000" w:sz="2" w:space="0"/>
              <w:top w:val="single" w:color="000000" w:sz="2" w:space="0"/>
            </w:tcBorders>
          </w:tcPr>
          <w:p>
            <w:pPr>
              <w:pStyle w:val="TableText"/>
              <w:spacing w:before="290" w:line="204" w:lineRule="auto"/>
              <w:rPr>
                <w:rFonts w:ascii="Times New Roman" w:hAnsi="Times New Roman" w:eastAsia="Times New Roman" w:cs="Times New Roman"/>
                <w:sz w:val="26"/>
                <w:szCs w:val="26"/>
              </w:rPr>
            </w:pPr>
            <w:r>
              <w:rPr>
                <w:spacing w:val="-4"/>
              </w:rPr>
              <w:t>一线</w:t>
            </w:r>
            <w:r>
              <w:rPr>
                <w:spacing w:val="2"/>
              </w:rPr>
              <w:t xml:space="preserve">      </w:t>
            </w:r>
            <w:r>
              <w:rPr>
                <w:rFonts w:ascii="Times New Roman" w:hAnsi="Times New Roman" w:eastAsia="Times New Roman" w:cs="Times New Roman"/>
                <w:sz w:val="26"/>
                <w:szCs w:val="26"/>
                <w:spacing w:val="-4"/>
              </w:rPr>
              <w:t>30-50</w:t>
            </w:r>
          </w:p>
        </w:tc>
        <w:tc>
          <w:tcPr>
            <w:tcW w:w="2436" w:type="dxa"/>
            <w:vAlign w:val="top"/>
            <w:tcBorders>
              <w:bottom w:val="single" w:color="000000" w:sz="2" w:space="0"/>
              <w:top w:val="single" w:color="000000" w:sz="2" w:space="0"/>
            </w:tcBorders>
          </w:tcPr>
          <w:p>
            <w:pPr>
              <w:spacing w:line="257" w:lineRule="auto"/>
              <w:rPr>
                <w:rFonts w:ascii="Arial"/>
                <w:sz w:val="21"/>
              </w:rPr>
            </w:pPr>
            <w:r/>
          </w:p>
          <w:p>
            <w:pPr>
              <w:ind w:left="1035"/>
              <w:spacing w:before="63" w:line="188" w:lineRule="auto"/>
              <w:rPr>
                <w:rFonts w:ascii="Times New Roman" w:hAnsi="Times New Roman" w:eastAsia="Times New Roman" w:cs="Times New Roman"/>
                <w:sz w:val="22"/>
                <w:szCs w:val="22"/>
              </w:rPr>
            </w:pPr>
            <w:r>
              <w:rPr>
                <w:rFonts w:ascii="Times New Roman" w:hAnsi="Times New Roman" w:eastAsia="Times New Roman" w:cs="Times New Roman"/>
                <w:sz w:val="22"/>
                <w:szCs w:val="22"/>
                <w:spacing w:val="-2"/>
              </w:rPr>
              <w:t>500-800</w:t>
            </w:r>
          </w:p>
        </w:tc>
        <w:tc>
          <w:tcPr>
            <w:tcW w:w="3289" w:type="dxa"/>
            <w:vAlign w:val="top"/>
            <w:tcBorders>
              <w:bottom w:val="single" w:color="000000" w:sz="2" w:space="0"/>
              <w:top w:val="single" w:color="000000" w:sz="2" w:space="0"/>
            </w:tcBorders>
          </w:tcPr>
          <w:p>
            <w:pPr>
              <w:pStyle w:val="TableText"/>
              <w:ind w:left="749"/>
              <w:spacing w:before="284" w:line="222" w:lineRule="auto"/>
              <w:rPr/>
            </w:pPr>
            <w:r>
              <w:rPr>
                <w:spacing w:val="-7"/>
              </w:rPr>
              <w:t>教育支出与生活成本</w:t>
            </w:r>
          </w:p>
        </w:tc>
      </w:tr>
    </w:tbl>
    <w:p>
      <w:pPr>
        <w:spacing w:line="231" w:lineRule="exact"/>
        <w:rPr>
          <w:rFonts w:ascii="Arial"/>
          <w:sz w:val="20"/>
        </w:rPr>
      </w:pPr>
      <w:r/>
    </w:p>
    <w:p>
      <w:pPr>
        <w:spacing w:line="231" w:lineRule="exact"/>
        <w:sectPr>
          <w:type w:val="continuous"/>
          <w:pgSz w:w="12240" w:h="15840"/>
          <w:pgMar w:top="1057" w:right="1166" w:bottom="0" w:left="886" w:header="0" w:footer="0" w:gutter="0"/>
          <w:cols w:equalWidth="0" w:num="1">
            <w:col w:w="10187" w:space="0"/>
          </w:cols>
        </w:sectPr>
        <w:rPr>
          <w:rFonts w:ascii="Arial" w:hAnsi="Arial" w:eastAsia="Arial" w:cs="Arial"/>
          <w:sz w:val="20"/>
          <w:szCs w:val="20"/>
        </w:rPr>
      </w:pPr>
    </w:p>
    <w:p>
      <w:pPr>
        <w:pStyle w:val="BodyText"/>
        <w:ind w:left="93"/>
        <w:spacing w:before="45" w:line="219" w:lineRule="auto"/>
        <w:rPr>
          <w:sz w:val="22"/>
          <w:szCs w:val="22"/>
        </w:rPr>
      </w:pPr>
      <w:r>
        <w:rPr>
          <w:sz w:val="22"/>
          <w:szCs w:val="22"/>
          <w:spacing w:val="-8"/>
        </w:rPr>
        <w:t>二三线</w:t>
      </w:r>
    </w:p>
    <w:p>
      <w:pPr>
        <w:spacing w:line="14" w:lineRule="auto"/>
        <w:rPr>
          <w:rFonts w:ascii="Arial"/>
          <w:sz w:val="2"/>
        </w:rPr>
      </w:pPr>
      <w:r>
        <w:rPr>
          <w:rFonts w:ascii="Arial" w:hAnsi="Arial" w:eastAsia="Arial" w:cs="Arial"/>
          <w:sz w:val="2"/>
          <w:szCs w:val="2"/>
        </w:rPr>
        <w:br w:type="column"/>
      </w:r>
    </w:p>
    <w:p>
      <w:pPr>
        <w:spacing w:before="43" w:line="225" w:lineRule="auto"/>
        <w:rPr>
          <w:rFonts w:ascii="SimSun" w:hAnsi="SimSun" w:eastAsia="SimSun" w:cs="SimSun"/>
          <w:sz w:val="22"/>
          <w:szCs w:val="22"/>
        </w:rPr>
      </w:pPr>
      <w:r>
        <w:rPr>
          <w:rFonts w:ascii="SimSun" w:hAnsi="SimSun" w:eastAsia="SimSun" w:cs="SimSun"/>
          <w:sz w:val="22"/>
          <w:szCs w:val="22"/>
          <w:spacing w:val="-5"/>
        </w:rPr>
        <w:t>15-30</w:t>
      </w:r>
    </w:p>
    <w:p>
      <w:pPr>
        <w:spacing w:line="14" w:lineRule="auto"/>
        <w:rPr>
          <w:rFonts w:ascii="Arial"/>
          <w:sz w:val="2"/>
        </w:rPr>
      </w:pPr>
      <w:r>
        <w:rPr>
          <w:rFonts w:ascii="Arial" w:hAnsi="Arial" w:eastAsia="Arial" w:cs="Arial"/>
          <w:sz w:val="2"/>
          <w:szCs w:val="2"/>
        </w:rPr>
        <w:br w:type="column"/>
      </w:r>
    </w:p>
    <w:p>
      <w:pPr>
        <w:spacing w:before="54" w:line="188" w:lineRule="auto"/>
        <w:rPr>
          <w:rFonts w:ascii="Times New Roman" w:hAnsi="Times New Roman" w:eastAsia="Times New Roman" w:cs="Times New Roman"/>
          <w:sz w:val="26"/>
          <w:szCs w:val="26"/>
        </w:rPr>
      </w:pPr>
      <w:r>
        <w:rPr>
          <w:rFonts w:ascii="Times New Roman" w:hAnsi="Times New Roman" w:eastAsia="Times New Roman" w:cs="Times New Roman"/>
          <w:sz w:val="26"/>
          <w:szCs w:val="26"/>
          <w:spacing w:val="-1"/>
        </w:rPr>
        <w:t>200-500</w:t>
      </w:r>
    </w:p>
    <w:p>
      <w:pPr>
        <w:spacing w:line="14" w:lineRule="auto"/>
        <w:rPr>
          <w:rFonts w:ascii="Arial"/>
          <w:sz w:val="2"/>
        </w:rPr>
      </w:pPr>
      <w:r>
        <w:rPr>
          <w:rFonts w:ascii="Arial" w:hAnsi="Arial" w:eastAsia="Arial" w:cs="Arial"/>
          <w:sz w:val="2"/>
          <w:szCs w:val="2"/>
        </w:rPr>
        <w:br w:type="column"/>
      </w:r>
    </w:p>
    <w:p>
      <w:pPr>
        <w:pStyle w:val="BodyText"/>
        <w:spacing w:before="42" w:line="222" w:lineRule="auto"/>
        <w:rPr>
          <w:sz w:val="22"/>
          <w:szCs w:val="22"/>
        </w:rPr>
      </w:pPr>
      <w:r>
        <w:rPr>
          <w:sz w:val="22"/>
          <w:szCs w:val="22"/>
          <w:spacing w:val="-8"/>
        </w:rPr>
        <w:t>就业稳定性与区域经济波动</w:t>
      </w:r>
    </w:p>
    <w:p>
      <w:pPr>
        <w:spacing w:line="222" w:lineRule="auto"/>
        <w:sectPr>
          <w:type w:val="continuous"/>
          <w:pgSz w:w="12240" w:h="15840"/>
          <w:pgMar w:top="1057" w:right="1166" w:bottom="0" w:left="886" w:header="0" w:footer="0" w:gutter="0"/>
          <w:cols w:equalWidth="0" w:num="4">
            <w:col w:w="1064" w:space="100"/>
            <w:col w:w="2471" w:space="100"/>
            <w:col w:w="2050" w:space="100"/>
            <w:col w:w="4304" w:space="0"/>
          </w:cols>
        </w:sectPr>
        <w:rPr>
          <w:sz w:val="22"/>
          <w:szCs w:val="22"/>
        </w:rPr>
      </w:pPr>
    </w:p>
    <w:p>
      <w:pPr>
        <w:spacing w:line="331" w:lineRule="auto"/>
        <w:rPr>
          <w:rFonts w:ascii="Arial"/>
          <w:sz w:val="21"/>
        </w:rPr>
      </w:pPr>
      <w:r/>
    </w:p>
    <w:p>
      <w:pPr>
        <w:spacing w:line="331" w:lineRule="auto"/>
        <w:rPr>
          <w:rFonts w:ascii="Arial"/>
          <w:sz w:val="21"/>
        </w:rPr>
      </w:pPr>
      <w:r/>
    </w:p>
    <w:p>
      <w:pPr>
        <w:pStyle w:val="BodyText"/>
        <w:ind w:left="97"/>
        <w:spacing w:before="98" w:line="187" w:lineRule="auto"/>
        <w:outlineLvl w:val="2"/>
        <w:rPr>
          <w:sz w:val="30"/>
          <w:szCs w:val="30"/>
        </w:rPr>
      </w:pPr>
      <w:r>
        <w:rPr>
          <w:sz w:val="30"/>
          <w:szCs w:val="30"/>
          <w:b/>
          <w:bCs/>
          <w:spacing w:val="-4"/>
        </w:rPr>
        <w:t>四、战略建议与政策展望</w:t>
      </w:r>
    </w:p>
    <w:p>
      <w:pPr>
        <w:spacing w:line="187" w:lineRule="auto"/>
        <w:sectPr>
          <w:type w:val="continuous"/>
          <w:pgSz w:w="12240" w:h="15840"/>
          <w:pgMar w:top="1057" w:right="1166" w:bottom="0" w:left="886" w:header="0" w:footer="0" w:gutter="0"/>
          <w:cols w:equalWidth="0" w:num="1">
            <w:col w:w="10187" w:space="0"/>
          </w:cols>
        </w:sectPr>
        <w:rPr>
          <w:sz w:val="30"/>
          <w:szCs w:val="30"/>
        </w:rPr>
      </w:pPr>
    </w:p>
    <w:p>
      <w:pPr>
        <w:pStyle w:val="BodyText"/>
        <w:spacing w:before="46" w:line="336" w:lineRule="auto"/>
        <w:jc w:val="both"/>
        <w:rPr>
          <w:sz w:val="23"/>
          <w:szCs w:val="23"/>
        </w:rPr>
      </w:pPr>
      <w:r>
        <w:rPr>
          <w:sz w:val="23"/>
          <w:szCs w:val="23"/>
          <w:spacing w:val="10"/>
        </w:rPr>
        <w:t>为促进中产阶层壮大与财富分配优化，建议可考量以下措施：在一定程度上加强金融教育，提升</w:t>
      </w:r>
      <w:r>
        <w:rPr>
          <w:sz w:val="23"/>
          <w:szCs w:val="23"/>
          <w:spacing w:val="7"/>
        </w:rPr>
        <w:t xml:space="preserve"> </w:t>
      </w:r>
      <w:r>
        <w:rPr>
          <w:sz w:val="23"/>
          <w:szCs w:val="23"/>
          <w:spacing w:val="10"/>
        </w:rPr>
        <w:t>中产金融资产配置比例；推动房地产长效机制，缓解流动性约束；完善社会保障体系，降低教育</w:t>
      </w:r>
      <w:r>
        <w:rPr>
          <w:sz w:val="23"/>
          <w:szCs w:val="23"/>
          <w:spacing w:val="16"/>
        </w:rPr>
        <w:t xml:space="preserve"> </w:t>
      </w:r>
      <w:r>
        <w:rPr>
          <w:sz w:val="23"/>
          <w:szCs w:val="23"/>
          <w:spacing w:val="4"/>
        </w:rPr>
        <w:t>医疗支出负担。这些举措可与国家“共同富裕”战略深度对接，通过扩大中等收入群体支撑内需驱</w:t>
      </w:r>
      <w:r>
        <w:rPr>
          <w:sz w:val="23"/>
          <w:szCs w:val="23"/>
          <w:spacing w:val="7"/>
        </w:rPr>
        <w:t xml:space="preserve"> </w:t>
      </w:r>
      <w:r>
        <w:rPr>
          <w:sz w:val="23"/>
          <w:szCs w:val="23"/>
          <w:spacing w:val="4"/>
        </w:rPr>
        <w:t>动的“双循环”发展格局，实现阶层结构优化与经济高质量发展有机统一。数据显示，若中</w:t>
      </w:r>
      <w:r>
        <w:rPr>
          <w:sz w:val="23"/>
          <w:szCs w:val="23"/>
          <w:spacing w:val="3"/>
        </w:rPr>
        <w:t>等收入</w:t>
      </w:r>
      <w:r>
        <w:rPr>
          <w:sz w:val="23"/>
          <w:szCs w:val="23"/>
        </w:rPr>
        <w:t xml:space="preserve"> </w:t>
      </w:r>
      <w:r>
        <w:rPr>
          <w:sz w:val="23"/>
          <w:szCs w:val="23"/>
          <w:spacing w:val="9"/>
        </w:rPr>
        <w:t>群体比例进一步提升，将显著增强消费对经济增长的贡献度。</w:t>
      </w:r>
    </w:p>
    <w:p>
      <w:pPr>
        <w:pStyle w:val="BodyText"/>
        <w:ind w:left="3"/>
        <w:spacing w:before="153" w:line="221" w:lineRule="auto"/>
        <w:rPr>
          <w:sz w:val="23"/>
          <w:szCs w:val="23"/>
        </w:rPr>
      </w:pPr>
      <w:r>
        <w:rPr>
          <w:sz w:val="23"/>
          <w:szCs w:val="23"/>
          <w:b/>
          <w:bCs/>
          <w:spacing w:val="17"/>
        </w:rPr>
        <w:t>参考文献来源(部分):</w:t>
      </w:r>
    </w:p>
    <w:p>
      <w:pPr>
        <w:pStyle w:val="BodyText"/>
        <w:ind w:left="379"/>
        <w:spacing w:before="257" w:line="221" w:lineRule="auto"/>
        <w:rPr>
          <w:sz w:val="23"/>
          <w:szCs w:val="23"/>
        </w:rPr>
      </w:pPr>
      <w:r>
        <w:rPr>
          <w:sz w:val="23"/>
          <w:szCs w:val="23"/>
          <w:spacing w:val="15"/>
        </w:rPr>
        <w:t>·</w:t>
      </w:r>
      <w:r>
        <w:rPr>
          <w:sz w:val="23"/>
          <w:szCs w:val="23"/>
          <w:spacing w:val="-67"/>
        </w:rPr>
        <w:t xml:space="preserve"> </w:t>
      </w:r>
      <w:r>
        <w:rPr>
          <w:sz w:val="23"/>
          <w:szCs w:val="23"/>
          <w:spacing w:val="15"/>
        </w:rPr>
        <w:t>国家统计局《2024年国民经济和社会发展统计公报》2025年发布)</w:t>
      </w:r>
    </w:p>
    <w:p>
      <w:pPr>
        <w:pStyle w:val="BodyText"/>
        <w:ind w:left="379"/>
        <w:spacing w:before="274" w:line="221" w:lineRule="auto"/>
        <w:rPr>
          <w:sz w:val="23"/>
          <w:szCs w:val="23"/>
        </w:rPr>
      </w:pPr>
      <w:r>
        <w:rPr>
          <w:sz w:val="23"/>
          <w:szCs w:val="23"/>
          <w:spacing w:val="2"/>
        </w:rPr>
        <w:t>·</w:t>
      </w:r>
      <w:r>
        <w:rPr>
          <w:sz w:val="23"/>
          <w:szCs w:val="23"/>
          <w:spacing w:val="-88"/>
        </w:rPr>
        <w:t xml:space="preserve"> </w:t>
      </w:r>
      <w:r>
        <w:rPr>
          <w:sz w:val="23"/>
          <w:szCs w:val="23"/>
          <w:spacing w:val="2"/>
        </w:rPr>
        <w:t>西南财经大学中国家庭金融调查</w:t>
      </w:r>
      <w:r>
        <w:rPr>
          <w:sz w:val="23"/>
          <w:szCs w:val="23"/>
          <w:spacing w:val="2"/>
        </w:rPr>
        <w:t xml:space="preserve"> </w:t>
      </w:r>
      <w:r>
        <w:rPr>
          <w:rFonts w:ascii="SimSun" w:hAnsi="SimSun" w:eastAsia="SimSun" w:cs="SimSun"/>
          <w:sz w:val="23"/>
          <w:szCs w:val="23"/>
          <w:spacing w:val="2"/>
        </w:rPr>
        <w:t>(</w:t>
      </w:r>
      <w:r>
        <w:rPr>
          <w:rFonts w:ascii="SimSun" w:hAnsi="SimSun" w:eastAsia="SimSun" w:cs="SimSun"/>
          <w:sz w:val="23"/>
          <w:szCs w:val="23"/>
        </w:rPr>
        <w:t>CHFS</w:t>
      </w:r>
      <w:r>
        <w:rPr>
          <w:rFonts w:ascii="SimSun" w:hAnsi="SimSun" w:eastAsia="SimSun" w:cs="SimSun"/>
          <w:sz w:val="23"/>
          <w:szCs w:val="23"/>
          <w:spacing w:val="2"/>
        </w:rPr>
        <w:t>) </w:t>
      </w:r>
      <w:r>
        <w:rPr>
          <w:rFonts w:ascii="SimSun" w:hAnsi="SimSun" w:eastAsia="SimSun" w:cs="SimSun"/>
          <w:sz w:val="23"/>
          <w:szCs w:val="23"/>
          <w:spacing w:val="1"/>
        </w:rPr>
        <w:t xml:space="preserve">  </w:t>
      </w:r>
      <w:r>
        <w:rPr>
          <w:sz w:val="23"/>
          <w:szCs w:val="23"/>
          <w:spacing w:val="1"/>
        </w:rPr>
        <w:t>系列报告</w:t>
      </w:r>
    </w:p>
    <w:p>
      <w:pPr>
        <w:pStyle w:val="BodyText"/>
        <w:ind w:left="379"/>
        <w:spacing w:before="266" w:line="222" w:lineRule="auto"/>
        <w:rPr>
          <w:sz w:val="23"/>
          <w:szCs w:val="23"/>
        </w:rPr>
      </w:pPr>
      <w:r>
        <w:rPr>
          <w:sz w:val="23"/>
          <w:szCs w:val="23"/>
        </w:rPr>
        <w:t>·</w:t>
      </w:r>
      <w:r>
        <w:rPr>
          <w:sz w:val="23"/>
          <w:szCs w:val="23"/>
          <w:spacing w:val="-91"/>
        </w:rPr>
        <w:t xml:space="preserve"> </w:t>
      </w:r>
      <w:r>
        <w:rPr>
          <w:sz w:val="23"/>
          <w:szCs w:val="23"/>
        </w:rPr>
        <w:t>麦肯锡中国消费者报告系列</w:t>
      </w:r>
    </w:p>
    <w:p>
      <w:pPr>
        <w:pStyle w:val="BodyText"/>
        <w:ind w:left="379"/>
        <w:spacing w:before="263" w:line="222" w:lineRule="auto"/>
        <w:rPr>
          <w:sz w:val="23"/>
          <w:szCs w:val="23"/>
        </w:rPr>
      </w:pPr>
      <w:r>
        <w:rPr>
          <w:rFonts w:ascii="SimSun" w:hAnsi="SimSun" w:eastAsia="SimSun" w:cs="SimSun"/>
          <w:sz w:val="23"/>
          <w:szCs w:val="23"/>
          <w:spacing w:val="-1"/>
        </w:rPr>
        <w:t>·UBS《2025</w:t>
      </w:r>
      <w:r>
        <w:rPr>
          <w:rFonts w:ascii="SimSun" w:hAnsi="SimSun" w:eastAsia="SimSun" w:cs="SimSun"/>
          <w:sz w:val="23"/>
          <w:szCs w:val="23"/>
          <w:spacing w:val="22"/>
        </w:rPr>
        <w:t xml:space="preserve">  </w:t>
      </w:r>
      <w:r>
        <w:rPr>
          <w:sz w:val="23"/>
          <w:szCs w:val="23"/>
          <w:spacing w:val="-1"/>
        </w:rPr>
        <w:t>年全球财富报告》</w:t>
      </w:r>
    </w:p>
    <w:p>
      <w:pPr>
        <w:pStyle w:val="BodyText"/>
        <w:ind w:left="379"/>
        <w:spacing w:before="263" w:line="221" w:lineRule="auto"/>
        <w:rPr>
          <w:sz w:val="23"/>
          <w:szCs w:val="23"/>
        </w:rPr>
      </w:pPr>
      <w:r>
        <w:rPr>
          <w:sz w:val="23"/>
          <w:szCs w:val="23"/>
          <w:spacing w:val="-4"/>
        </w:rPr>
        <w:t>·</w:t>
      </w:r>
      <w:r>
        <w:rPr>
          <w:sz w:val="23"/>
          <w:szCs w:val="23"/>
          <w:spacing w:val="-95"/>
        </w:rPr>
        <w:t xml:space="preserve"> </w:t>
      </w:r>
      <w:r>
        <w:rPr>
          <w:sz w:val="23"/>
          <w:szCs w:val="23"/>
          <w:spacing w:val="-4"/>
        </w:rPr>
        <w:t>胡润财富报告系列</w:t>
      </w:r>
    </w:p>
    <w:p>
      <w:pPr>
        <w:pStyle w:val="BodyText"/>
        <w:spacing w:before="315" w:line="213" w:lineRule="auto"/>
        <w:rPr>
          <w:sz w:val="23"/>
          <w:szCs w:val="23"/>
        </w:rPr>
      </w:pPr>
      <w:r>
        <w:rPr>
          <w:sz w:val="23"/>
          <w:szCs w:val="23"/>
          <w:spacing w:val="9"/>
        </w:rPr>
        <w:t>本报告数据与论断均基于权威机构公开信息，旨在</w:t>
      </w:r>
      <w:r>
        <w:rPr>
          <w:sz w:val="23"/>
          <w:szCs w:val="23"/>
          <w:spacing w:val="8"/>
        </w:rPr>
        <w:t>提供决策参考。</w:t>
      </w:r>
    </w:p>
    <w:sectPr>
      <w:pgSz w:w="12240" w:h="15840"/>
      <w:pgMar w:top="1200" w:right="1162" w:bottom="0" w:left="98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Hei" w:hAnsi="SimHei" w:eastAsia="SimHei" w:cs="SimHei"/>
      <w:sz w:val="22"/>
      <w:szCs w:val="22"/>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2026-03-15T23:56:21Z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2026-03-15T23:56:22</vt:filetime>
  </property>
  <property fmtid="{D5CDD505-2E9C-101B-9397-08002B2CF9AE}" pid="4" name="UsrData">
    <vt:lpwstr>69b6d6a3259dfc001fa65182wl</vt:lpwstr>
  </property>
</Properties>
</file>