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124"/>
        <w:spacing w:before="56" w:line="221" w:lineRule="auto"/>
        <w:outlineLvl w:val="0"/>
        <w:rPr>
          <w:sz w:val="28"/>
          <w:szCs w:val="28"/>
        </w:rPr>
      </w:pPr>
      <w:r>
        <w:rPr>
          <w:sz w:val="28"/>
          <w:szCs w:val="28"/>
          <w:b/>
          <w:bCs/>
          <w:spacing w:val="-4"/>
        </w:rPr>
        <w:t>中国社会“9阶层”模型概述</w:t>
      </w:r>
    </w:p>
    <w:p>
      <w:pPr>
        <w:pStyle w:val="BodyText"/>
        <w:ind w:left="118" w:right="41" w:hanging="119"/>
        <w:spacing w:before="219" w:line="326" w:lineRule="auto"/>
        <w:jc w:val="both"/>
        <w:rPr/>
      </w:pPr>
      <w:r>
        <w:rPr>
          <w:spacing w:val="2"/>
        </w:rPr>
        <w:t>“中国9阶层”并非官方或学术标准划分，而是网络上流传的一种非正式社会阶层模型(源于2013</w:t>
      </w:r>
      <w:r>
        <w:rPr>
          <w:spacing w:val="10"/>
        </w:rPr>
        <w:t xml:space="preserve"> </w:t>
      </w:r>
      <w:r>
        <w:rPr>
          <w:spacing w:val="1"/>
        </w:rPr>
        <w:t>年前后博客和文章，后被广泛转载)。它将中国社会分为9个层级，主要基于权力、财</w:t>
      </w:r>
      <w:r>
        <w:rPr/>
        <w:t>富、职业和</w:t>
      </w:r>
      <w:r>
        <w:rPr/>
        <w:t xml:space="preserve"> </w:t>
      </w:r>
      <w:r>
        <w:rPr>
          <w:spacing w:val="4"/>
        </w:rPr>
        <w:t>社会影响力，带有一定批判性视角，强调阶层固化和流动困难。1-3级</w:t>
      </w:r>
      <w:r>
        <w:rPr>
          <w:spacing w:val="3"/>
        </w:rPr>
        <w:t>为上层(统治/精英阶层),</w:t>
      </w:r>
      <w:r>
        <w:rPr/>
        <w:t xml:space="preserve"> </w:t>
      </w:r>
      <w:r>
        <w:rPr>
          <w:spacing w:val="9"/>
        </w:rPr>
        <w:t>4-6级为中层(中产阶级),7-9级为底层。该模型没有官方收</w:t>
      </w:r>
      <w:r>
        <w:rPr>
          <w:spacing w:val="8"/>
        </w:rPr>
        <w:t>入数据支持，以下描述基于流传版</w:t>
      </w:r>
      <w:r>
        <w:rPr/>
        <w:t xml:space="preserve"> </w:t>
      </w:r>
      <w:r>
        <w:rPr>
          <w:spacing w:val="11"/>
        </w:rPr>
        <w:t>本，并结合2025年最新财富报告(如胡润</w:t>
      </w:r>
      <w:r>
        <w:rPr>
          <w:spacing w:val="10"/>
        </w:rPr>
        <w:t>百富、统计局相关数据)估算大致收入/财力水平(以</w:t>
      </w:r>
      <w:r>
        <w:rPr/>
        <w:t xml:space="preserve"> </w:t>
      </w:r>
      <w:r>
        <w:rPr/>
        <w:t>家庭为单位，人民币，年收入或净资产，数据为</w:t>
      </w:r>
      <w:r>
        <w:rPr>
          <w:spacing w:val="-68"/>
        </w:rPr>
        <w:t xml:space="preserve"> </w:t>
      </w:r>
      <w:r>
        <w:rPr>
          <w:rFonts w:ascii="Arial" w:hAnsi="Arial" w:eastAsia="Arial" w:cs="Arial"/>
        </w:rPr>
        <w:t>approximat</w:t>
      </w:r>
      <w:r>
        <w:rPr>
          <w:rFonts w:ascii="Arial" w:hAnsi="Arial" w:eastAsia="Arial" w:cs="Arial"/>
          <w:spacing w:val="-1"/>
        </w:rPr>
        <w:t>e,    </w:t>
      </w:r>
      <w:r>
        <w:rPr>
          <w:spacing w:val="-1"/>
        </w:rPr>
        <w:t>受地区、通胀影响大)。</w:t>
      </w:r>
    </w:p>
    <w:p>
      <w:pPr>
        <w:pStyle w:val="BodyText"/>
        <w:ind w:left="123"/>
        <w:spacing w:before="201" w:line="221" w:lineRule="auto"/>
        <w:rPr/>
      </w:pPr>
      <w:r>
        <w:rPr>
          <w:b/>
          <w:bCs/>
          <w:spacing w:val="10"/>
        </w:rPr>
        <w:t>9阶层大致划分及收入/财务状况估算(2025-2026年数据参考)</w:t>
      </w:r>
    </w:p>
    <w:p>
      <w:pPr>
        <w:pStyle w:val="BodyText"/>
        <w:ind w:left="459"/>
        <w:spacing w:before="202" w:line="221" w:lineRule="auto"/>
        <w:rPr/>
      </w:pPr>
      <w:r>
        <w:rPr>
          <w:rFonts w:ascii="SimSun" w:hAnsi="SimSun" w:eastAsia="SimSun" w:cs="SimSun"/>
          <w:spacing w:val="-3"/>
        </w:rPr>
        <w:t>1. </w:t>
      </w:r>
      <w:r>
        <w:rPr>
          <w:b/>
          <w:bCs/>
          <w:spacing w:val="-3"/>
        </w:rPr>
        <w:t>第1级：</w:t>
      </w:r>
      <w:r>
        <w:rPr>
          <w:spacing w:val="-3"/>
        </w:rPr>
        <w:t>在任政治局委员、退休常委等最高领导层。</w:t>
      </w:r>
    </w:p>
    <w:p>
      <w:pPr>
        <w:pStyle w:val="BodyText"/>
        <w:ind w:left="789" w:right="148"/>
        <w:spacing w:before="136" w:line="342" w:lineRule="auto"/>
        <w:rPr/>
      </w:pPr>
      <w:r>
        <w:rPr>
          <w:spacing w:val="3"/>
        </w:rPr>
        <w:t>财力：极高，影响力主导国家资源分配，个人/家族财富难以量化(</w:t>
      </w:r>
      <w:r>
        <w:rPr>
          <w:spacing w:val="2"/>
        </w:rPr>
        <w:t>往往数十亿以上)。人</w:t>
      </w:r>
      <w:r>
        <w:rPr/>
        <w:t xml:space="preserve"> </w:t>
      </w:r>
      <w:r>
        <w:rPr>
          <w:spacing w:val="11"/>
        </w:rPr>
        <w:t>数极少(数十人)。</w:t>
      </w:r>
    </w:p>
    <w:p>
      <w:pPr>
        <w:pStyle w:val="BodyText"/>
        <w:ind w:left="463"/>
        <w:spacing w:before="78" w:line="221" w:lineRule="auto"/>
        <w:rPr/>
      </w:pPr>
      <w:r>
        <w:rPr>
          <w:rFonts w:ascii="SimSun" w:hAnsi="SimSun" w:eastAsia="SimSun" w:cs="SimSun"/>
          <w:b/>
          <w:bCs/>
          <w:spacing w:val="-1"/>
        </w:rPr>
        <w:t>2.</w:t>
      </w:r>
      <w:r>
        <w:rPr>
          <w:rFonts w:ascii="SimSun" w:hAnsi="SimSun" w:eastAsia="SimSun" w:cs="SimSun"/>
          <w:spacing w:val="-1"/>
        </w:rPr>
        <w:t xml:space="preserve"> </w:t>
      </w:r>
      <w:r>
        <w:rPr>
          <w:b/>
          <w:bCs/>
          <w:spacing w:val="-1"/>
        </w:rPr>
        <w:t>第2级：</w:t>
      </w:r>
      <w:r>
        <w:rPr>
          <w:spacing w:val="-1"/>
        </w:rPr>
        <w:t>实权省部级干部、退休委员、大</w:t>
      </w:r>
      <w:r>
        <w:rPr>
          <w:spacing w:val="-2"/>
        </w:rPr>
        <w:t>权贵家族、大富豪、大银行家。</w:t>
      </w:r>
    </w:p>
    <w:p>
      <w:pPr>
        <w:pStyle w:val="BodyText"/>
        <w:ind w:left="789"/>
        <w:spacing w:before="126" w:line="213" w:lineRule="auto"/>
        <w:rPr/>
      </w:pPr>
      <w:r>
        <w:rPr>
          <w:spacing w:val="-1"/>
        </w:rPr>
        <w:t>财力：家族资产亿元到数百亿，能影响国家政策。年收入/灰色收益极高。人数：数</w:t>
      </w:r>
      <w:r>
        <w:rPr>
          <w:spacing w:val="-2"/>
        </w:rPr>
        <w:t>千人。</w:t>
      </w:r>
    </w:p>
    <w:p>
      <w:pPr>
        <w:pStyle w:val="BodyText"/>
        <w:ind w:left="788" w:right="519" w:hanging="329"/>
        <w:spacing w:before="279" w:line="285" w:lineRule="auto"/>
        <w:rPr/>
      </w:pPr>
      <w:r>
        <w:rPr>
          <w:rFonts w:ascii="SimSun" w:hAnsi="SimSun" w:eastAsia="SimSun" w:cs="SimSun"/>
          <w:spacing w:val="2"/>
        </w:rPr>
        <w:t>3.</w:t>
      </w:r>
      <w:r>
        <w:rPr>
          <w:rFonts w:ascii="SimSun" w:hAnsi="SimSun" w:eastAsia="SimSun" w:cs="SimSun"/>
          <w:spacing w:val="-24"/>
        </w:rPr>
        <w:t xml:space="preserve"> </w:t>
      </w:r>
      <w:r>
        <w:rPr>
          <w:b/>
          <w:bCs/>
          <w:spacing w:val="2"/>
        </w:rPr>
        <w:t>第3级：</w:t>
      </w:r>
      <w:r>
        <w:rPr>
          <w:spacing w:val="2"/>
        </w:rPr>
        <w:t>一般省部/副省部级、实权局级、大企业主、顶级富商(如部分互联网巨头)。</w:t>
      </w:r>
      <w:r>
        <w:rPr/>
        <w:t xml:space="preserve"> </w:t>
      </w:r>
      <w:r>
        <w:rPr>
          <w:spacing w:val="-1"/>
        </w:rPr>
        <w:t>财力：资产亿元级，年收入数千万到亿元。能影响地区/行业。人数：</w:t>
      </w:r>
      <w:r>
        <w:rPr>
          <w:spacing w:val="-2"/>
        </w:rPr>
        <w:t>数万到十万。</w:t>
      </w:r>
    </w:p>
    <w:p>
      <w:pPr>
        <w:pStyle w:val="BodyText"/>
        <w:ind w:left="939"/>
        <w:spacing w:before="193" w:line="213" w:lineRule="auto"/>
        <w:rPr/>
      </w:pPr>
      <w:r>
        <w:rPr>
          <w:spacing w:val="2"/>
        </w:rPr>
        <w:t>(1-3级为上层社会，普通人几乎无法进入，占总人口&lt;0.1%,掌控大部分社会资源。)</w:t>
      </w:r>
    </w:p>
    <w:p>
      <w:pPr>
        <w:pStyle w:val="BodyText"/>
        <w:ind w:left="788" w:right="148" w:hanging="329"/>
        <w:spacing w:before="294" w:line="264" w:lineRule="auto"/>
        <w:rPr/>
      </w:pPr>
      <w:r>
        <w:rPr>
          <w:rFonts w:ascii="SimSun" w:hAnsi="SimSun" w:eastAsia="SimSun" w:cs="SimSun"/>
          <w:spacing w:val="6"/>
        </w:rPr>
        <w:t>4.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spacing w:val="6"/>
        </w:rPr>
        <w:t>第4级(高端中产):地厅级/实权县处级干部、院士、</w:t>
      </w:r>
      <w:r>
        <w:rPr>
          <w:spacing w:val="5"/>
        </w:rPr>
        <w:t>大教授、高级经理人、知名医生/律</w:t>
      </w:r>
      <w:r>
        <w:rPr/>
        <w:t xml:space="preserve"> </w:t>
      </w:r>
      <w:r>
        <w:rPr>
          <w:spacing w:val="-3"/>
        </w:rPr>
        <w:t>师、演艺明星、中型企业主。</w:t>
      </w:r>
    </w:p>
    <w:p>
      <w:pPr>
        <w:pStyle w:val="BodyText"/>
        <w:ind w:left="789" w:right="313"/>
        <w:spacing w:before="128" w:line="338" w:lineRule="auto"/>
        <w:rPr/>
      </w:pPr>
      <w:r>
        <w:rPr>
          <w:spacing w:val="10"/>
        </w:rPr>
        <w:t>财力：家庭净资产3000万-1亿+,年收入500万以上。有多套房产、投资</w:t>
      </w:r>
      <w:r>
        <w:rPr>
          <w:rFonts w:ascii="Times New Roman" w:hAnsi="Times New Roman" w:eastAsia="Times New Roman" w:cs="Times New Roman"/>
        </w:rPr>
        <w:t>portfolio</w:t>
      </w:r>
      <w:r>
        <w:rPr>
          <w:rFonts w:ascii="Times New Roman" w:hAnsi="Times New Roman" w:eastAsia="Times New Roman" w:cs="Times New Roman"/>
          <w:spacing w:val="-25"/>
        </w:rPr>
        <w:t xml:space="preserve"> </w:t>
      </w:r>
      <w:r>
        <w:rPr>
          <w:rFonts w:ascii="SimSun" w:hAnsi="SimSun" w:eastAsia="SimSun" w:cs="SimSun"/>
          <w:spacing w:val="10"/>
        </w:rPr>
        <w:t>。 </w:t>
      </w:r>
      <w:r>
        <w:rPr>
          <w:spacing w:val="10"/>
        </w:rPr>
        <w:t>人</w:t>
      </w:r>
      <w:r>
        <w:rPr/>
        <w:t xml:space="preserve"> </w:t>
      </w:r>
      <w:r>
        <w:rPr>
          <w:spacing w:val="-6"/>
        </w:rPr>
        <w:t>数：约数百万。</w:t>
      </w:r>
    </w:p>
    <w:p>
      <w:pPr>
        <w:pStyle w:val="BodyText"/>
        <w:ind w:left="788" w:right="130" w:hanging="329"/>
        <w:spacing w:before="95" w:line="331" w:lineRule="auto"/>
        <w:rPr/>
      </w:pPr>
      <w:r>
        <w:rPr>
          <w:rFonts w:ascii="SimSun" w:hAnsi="SimSun" w:eastAsia="SimSun" w:cs="SimSun"/>
          <w:spacing w:val="6"/>
        </w:rPr>
        <w:t>5.</w:t>
      </w:r>
      <w:r>
        <w:rPr>
          <w:rFonts w:ascii="SimSun" w:hAnsi="SimSun" w:eastAsia="SimSun" w:cs="SimSun"/>
          <w:spacing w:val="-34"/>
        </w:rPr>
        <w:t xml:space="preserve"> </w:t>
      </w:r>
      <w:r>
        <w:rPr>
          <w:spacing w:val="6"/>
        </w:rPr>
        <w:t>第5级(中端中产):小企业主、普通处级干部、教授、中等经理人、大城市多套房业主、</w:t>
      </w:r>
      <w:r>
        <w:rPr/>
        <w:t xml:space="preserve"> </w:t>
      </w:r>
      <w:r>
        <w:rPr>
          <w:spacing w:val="-6"/>
        </w:rPr>
        <w:t>二三线明星/专业人士。</w:t>
      </w:r>
    </w:p>
    <w:p>
      <w:pPr>
        <w:pStyle w:val="BodyText"/>
        <w:spacing w:before="1" w:line="212" w:lineRule="auto"/>
        <w:jc w:val="right"/>
        <w:rPr/>
      </w:pPr>
      <w:r>
        <w:rPr>
          <w:spacing w:val="8"/>
        </w:rPr>
        <w:t>财力：家庭净资产1000-3000万，年收入100-500万。有稳定事业、多房产但部分负债。</w:t>
      </w:r>
    </w:p>
    <w:p>
      <w:pPr>
        <w:pStyle w:val="BodyText"/>
        <w:ind w:left="789"/>
        <w:spacing w:before="116" w:line="222" w:lineRule="auto"/>
        <w:rPr/>
      </w:pPr>
      <w:r>
        <w:rPr>
          <w:spacing w:val="-5"/>
        </w:rPr>
        <w:t>人数：约数千万。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792" w:right="6" w:hanging="333"/>
        <w:spacing w:before="79" w:line="307" w:lineRule="auto"/>
        <w:rPr/>
      </w:pPr>
      <w:r>
        <w:rPr>
          <w:rFonts w:ascii="SimSun" w:hAnsi="SimSun" w:eastAsia="SimSun" w:cs="SimSun"/>
          <w:spacing w:val="-1"/>
        </w:rPr>
        <w:t>6</w:t>
      </w:r>
      <w:r>
        <w:rPr>
          <w:rFonts w:ascii="SimSun" w:hAnsi="SimSun" w:eastAsia="SimSun" w:cs="SimSun"/>
          <w:spacing w:val="-65"/>
        </w:rPr>
        <w:t xml:space="preserve"> </w:t>
      </w:r>
      <w:r>
        <w:rPr>
          <w:b/>
          <w:bCs/>
          <w:spacing w:val="-1"/>
        </w:rPr>
        <w:t>.</w:t>
      </w:r>
      <w:r>
        <w:rPr>
          <w:spacing w:val="-61"/>
        </w:rPr>
        <w:t xml:space="preserve"> </w:t>
      </w:r>
      <w:r>
        <w:rPr>
          <w:b/>
          <w:bCs/>
          <w:spacing w:val="-1"/>
        </w:rPr>
        <w:t>第6级(低端中产):普通公务员、白领职员、青年教师、工程师、</w:t>
      </w:r>
      <w:r>
        <w:rPr>
          <w:spacing w:val="52"/>
        </w:rPr>
        <w:t xml:space="preserve"> </w:t>
      </w:r>
      <w:r>
        <w:rPr>
          <w:b/>
          <w:bCs/>
          <w:spacing w:val="-1"/>
        </w:rPr>
        <w:t>一般医生</w:t>
      </w:r>
      <w:r>
        <w:rPr>
          <w:b/>
          <w:bCs/>
          <w:spacing w:val="-2"/>
        </w:rPr>
        <w:t>/律师、大个体</w:t>
      </w:r>
      <w:r>
        <w:rPr/>
        <w:t xml:space="preserve"> </w:t>
      </w:r>
      <w:r>
        <w:rPr>
          <w:b/>
          <w:bCs/>
          <w:spacing w:val="-6"/>
        </w:rPr>
        <w:t>户、一线城市单套房业主。</w:t>
      </w:r>
    </w:p>
    <w:p>
      <w:pPr>
        <w:spacing w:line="307" w:lineRule="auto"/>
        <w:sectPr>
          <w:pgSz w:w="12240" w:h="15840"/>
          <w:pgMar w:top="1148" w:right="1090" w:bottom="0" w:left="860" w:header="0" w:footer="0" w:gutter="0"/>
        </w:sectPr>
        <w:rPr/>
      </w:pPr>
    </w:p>
    <w:p>
      <w:pPr>
        <w:pStyle w:val="BodyText"/>
        <w:ind w:left="689"/>
        <w:spacing w:before="48" w:line="213" w:lineRule="auto"/>
        <w:rPr/>
      </w:pPr>
      <w:r>
        <w:rPr>
          <w:spacing w:val="4"/>
        </w:rPr>
        <w:t>财力：家庭净资产600-1000万，年收入</w:t>
      </w:r>
      <w:r>
        <w:rPr>
          <w:spacing w:val="3"/>
        </w:rPr>
        <w:t>30-100万。多为“房奴”,有车有房但储蓄有限。</w:t>
      </w:r>
    </w:p>
    <w:p>
      <w:pPr>
        <w:pStyle w:val="BodyText"/>
        <w:ind w:left="689"/>
        <w:spacing w:before="155" w:line="222" w:lineRule="auto"/>
        <w:rPr/>
      </w:pPr>
      <w:r>
        <w:rPr>
          <w:spacing w:val="-4"/>
        </w:rPr>
        <w:t>人数：约1-2亿。</w:t>
      </w:r>
    </w:p>
    <w:p>
      <w:pPr>
        <w:pStyle w:val="BodyText"/>
        <w:ind w:left="840"/>
        <w:spacing w:before="249" w:line="213" w:lineRule="auto"/>
        <w:rPr/>
      </w:pPr>
      <w:r>
        <w:rPr>
          <w:spacing w:val="8"/>
        </w:rPr>
        <w:t>(4-6级为中产阶级，占总人口约20-30</w:t>
      </w:r>
      <w:r>
        <w:rPr>
          <w:spacing w:val="7"/>
        </w:rPr>
        <w:t>%,是经济发展主要贡献者，但流动向上难。)</w:t>
      </w:r>
    </w:p>
    <w:p>
      <w:pPr>
        <w:pStyle w:val="BodyText"/>
        <w:ind w:left="363"/>
        <w:spacing w:before="259" w:line="221" w:lineRule="auto"/>
        <w:rPr/>
      </w:pPr>
      <w:r>
        <w:rPr>
          <w:rFonts w:ascii="SimSun" w:hAnsi="SimSun" w:eastAsia="SimSun" w:cs="SimSun"/>
          <w:b/>
          <w:bCs/>
          <w:spacing w:val="-1"/>
        </w:rPr>
        <w:t>7.</w:t>
      </w:r>
      <w:r>
        <w:rPr>
          <w:rFonts w:ascii="SimSun" w:hAnsi="SimSun" w:eastAsia="SimSun" w:cs="SimSun"/>
          <w:spacing w:val="-32"/>
        </w:rPr>
        <w:t xml:space="preserve"> </w:t>
      </w:r>
      <w:r>
        <w:rPr>
          <w:b/>
          <w:bCs/>
          <w:spacing w:val="-1"/>
        </w:rPr>
        <w:t>第7级：</w:t>
      </w:r>
      <w:r>
        <w:rPr>
          <w:spacing w:val="-1"/>
        </w:rPr>
        <w:t>普通工人、小个体户、城市底层居民、富裕农民。</w:t>
      </w:r>
    </w:p>
    <w:p>
      <w:pPr>
        <w:pStyle w:val="BodyText"/>
        <w:ind w:left="689"/>
        <w:spacing w:before="125" w:line="213" w:lineRule="auto"/>
        <w:rPr/>
      </w:pPr>
      <w:r>
        <w:rPr>
          <w:spacing w:val="5"/>
        </w:rPr>
        <w:t>财力：年收入10-30万，净资产&lt;600万。在大城市勉强立足，无多余投资</w:t>
      </w:r>
      <w:r>
        <w:rPr>
          <w:spacing w:val="4"/>
        </w:rPr>
        <w:t>。人数：数亿。</w:t>
      </w:r>
    </w:p>
    <w:p>
      <w:pPr>
        <w:pStyle w:val="BodyText"/>
        <w:ind w:left="359"/>
        <w:spacing w:before="270" w:line="221" w:lineRule="auto"/>
        <w:rPr/>
      </w:pPr>
      <w:r>
        <w:rPr>
          <w:rFonts w:ascii="SimSun" w:hAnsi="SimSun" w:eastAsia="SimSun" w:cs="SimSun"/>
          <w:spacing w:val="-1"/>
        </w:rPr>
        <w:t>8</w:t>
      </w:r>
      <w:r>
        <w:rPr>
          <w:rFonts w:ascii="SimSun" w:hAnsi="SimSun" w:eastAsia="SimSun" w:cs="SimSun"/>
          <w:spacing w:val="-66"/>
        </w:rPr>
        <w:t xml:space="preserve"> </w:t>
      </w:r>
      <w:r>
        <w:rPr>
          <w:b/>
          <w:bCs/>
          <w:spacing w:val="-1"/>
        </w:rPr>
        <w:t>.</w:t>
      </w:r>
      <w:r>
        <w:rPr>
          <w:spacing w:val="-72"/>
        </w:rPr>
        <w:t xml:space="preserve"> </w:t>
      </w:r>
      <w:r>
        <w:rPr>
          <w:b/>
          <w:bCs/>
          <w:spacing w:val="-1"/>
        </w:rPr>
        <w:t>第8级：</w:t>
      </w:r>
      <w:r>
        <w:rPr>
          <w:spacing w:val="-1"/>
        </w:rPr>
        <w:t>血汗工厂工人、普通农民、外来务工</w:t>
      </w:r>
      <w:r>
        <w:rPr>
          <w:spacing w:val="-2"/>
        </w:rPr>
        <w:t>者。</w:t>
      </w:r>
    </w:p>
    <w:p>
      <w:pPr>
        <w:pStyle w:val="BodyText"/>
        <w:ind w:left="689"/>
        <w:spacing w:before="126" w:line="213" w:lineRule="auto"/>
        <w:rPr/>
      </w:pPr>
      <w:r>
        <w:rPr/>
        <w:t>财力：年收入&lt;10万，基本无资产积累。自食其力但无保障。人数：数亿。</w:t>
      </w:r>
    </w:p>
    <w:p>
      <w:pPr>
        <w:pStyle w:val="BodyText"/>
        <w:ind w:left="363"/>
        <w:spacing w:before="280" w:line="221" w:lineRule="auto"/>
        <w:rPr/>
      </w:pPr>
      <w:r>
        <w:rPr>
          <w:rFonts w:ascii="SimSun" w:hAnsi="SimSun" w:eastAsia="SimSun" w:cs="SimSun"/>
          <w:b/>
          <w:bCs/>
          <w:spacing w:val="-1"/>
        </w:rPr>
        <w:t>9.</w:t>
      </w:r>
      <w:r>
        <w:rPr>
          <w:rFonts w:ascii="SimSun" w:hAnsi="SimSun" w:eastAsia="SimSun" w:cs="SimSun"/>
          <w:spacing w:val="-30"/>
        </w:rPr>
        <w:t xml:space="preserve"> </w:t>
      </w:r>
      <w:r>
        <w:rPr>
          <w:b/>
          <w:bCs/>
          <w:spacing w:val="-1"/>
        </w:rPr>
        <w:t>第9级：</w:t>
      </w:r>
      <w:r>
        <w:rPr>
          <w:spacing w:val="-1"/>
        </w:rPr>
        <w:t>底层失业/半失业、偏远贫困农民、城市流浪者。</w:t>
      </w:r>
    </w:p>
    <w:p>
      <w:pPr>
        <w:pStyle w:val="BodyText"/>
        <w:ind w:left="689"/>
        <w:spacing w:before="116" w:line="213" w:lineRule="auto"/>
        <w:rPr/>
      </w:pPr>
      <w:r>
        <w:rPr>
          <w:spacing w:val="-1"/>
        </w:rPr>
        <w:t>财力：年收入极低或无，依赖救助。生存困难。人数：上亿。</w:t>
      </w:r>
    </w:p>
    <w:p>
      <w:pPr>
        <w:pStyle w:val="BodyText"/>
        <w:ind w:left="819"/>
        <w:spacing w:before="273" w:line="213" w:lineRule="auto"/>
        <w:rPr/>
      </w:pPr>
      <w:r>
        <w:rPr>
          <w:spacing w:val="4"/>
        </w:rPr>
        <w:t>(7-9级为底层，占总人口50%以上，财富占比低。)</w:t>
      </w:r>
    </w:p>
    <w:p>
      <w:pPr>
        <w:spacing w:line="377" w:lineRule="auto"/>
        <w:rPr>
          <w:rFonts w:ascii="Arial"/>
          <w:sz w:val="21"/>
        </w:rPr>
      </w:pPr>
      <w:r/>
    </w:p>
    <w:p>
      <w:pPr>
        <w:pStyle w:val="BodyText"/>
        <w:ind w:left="4"/>
        <w:spacing w:before="102" w:line="221" w:lineRule="auto"/>
        <w:rPr>
          <w:sz w:val="31"/>
          <w:szCs w:val="31"/>
        </w:rPr>
      </w:pPr>
      <w:r>
        <w:rPr>
          <w:sz w:val="31"/>
          <w:szCs w:val="31"/>
          <w:b/>
          <w:bCs/>
          <w:spacing w:val="7"/>
        </w:rPr>
        <w:t>中国中产阶级(主要对应4-6级)详细分析</w:t>
      </w:r>
    </w:p>
    <w:p>
      <w:pPr>
        <w:pStyle w:val="BodyText"/>
        <w:ind w:right="165"/>
        <w:spacing w:before="211" w:line="340" w:lineRule="auto"/>
        <w:rPr/>
      </w:pPr>
      <w:r>
        <w:rPr>
          <w:spacing w:val="-3"/>
        </w:rPr>
        <w:t>中产阶级是中国社会稳定的“脊梁”,但近年来受经济波动、房地产调整影</w:t>
      </w:r>
      <w:r>
        <w:rPr>
          <w:spacing w:val="-4"/>
        </w:rPr>
        <w:t>响，财力趋于脆弱。以</w:t>
      </w:r>
      <w:r>
        <w:rPr/>
        <w:t xml:space="preserve"> </w:t>
      </w:r>
      <w:r>
        <w:rPr>
          <w:spacing w:val="3"/>
        </w:rPr>
        <w:t>下基于国家统计局、胡润百富2025报告等数据总结。</w:t>
      </w:r>
    </w:p>
    <w:p>
      <w:pPr>
        <w:pStyle w:val="BodyText"/>
        <w:ind w:left="3"/>
        <w:spacing w:before="175" w:line="223" w:lineRule="auto"/>
        <w:rPr/>
      </w:pPr>
      <w:r>
        <w:rPr>
          <w:b/>
          <w:bCs/>
          <w:spacing w:val="2"/>
        </w:rPr>
        <w:t>定义与标准</w:t>
      </w:r>
    </w:p>
    <w:p>
      <w:pPr>
        <w:pStyle w:val="BodyText"/>
        <w:ind w:left="509" w:right="233" w:hanging="150"/>
        <w:spacing w:before="232" w:line="301" w:lineRule="auto"/>
        <w:rPr>
          <w:sz w:val="19"/>
          <w:szCs w:val="19"/>
        </w:rPr>
      </w:pPr>
      <w:r>
        <w:rPr>
          <w:spacing w:val="9"/>
        </w:rPr>
        <w:t>·</w:t>
      </w:r>
      <w:r>
        <w:rPr>
          <w:spacing w:val="-89"/>
        </w:rPr>
        <w:t xml:space="preserve"> </w:t>
      </w:r>
      <w:r>
        <w:rPr>
          <w:spacing w:val="9"/>
        </w:rPr>
        <w:t>官方/广义(国家统计局中等收入群体):</w:t>
      </w:r>
      <w:r>
        <w:rPr>
          <w:spacing w:val="-52"/>
        </w:rPr>
        <w:t xml:space="preserve"> </w:t>
      </w:r>
      <w:r>
        <w:rPr>
          <w:spacing w:val="9"/>
        </w:rPr>
        <w:t>家庭年可支配收入10-50万元(约月收入8000-4</w:t>
      </w:r>
      <w:r>
        <w:rPr/>
        <w:t xml:space="preserve"> </w:t>
      </w:r>
      <w:r>
        <w:rPr>
          <w:sz w:val="19"/>
          <w:szCs w:val="19"/>
          <w:spacing w:val="-6"/>
        </w:rPr>
        <w:t>万</w:t>
      </w:r>
      <w:r>
        <w:rPr>
          <w:sz w:val="19"/>
          <w:szCs w:val="19"/>
          <w:spacing w:val="-37"/>
        </w:rPr>
        <w:t xml:space="preserve"> </w:t>
      </w:r>
      <w:r>
        <w:rPr>
          <w:sz w:val="19"/>
          <w:szCs w:val="19"/>
          <w:spacing w:val="-6"/>
        </w:rPr>
        <w:t>)</w:t>
      </w:r>
      <w:r>
        <w:rPr>
          <w:sz w:val="19"/>
          <w:szCs w:val="19"/>
          <w:spacing w:val="-42"/>
        </w:rPr>
        <w:t xml:space="preserve"> </w:t>
      </w:r>
      <w:r>
        <w:rPr>
          <w:sz w:val="19"/>
          <w:szCs w:val="19"/>
          <w:spacing w:val="-6"/>
        </w:rPr>
        <w:t>。</w:t>
      </w:r>
    </w:p>
    <w:p>
      <w:pPr>
        <w:pStyle w:val="BodyText"/>
        <w:ind w:left="541" w:right="278" w:hanging="182"/>
        <w:spacing w:before="227" w:line="281" w:lineRule="auto"/>
        <w:rPr>
          <w:sz w:val="25"/>
          <w:szCs w:val="25"/>
        </w:rPr>
      </w:pPr>
      <w:r>
        <w:rPr>
          <w:spacing w:val="10"/>
        </w:rPr>
        <w:t>·</w:t>
      </w:r>
      <w:r>
        <w:rPr>
          <w:spacing w:val="-96"/>
        </w:rPr>
        <w:t xml:space="preserve"> </w:t>
      </w:r>
      <w:r>
        <w:rPr>
          <w:spacing w:val="10"/>
        </w:rPr>
        <w:t>财富导向(胡润等):家庭可支配资产200-600万为中产起点，600万以上</w:t>
      </w:r>
      <w:r>
        <w:rPr>
          <w:spacing w:val="9"/>
        </w:rPr>
        <w:t>为富裕/高端中</w:t>
      </w:r>
      <w:r>
        <w:rPr/>
        <w:t xml:space="preserve"> </w:t>
      </w:r>
      <w:r>
        <w:rPr>
          <w:sz w:val="25"/>
          <w:szCs w:val="25"/>
          <w:i/>
          <w:iCs/>
          <w:spacing w:val="-24"/>
        </w:rPr>
        <w:t>产。</w:t>
      </w:r>
    </w:p>
    <w:p>
      <w:pPr>
        <w:pStyle w:val="BodyText"/>
        <w:ind w:left="509" w:hanging="150"/>
        <w:spacing w:before="257" w:line="263" w:lineRule="auto"/>
        <w:rPr/>
      </w:pPr>
      <w:r>
        <w:rPr>
          <w:spacing w:val="9"/>
        </w:rPr>
        <w:t>·</w:t>
      </w:r>
      <w:r>
        <w:rPr>
          <w:spacing w:val="-91"/>
        </w:rPr>
        <w:t xml:space="preserve"> </w:t>
      </w:r>
      <w:r>
        <w:rPr>
          <w:spacing w:val="9"/>
        </w:rPr>
        <w:t>严格标准(2025部分报告):</w:t>
      </w:r>
      <w:r>
        <w:rPr>
          <w:spacing w:val="-42"/>
        </w:rPr>
        <w:t xml:space="preserve"> </w:t>
      </w:r>
      <w:r>
        <w:rPr>
          <w:spacing w:val="9"/>
        </w:rPr>
        <w:t>需同时满足年收入&gt;35万、净资</w:t>
      </w:r>
      <w:r>
        <w:rPr>
          <w:spacing w:val="8"/>
        </w:rPr>
        <w:t>产&gt;700万、有稳定职业、教育</w:t>
      </w:r>
      <w:r>
        <w:rPr/>
        <w:t xml:space="preserve"> </w:t>
      </w:r>
      <w:r>
        <w:rPr/>
        <w:t>投资能力等。四项核心：稳定就业、高教育、房</w:t>
      </w:r>
      <w:r>
        <w:rPr>
          <w:spacing w:val="-1"/>
        </w:rPr>
        <w:t>产拥有、消费升级能力。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8" w:line="222" w:lineRule="auto"/>
        <w:rPr/>
      </w:pPr>
      <w:r>
        <w:rPr>
          <w:b/>
          <w:bCs/>
          <w:spacing w:val="-1"/>
        </w:rPr>
        <w:t>实际人数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509" w:right="60" w:hanging="150"/>
        <w:spacing w:before="79" w:line="272" w:lineRule="auto"/>
        <w:rPr/>
      </w:pPr>
      <w:r>
        <w:rPr>
          <w:spacing w:val="12"/>
        </w:rPr>
        <w:t>·广义中等收入群体：约4-5亿人(占总人口30-35%,包括家庭成员；2025目标接近但实际</w:t>
      </w:r>
      <w:r>
        <w:rPr>
          <w:spacing w:val="14"/>
        </w:rPr>
        <w:t xml:space="preserve"> </w:t>
      </w:r>
      <w:r>
        <w:rPr>
          <w:spacing w:val="-2"/>
        </w:rPr>
        <w:t>略低，受收入增长放缓影响)。</w:t>
      </w:r>
    </w:p>
    <w:p>
      <w:pPr>
        <w:pStyle w:val="BodyText"/>
        <w:ind w:left="359"/>
        <w:spacing w:before="262" w:line="219" w:lineRule="auto"/>
        <w:rPr/>
      </w:pPr>
      <w:r>
        <w:rPr>
          <w:spacing w:val="4"/>
        </w:rPr>
        <w:t>·</w:t>
      </w:r>
      <w:r>
        <w:rPr>
          <w:spacing w:val="-98"/>
        </w:rPr>
        <w:t xml:space="preserve"> </w:t>
      </w:r>
      <w:r>
        <w:rPr>
          <w:spacing w:val="4"/>
        </w:rPr>
        <w:t>核心城市中产(一二线白领家庭):约1-2亿人。</w:t>
      </w:r>
    </w:p>
    <w:p>
      <w:pPr>
        <w:spacing w:line="219" w:lineRule="auto"/>
        <w:sectPr>
          <w:pgSz w:w="12240" w:h="15840"/>
          <w:pgMar w:top="998" w:right="1042" w:bottom="0" w:left="970" w:header="0" w:footer="0" w:gutter="0"/>
        </w:sectPr>
        <w:rPr/>
      </w:pPr>
    </w:p>
    <w:p>
      <w:pPr>
        <w:pStyle w:val="BodyText"/>
        <w:ind w:left="675" w:right="81" w:hanging="319"/>
        <w:spacing w:before="49" w:line="277" w:lineRule="auto"/>
        <w:rPr/>
      </w:pPr>
      <w:r>
        <w:rPr>
          <w:spacing w:val="19"/>
        </w:rPr>
        <w:t>·</w:t>
      </w:r>
      <w:r>
        <w:rPr>
          <w:spacing w:val="-90"/>
        </w:rPr>
        <w:t xml:space="preserve"> </w:t>
      </w:r>
      <w:r>
        <w:rPr>
          <w:spacing w:val="19"/>
        </w:rPr>
        <w:t>胡润式富裕中产(资产600万+):约514万户(约1500-2000万人),2024-2025连续</w:t>
      </w:r>
      <w:r>
        <w:rPr>
          <w:spacing w:val="18"/>
        </w:rPr>
        <w:t>下降</w:t>
      </w:r>
      <w:r>
        <w:rPr/>
        <w:t xml:space="preserve"> </w:t>
      </w:r>
      <w:r>
        <w:rPr>
          <w:spacing w:val="-6"/>
        </w:rPr>
        <w:t>(减少数万户)。</w:t>
      </w:r>
    </w:p>
    <w:p>
      <w:pPr>
        <w:pStyle w:val="BodyText"/>
        <w:ind w:left="356"/>
        <w:spacing w:before="249" w:line="221" w:lineRule="auto"/>
        <w:rPr/>
      </w:pPr>
      <w:r>
        <w:rPr>
          <w:spacing w:val="17"/>
        </w:rPr>
        <w:t>·</w:t>
      </w:r>
      <w:r>
        <w:rPr>
          <w:spacing w:val="-83"/>
        </w:rPr>
        <w:t xml:space="preserve"> </w:t>
      </w:r>
      <w:r>
        <w:rPr>
          <w:spacing w:val="17"/>
        </w:rPr>
        <w:t>高端中产(千万资产+):208万户(约600-8</w:t>
      </w:r>
      <w:r>
        <w:rPr>
          <w:spacing w:val="16"/>
        </w:rPr>
        <w:t>00万人),增速放缓甚至负增长。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spacing w:before="78" w:line="222" w:lineRule="auto"/>
        <w:rPr/>
      </w:pPr>
      <w:r>
        <w:rPr>
          <w:b/>
          <w:bCs/>
          <w:spacing w:val="-5"/>
        </w:rPr>
        <w:t>财力状况</w:t>
      </w:r>
    </w:p>
    <w:p>
      <w:pPr>
        <w:pStyle w:val="BodyText"/>
        <w:ind w:left="496" w:right="188" w:hanging="140"/>
        <w:spacing w:before="214" w:line="264" w:lineRule="auto"/>
        <w:rPr/>
      </w:pPr>
      <w:r>
        <w:rPr>
          <w:spacing w:val="9"/>
        </w:rPr>
        <w:t>·</w:t>
      </w:r>
      <w:r>
        <w:rPr>
          <w:spacing w:val="-96"/>
        </w:rPr>
        <w:t xml:space="preserve"> </w:t>
      </w:r>
      <w:r>
        <w:rPr>
          <w:spacing w:val="9"/>
        </w:rPr>
        <w:t>收入：核心中产家庭年收入30-100万(中端),高端&gt;500万。全国城镇家庭收入中位数仅</w:t>
      </w:r>
      <w:r>
        <w:rPr/>
        <w:t xml:space="preserve"> </w:t>
      </w:r>
      <w:r>
        <w:rPr>
          <w:spacing w:val="-9"/>
        </w:rPr>
        <w:t>约15-25万，许多“伪中产”收入刚达</w:t>
      </w:r>
      <w:r>
        <w:rPr>
          <w:spacing w:val="-10"/>
        </w:rPr>
        <w:t>门槛。</w:t>
      </w:r>
    </w:p>
    <w:p>
      <w:pPr>
        <w:pStyle w:val="BodyText"/>
        <w:ind w:left="496" w:right="434" w:hanging="140"/>
        <w:spacing w:before="271" w:line="272" w:lineRule="auto"/>
        <w:rPr/>
      </w:pPr>
      <w:r>
        <w:rPr>
          <w:spacing w:val="17"/>
        </w:rPr>
        <w:t>·</w:t>
      </w:r>
      <w:r>
        <w:rPr>
          <w:spacing w:val="-82"/>
        </w:rPr>
        <w:t xml:space="preserve"> </w:t>
      </w:r>
      <w:r>
        <w:rPr>
          <w:spacing w:val="17"/>
        </w:rPr>
        <w:t>资产：主要为房产(占70-80%),总净资产60</w:t>
      </w:r>
      <w:r>
        <w:rPr>
          <w:spacing w:val="16"/>
        </w:rPr>
        <w:t>0-3000万常见。但负债率高(房贷占比</w:t>
      </w:r>
      <w:r>
        <w:rPr/>
        <w:t xml:space="preserve"> </w:t>
      </w:r>
      <w:r>
        <w:rPr>
          <w:spacing w:val="16"/>
        </w:rPr>
        <w:t>大),2024-2025房产调整导致许多中产财</w:t>
      </w:r>
      <w:r>
        <w:rPr>
          <w:spacing w:val="15"/>
        </w:rPr>
        <w:t>富缩水10-30%。</w:t>
      </w:r>
    </w:p>
    <w:p>
      <w:pPr>
        <w:pStyle w:val="BodyText"/>
        <w:ind w:left="496" w:right="189" w:hanging="140"/>
        <w:spacing w:before="264" w:line="272" w:lineRule="auto"/>
        <w:rPr/>
      </w:pPr>
      <w:r>
        <w:rPr>
          <w:spacing w:val="6"/>
        </w:rPr>
        <w:t>·</w:t>
      </w:r>
      <w:r>
        <w:rPr>
          <w:spacing w:val="-94"/>
        </w:rPr>
        <w:t xml:space="preserve"> </w:t>
      </w:r>
      <w:r>
        <w:rPr>
          <w:spacing w:val="6"/>
        </w:rPr>
        <w:t>可投资资产：中产约100-500万，高端&gt;1000万。投资偏股票、基金、黄金，但2025宽裕</w:t>
      </w:r>
      <w:r>
        <w:rPr/>
        <w:t xml:space="preserve"> </w:t>
      </w:r>
      <w:r>
        <w:rPr>
          <w:spacing w:val="3"/>
        </w:rPr>
        <w:t>度下降(仅20-30%自评“宽裕”)。</w:t>
      </w:r>
    </w:p>
    <w:p>
      <w:pPr>
        <w:pStyle w:val="BodyText"/>
        <w:ind w:left="496" w:hanging="140"/>
        <w:spacing w:before="252" w:line="268" w:lineRule="auto"/>
        <w:rPr/>
      </w:pPr>
      <w:r>
        <w:rPr>
          <w:spacing w:val="-2"/>
        </w:rPr>
        <w:t>·总体特点：现金流压力大，储蓄率高但用于教育/</w:t>
      </w:r>
      <w:r>
        <w:rPr>
          <w:spacing w:val="-3"/>
        </w:rPr>
        <w:t>医疗。胡润报告显示，中产经济满意度低于</w:t>
      </w:r>
      <w:r>
        <w:rPr/>
        <w:t xml:space="preserve"> </w:t>
      </w:r>
      <w:r>
        <w:rPr>
          <w:spacing w:val="11"/>
        </w:rPr>
        <w:t>高净值人群，2025消费意愿得分仅76分(高净值79分)。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spacing w:before="79" w:line="222" w:lineRule="auto"/>
        <w:rPr/>
      </w:pPr>
      <w:r>
        <w:rPr>
          <w:b/>
          <w:bCs/>
          <w:spacing w:val="-5"/>
        </w:rPr>
        <w:t>主要特点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496" w:right="246" w:hanging="140"/>
        <w:spacing w:before="79" w:line="280" w:lineRule="auto"/>
        <w:rPr/>
      </w:pPr>
      <w:r>
        <w:rPr>
          <w:spacing w:val="16"/>
        </w:rPr>
        <w:t>·</w:t>
      </w:r>
      <w:r>
        <w:rPr>
          <w:spacing w:val="-87"/>
        </w:rPr>
        <w:t xml:space="preserve"> </w:t>
      </w:r>
      <w:r>
        <w:rPr>
          <w:spacing w:val="16"/>
        </w:rPr>
        <w:t>人口特征：集中一二线城市(北上广深占比高),30-50岁，高学历(本科以上</w:t>
      </w:r>
      <w:r>
        <w:rPr>
          <w:spacing w:val="15"/>
        </w:rPr>
        <w:t>80%),白</w:t>
      </w:r>
      <w:r>
        <w:rPr/>
        <w:t xml:space="preserve"> </w:t>
      </w:r>
      <w:r>
        <w:rPr>
          <w:spacing w:val="3"/>
        </w:rPr>
        <w:t>领/专业职业(公务员、科技、金融、教育、医疗)。</w:t>
      </w:r>
    </w:p>
    <w:p>
      <w:pPr>
        <w:pStyle w:val="BodyText"/>
        <w:ind w:left="356"/>
        <w:spacing w:before="242" w:line="213" w:lineRule="auto"/>
        <w:rPr/>
      </w:pPr>
      <w:r>
        <w:rPr>
          <w:spacing w:val="5"/>
        </w:rPr>
        <w:t>·生活方式：有房有车，注重子女教育(补课/出国)、健康(健身</w:t>
      </w:r>
      <w:r>
        <w:rPr>
          <w:spacing w:val="4"/>
        </w:rPr>
        <w:t>/保险)、旅行(国内/境</w:t>
      </w:r>
    </w:p>
    <w:p>
      <w:pPr>
        <w:spacing w:line="213" w:lineRule="auto"/>
        <w:sectPr>
          <w:pgSz w:w="12240" w:h="15840"/>
          <w:pgMar w:top="1109" w:right="1041" w:bottom="0" w:left="983" w:header="0" w:footer="0" w:gutter="0"/>
        </w:sectPr>
        <w:rPr/>
      </w:pPr>
    </w:p>
    <w:p>
      <w:pPr>
        <w:pStyle w:val="BodyText"/>
        <w:ind w:left="513"/>
        <w:spacing w:before="46" w:line="222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2"/>
        </w:rPr>
        <w:t>外)。消费从炫耀转向实用/理性。</w:t>
      </w:r>
    </w:p>
    <w:p>
      <w:pPr>
        <w:pStyle w:val="BodyText"/>
        <w:ind w:left="369"/>
        <w:spacing w:before="236" w:line="213" w:lineRule="auto"/>
        <w:rPr>
          <w:sz w:val="23"/>
          <w:szCs w:val="23"/>
        </w:rPr>
      </w:pPr>
      <w:r>
        <w:rPr>
          <w:sz w:val="23"/>
          <w:szCs w:val="23"/>
          <w:spacing w:val="14"/>
        </w:rPr>
        <w:t>·</w:t>
      </w:r>
      <w:r>
        <w:rPr>
          <w:sz w:val="23"/>
          <w:szCs w:val="23"/>
          <w:spacing w:val="-89"/>
        </w:rPr>
        <w:t xml:space="preserve"> </w:t>
      </w:r>
      <w:r>
        <w:rPr>
          <w:sz w:val="23"/>
          <w:szCs w:val="23"/>
          <w:spacing w:val="14"/>
        </w:rPr>
        <w:t>优势：分享经济发展红利，消费驱动经济增长(贡</w:t>
      </w:r>
      <w:r>
        <w:rPr>
          <w:sz w:val="23"/>
          <w:szCs w:val="23"/>
          <w:spacing w:val="13"/>
        </w:rPr>
        <w:t>献60%以上零售)。</w:t>
      </w:r>
    </w:p>
    <w:p>
      <w:pPr>
        <w:pStyle w:val="BodyText"/>
        <w:ind w:left="369"/>
        <w:spacing w:before="296" w:line="222" w:lineRule="auto"/>
        <w:rPr>
          <w:sz w:val="23"/>
          <w:szCs w:val="23"/>
        </w:rPr>
      </w:pPr>
      <w:r>
        <w:rPr>
          <w:sz w:val="23"/>
          <w:szCs w:val="23"/>
          <w:spacing w:val="-11"/>
        </w:rPr>
        <w:t>·</w:t>
      </w:r>
      <w:r>
        <w:rPr>
          <w:sz w:val="23"/>
          <w:szCs w:val="23"/>
          <w:spacing w:val="-93"/>
        </w:rPr>
        <w:t xml:space="preserve"> </w:t>
      </w:r>
      <w:r>
        <w:rPr>
          <w:sz w:val="23"/>
          <w:szCs w:val="23"/>
          <w:spacing w:val="-11"/>
        </w:rPr>
        <w:t>痛点与脆弱性：</w:t>
      </w:r>
    </w:p>
    <w:p>
      <w:pPr>
        <w:pStyle w:val="BodyText"/>
        <w:ind w:left="869"/>
        <w:spacing w:before="260" w:line="220" w:lineRule="auto"/>
        <w:rPr>
          <w:sz w:val="23"/>
          <w:szCs w:val="23"/>
        </w:rPr>
      </w:pPr>
      <w:r>
        <w:rPr>
          <w:sz w:val="23"/>
          <w:szCs w:val="23"/>
          <w:spacing w:val="-3"/>
        </w:rPr>
        <w:t>·</w:t>
      </w:r>
      <w:r>
        <w:rPr>
          <w:sz w:val="23"/>
          <w:szCs w:val="23"/>
          <w:spacing w:val="-78"/>
        </w:rPr>
        <w:t xml:space="preserve"> </w:t>
      </w:r>
      <w:r>
        <w:rPr>
          <w:sz w:val="23"/>
          <w:szCs w:val="23"/>
          <w:spacing w:val="-3"/>
        </w:rPr>
        <w:t>“中产焦虑”突出：就业不稳、房贷压力、养老/医疗负担、子女教育成本高。</w:t>
      </w:r>
    </w:p>
    <w:p>
      <w:pPr>
        <w:pStyle w:val="BodyText"/>
        <w:ind w:left="1029" w:right="120" w:hanging="160"/>
        <w:spacing w:before="267" w:line="338" w:lineRule="auto"/>
        <w:rPr>
          <w:sz w:val="23"/>
          <w:szCs w:val="23"/>
        </w:rPr>
      </w:pPr>
      <w:r>
        <w:rPr>
          <w:sz w:val="23"/>
          <w:szCs w:val="23"/>
          <w:spacing w:val="14"/>
        </w:rPr>
        <w:t>·</w:t>
      </w:r>
      <w:r>
        <w:rPr>
          <w:sz w:val="23"/>
          <w:szCs w:val="23"/>
          <w:spacing w:val="-85"/>
        </w:rPr>
        <w:t xml:space="preserve"> </w:t>
      </w:r>
      <w:r>
        <w:rPr>
          <w:sz w:val="23"/>
          <w:szCs w:val="23"/>
          <w:spacing w:val="14"/>
        </w:rPr>
        <w:t>易滑落：经济下行时最受冲击(2024-2025教培/地产调整导</w:t>
      </w:r>
      <w:r>
        <w:rPr>
          <w:sz w:val="23"/>
          <w:szCs w:val="23"/>
          <w:spacing w:val="13"/>
        </w:rPr>
        <w:t>致部分中产财富缩水、消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"/>
        </w:rPr>
        <w:t>费降级)。</w:t>
      </w:r>
    </w:p>
    <w:p>
      <w:pPr>
        <w:pStyle w:val="BodyText"/>
        <w:spacing w:before="107" w:line="213" w:lineRule="auto"/>
        <w:jc w:val="right"/>
        <w:rPr>
          <w:sz w:val="23"/>
          <w:szCs w:val="23"/>
        </w:rPr>
      </w:pPr>
      <w:r>
        <w:rPr>
          <w:sz w:val="23"/>
          <w:szCs w:val="23"/>
          <w:spacing w:val="9"/>
        </w:rPr>
        <w:t>·</w:t>
      </w:r>
      <w:r>
        <w:rPr>
          <w:sz w:val="23"/>
          <w:szCs w:val="23"/>
          <w:spacing w:val="-96"/>
        </w:rPr>
        <w:t xml:space="preserve"> </w:t>
      </w:r>
      <w:r>
        <w:rPr>
          <w:sz w:val="23"/>
          <w:szCs w:val="23"/>
          <w:spacing w:val="9"/>
        </w:rPr>
        <w:t>2025趋势：健康/家庭优先，金钱重要性上升(反映</w:t>
      </w:r>
      <w:r>
        <w:rPr>
          <w:sz w:val="23"/>
          <w:szCs w:val="23"/>
          <w:spacing w:val="8"/>
        </w:rPr>
        <w:t>现金流担忧);部分“滑落派”占比7-</w:t>
      </w:r>
    </w:p>
    <w:p>
      <w:pPr>
        <w:ind w:left="1029"/>
        <w:spacing w:before="213" w:line="180" w:lineRule="auto"/>
        <w:rPr>
          <w:rFonts w:ascii="SimSun" w:hAnsi="SimSun" w:eastAsia="SimSun" w:cs="SimSu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7"/>
        </w:rPr>
        <w:t>10%</w:t>
      </w:r>
      <w:r>
        <w:rPr>
          <w:rFonts w:ascii="SimSun" w:hAnsi="SimSun" w:eastAsia="SimSun" w:cs="SimSun"/>
          <w:sz w:val="23"/>
          <w:szCs w:val="23"/>
          <w:spacing w:val="-7"/>
        </w:rPr>
        <w:t>。</w:t>
      </w:r>
    </w:p>
    <w:p>
      <w:pPr>
        <w:pStyle w:val="BodyText"/>
        <w:ind w:left="499" w:right="183" w:hanging="130"/>
        <w:spacing w:before="308" w:line="346" w:lineRule="auto"/>
        <w:rPr>
          <w:sz w:val="23"/>
          <w:szCs w:val="23"/>
        </w:rPr>
      </w:pPr>
      <w:r>
        <w:rPr>
          <w:sz w:val="23"/>
          <w:szCs w:val="23"/>
          <w:spacing w:val="11"/>
        </w:rPr>
        <w:t>·</w:t>
      </w:r>
      <w:r>
        <w:rPr>
          <w:sz w:val="23"/>
          <w:szCs w:val="23"/>
          <w:spacing w:val="-93"/>
        </w:rPr>
        <w:t xml:space="preserve"> </w:t>
      </w:r>
      <w:r>
        <w:rPr>
          <w:sz w:val="23"/>
          <w:szCs w:val="23"/>
          <w:spacing w:val="11"/>
        </w:rPr>
        <w:t>社会意义：中产扩张是共同富裕目标，但当前固化趋势强，向上流动难(普通人最多到5-6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3"/>
        </w:rPr>
        <w:t>级)。</w:t>
      </w:r>
    </w:p>
    <w:p>
      <w:pPr>
        <w:pStyle w:val="BodyText"/>
        <w:ind w:right="162" w:firstLine="9"/>
        <w:spacing w:before="158" w:line="342" w:lineRule="auto"/>
        <w:rPr>
          <w:sz w:val="23"/>
          <w:szCs w:val="23"/>
        </w:rPr>
      </w:pPr>
      <w:r>
        <w:rPr>
          <w:sz w:val="23"/>
          <w:szCs w:val="23"/>
          <w:spacing w:val="7"/>
        </w:rPr>
        <w:t>此模型和数据主观性强，实际阶层更连续而非严格9级。</w:t>
      </w:r>
      <w:r>
        <w:rPr>
          <w:sz w:val="23"/>
          <w:szCs w:val="23"/>
          <w:spacing w:val="6"/>
        </w:rPr>
        <w:t>官方更强调“橄榄型”结构(扩大中产)。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8"/>
        </w:rPr>
        <w:t>如果需特定报告细节，可提供更多来源。</w:t>
      </w:r>
    </w:p>
    <w:sectPr>
      <w:pgSz w:w="12240" w:h="15840"/>
      <w:pgMar w:top="1008" w:right="1021" w:bottom="0" w:left="98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2026-03-15T23:56:15Z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2026-03-15T23:56:15</vt:filetime>
  </property>
  <property fmtid="{D5CDD505-2E9C-101B-9397-08002B2CF9AE}" pid="4" name="UsrData">
    <vt:lpwstr>69b6d69d43cd31001f1dccb3wl</vt:lpwstr>
  </property>
</Properties>
</file>