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6E173">
      <w:pPr>
        <w:spacing w:before="210" w:after="0" w:line="360" w:lineRule="auto"/>
      </w:pPr>
      <w:bookmarkStart w:id="215" w:name="_GoBack"/>
      <w:bookmarkEnd w:id="215"/>
      <w: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4329F5F4">
      <w:pPr>
        <w:spacing w:before="157" w:after="157" w:line="270" w:lineRule="auto"/>
        <w:jc w:val="left"/>
      </w:pPr>
      <w:bookmarkStart w:id="0" w:name="中国9阶层收入与财务状况及中产阶层特征深度分析报告"/>
      <w:r>
        <w:rPr>
          <w:rFonts w:ascii="inter" w:hAnsi="inter" w:eastAsia="inter" w:cs="inter"/>
          <w:b/>
          <w:color w:val="000000"/>
          <w:sz w:val="39"/>
        </w:rPr>
        <w:t>中国9阶层收入与财务状况及中产阶层特征深度分析报告</w:t>
      </w:r>
      <w:bookmarkEnd w:id="0"/>
    </w:p>
    <w:p w14:paraId="01B87C1A">
      <w:pPr>
        <w:spacing w:before="315" w:after="105" w:line="360" w:lineRule="auto"/>
        <w:ind w:left="-30"/>
        <w:jc w:val="left"/>
      </w:pPr>
      <w:bookmarkStart w:id="1" w:name="执行摘要"/>
      <w:r>
        <w:rPr>
          <w:rFonts w:ascii="inter" w:hAnsi="inter" w:eastAsia="inter" w:cs="inter"/>
          <w:b/>
          <w:color w:val="000000"/>
          <w:sz w:val="24"/>
        </w:rPr>
        <w:t>执行摘要</w:t>
      </w:r>
      <w:bookmarkEnd w:id="1"/>
    </w:p>
    <w:p w14:paraId="0039EE32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国社会经济结构正处于历史性转型阶段。根据2005-2022年数据，中国的收入分配结构已从"倒丁字型"（底部庞大，顶部极小）根本性转变为"金字塔型"，并正向"橄榄型"（中等收入群体为主体）转变。这一转变蕴含着深刻的社会学意义：2005年至2022年间，约6.9亿人摆脱低收入状态，中等收入群体规模从1,400万人扩展至4亿人。</w:t>
      </w:r>
    </w:p>
    <w:p w14:paraId="31A9CD93">
      <w:pPr>
        <w:spacing w:after="210" w:line="360" w:lineRule="auto"/>
      </w:pPr>
      <w:r>
        <w:rPr>
          <w:rFonts w:ascii="inter" w:hAnsi="inter" w:eastAsia="inter" w:cs="inter"/>
          <w:color w:val="000000"/>
        </w:rPr>
        <w:t>当前中国中产阶层正面临"增量困难与存量风险"的双重困境：虽然规模已达4亿人（约占总人口的28%），但其内部分化加剧，财富缩水普遍，消费心理保守。本报告基于最新的统计数据和学术研究，系统梳理了中国社会9阶层的收入特征、资产配置、财务健康状况，并重点分析了中产阶层的当代特征、面临的困境与发展趋势。</w:t>
      </w:r>
    </w:p>
    <w:p w14:paraId="091F93A7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AAE1FCC">
      <w:pPr>
        <w:spacing w:before="315" w:after="105" w:line="360" w:lineRule="auto"/>
        <w:ind w:left="-30"/>
        <w:jc w:val="left"/>
      </w:pPr>
      <w:bookmarkStart w:id="2" w:name="第一部分_中国社会9阶层划分与收入结构"/>
      <w:r>
        <w:rPr>
          <w:rFonts w:ascii="inter" w:hAnsi="inter" w:eastAsia="inter" w:cs="inter"/>
          <w:b/>
          <w:color w:val="000000"/>
          <w:sz w:val="24"/>
        </w:rPr>
        <w:t>第一部分 中国社会9阶层划分与收入结构</w:t>
      </w:r>
      <w:bookmarkEnd w:id="2"/>
    </w:p>
    <w:p w14:paraId="3CD63148">
      <w:pPr>
        <w:spacing w:before="315" w:after="105" w:line="360" w:lineRule="auto"/>
        <w:ind w:left="-30"/>
        <w:jc w:val="left"/>
      </w:pPr>
      <w:bookmarkStart w:id="3" w:name="一_科学的阶层划分标准"/>
      <w:r>
        <w:rPr>
          <w:rFonts w:ascii="inter" w:hAnsi="inter" w:eastAsia="inter" w:cs="inter"/>
          <w:b/>
          <w:color w:val="000000"/>
          <w:sz w:val="24"/>
        </w:rPr>
        <w:t>一、科学的阶层划分标准</w:t>
      </w:r>
      <w:bookmarkEnd w:id="3"/>
    </w:p>
    <w:p w14:paraId="0AFDDDDE">
      <w:pPr>
        <w:spacing w:after="210" w:line="360" w:lineRule="auto"/>
      </w:pPr>
      <w:r>
        <w:rPr>
          <w:rFonts w:ascii="inter" w:hAnsi="inter" w:eastAsia="inter" w:cs="inter"/>
          <w:color w:val="000000"/>
        </w:rPr>
        <w:t>基于中国社会状况综合调查（CSS）数据和国家统计局标准，中国居民按家庭人均年收入可划分为4个主要收入群体，进一步可细化为9个阶层：</w:t>
      </w:r>
      <w:bookmarkStart w:id="4" w:name="fnref1"/>
      <w:bookmarkEnd w:id="4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66"/>
        <w:gridCol w:w="1941"/>
        <w:gridCol w:w="1315"/>
        <w:gridCol w:w="1216"/>
        <w:gridCol w:w="3302"/>
      </w:tblGrid>
      <w:tr w14:paraId="407E3C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1B920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阶层级别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1C845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家庭人均年收入（元）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69A0C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2022年占比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7E934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人口规模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BBAF4A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主要特征</w:t>
            </w:r>
          </w:p>
        </w:tc>
      </w:tr>
      <w:tr w14:paraId="0505F0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E08F5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第1阶层（极低收入）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4C00E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≤6,000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1474C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8-10%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D1F97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~1.1亿人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0F43F5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城镇失业/半就业、农村贫困户、老年无保障</w:t>
            </w:r>
          </w:p>
        </w:tc>
      </w:tr>
      <w:tr w14:paraId="1521DE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94B7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第2阶层（低收入）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5CB0B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6,001-12,000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1A1A4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25-28%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3F2D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~3.8亿人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B5B42F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农民、初级工人、季节性工作者</w:t>
            </w:r>
          </w:p>
        </w:tc>
      </w:tr>
      <w:tr w14:paraId="5B0C24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24FF9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第3阶层（中低收入下）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816E7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12,001-20,000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949C3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15-18%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30B68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~2.3亿人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AB9AD7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基层工作者、个体户、小农</w:t>
            </w:r>
          </w:p>
        </w:tc>
      </w:tr>
      <w:tr w14:paraId="6AF5B4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CB50E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第4阶层（中低收入上）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3AADA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20,001-33,333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BACE9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18-20%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55A56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~2.7亿人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75F6DB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技术工人、初级职员、小微企业主</w:t>
            </w:r>
          </w:p>
        </w:tc>
      </w:tr>
      <w:tr w14:paraId="2A5FCF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6A17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第5阶层（中等收入下）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56563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33,334-50,000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BA43E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10-12%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CB231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~1.5亿人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E56741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中等技能工人、基层管理、专业人士</w:t>
            </w:r>
          </w:p>
        </w:tc>
      </w:tr>
      <w:tr w14:paraId="5AD3BD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0FD34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第6阶层（中等收入中）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98FD4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50,001-83,333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7777A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8-10%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DC508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~1.2亿人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223E81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中产主体</w:t>
            </w:r>
            <w:r>
              <w:rPr>
                <w:rFonts w:ascii="inter" w:hAnsi="inter" w:eastAsia="inter" w:cs="inter"/>
                <w:color w:val="000000"/>
                <w:sz w:val="17"/>
              </w:rPr>
              <w:t>：中层管理、技术专家</w:t>
            </w:r>
          </w:p>
        </w:tc>
      </w:tr>
      <w:tr w14:paraId="117BCD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DF437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第7阶层（中等收入上）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3D033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83,334-166,667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6CC84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5-7%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64EA1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~0.8亿人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B50545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中产精英</w:t>
            </w:r>
            <w:r>
              <w:rPr>
                <w:rFonts w:ascii="inter" w:hAnsi="inter" w:eastAsia="inter" w:cs="inter"/>
                <w:color w:val="000000"/>
                <w:sz w:val="17"/>
              </w:rPr>
              <w:t>：高层管理、高级专业人士</w:t>
            </w:r>
          </w:p>
        </w:tc>
      </w:tr>
      <w:tr w14:paraId="09DAE5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B6DC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第8阶层（高收入下）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357B0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166,668-333,333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1DA00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1-2%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77ADD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~0.15亿人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CB2C20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企业高管、资深企业主</w:t>
            </w:r>
          </w:p>
        </w:tc>
      </w:tr>
      <w:tr w14:paraId="009287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C6BD1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第9阶层（高收入上）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8C171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≥333,334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19FFD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0.5-1%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62439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~0.08亿人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312A87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亿万富豪、大企业主、顶级投资者</w:t>
            </w:r>
          </w:p>
        </w:tc>
      </w:tr>
    </w:tbl>
    <w:p w14:paraId="5C9A3460"/>
    <w:p w14:paraId="675E824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注</w:t>
      </w:r>
      <w:r>
        <w:rPr>
          <w:rFonts w:ascii="inter" w:hAnsi="inter" w:eastAsia="inter" w:cs="inter"/>
          <w:color w:val="000000"/>
        </w:rPr>
        <w:t>：数据以三口之家标准化，对应2024年人均可支配收入标准。</w:t>
      </w:r>
    </w:p>
    <w:p w14:paraId="11A5B905">
      <w:pPr>
        <w:spacing w:before="315" w:after="105" w:line="360" w:lineRule="auto"/>
        <w:ind w:left="-30"/>
        <w:jc w:val="left"/>
      </w:pPr>
      <w:bookmarkStart w:id="5" w:name="二_收入结构的历史性转变"/>
      <w:r>
        <w:rPr>
          <w:rFonts w:ascii="inter" w:hAnsi="inter" w:eastAsia="inter" w:cs="inter"/>
          <w:b/>
          <w:color w:val="000000"/>
          <w:sz w:val="24"/>
        </w:rPr>
        <w:t>二、收入结构的历史性转变</w:t>
      </w:r>
      <w:bookmarkEnd w:id="5"/>
    </w:p>
    <w:p w14:paraId="2ECD1A2C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中国收入结构变迁展现出两个重要特征：</w:t>
      </w:r>
      <w:bookmarkStart w:id="6" w:name="fnref1_1"/>
      <w:bookmarkEnd w:id="6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F62B18D">
      <w:pPr>
        <w:spacing w:before="315" w:after="105" w:line="360" w:lineRule="auto"/>
        <w:ind w:left="-30"/>
        <w:jc w:val="left"/>
      </w:pPr>
      <w:bookmarkStart w:id="7" w:name="一_金字塔型_向_橄榄型_的转变"/>
      <w:r>
        <w:rPr>
          <w:rFonts w:ascii="inter" w:hAnsi="inter" w:eastAsia="inter" w:cs="inter"/>
          <w:b/>
          <w:color w:val="000000"/>
          <w:sz w:val="24"/>
        </w:rPr>
        <w:t>（一）"金字塔型"向"橄榄型"的转变</w:t>
      </w:r>
      <w:bookmarkEnd w:id="7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45"/>
        <w:gridCol w:w="1042"/>
        <w:gridCol w:w="1042"/>
        <w:gridCol w:w="1042"/>
        <w:gridCol w:w="1042"/>
        <w:gridCol w:w="1005"/>
      </w:tblGrid>
      <w:tr w14:paraId="1ACB46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EFD1F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收入分布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A795F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2005年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88034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2010年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41A36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2018年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E4368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2022年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E7D772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变化趋势</w:t>
            </w:r>
          </w:p>
        </w:tc>
      </w:tr>
      <w:tr w14:paraId="539FB7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A3EAC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低收入占比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8DCA9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91.50%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81ED5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62.06%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CD3DF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45.64%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5AD0C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35.94%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18855B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持续下降</w:t>
            </w:r>
          </w:p>
        </w:tc>
      </w:tr>
      <w:tr w14:paraId="405348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5A5D1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中低收入占比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7CB26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7.39%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0FACA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29.39%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971A2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35.74%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515AB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36.52%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5D5D4B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先升后稳</w:t>
            </w:r>
          </w:p>
        </w:tc>
      </w:tr>
      <w:tr w14:paraId="4F1B71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59C30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中等收入占比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EEF70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1.08%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57FEA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8.06%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B1766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17.43%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B9148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25.51%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DA3685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加速增长</w:t>
            </w:r>
          </w:p>
        </w:tc>
      </w:tr>
      <w:tr w14:paraId="45BFD0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61E17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高收入占比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F3FA3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0.04%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B3E52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0.49%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C9286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1.19%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3AB95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2.03%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9037CD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稳步增加</w:t>
            </w:r>
          </w:p>
        </w:tc>
      </w:tr>
    </w:tbl>
    <w:p w14:paraId="490EA5BA"/>
    <w:p w14:paraId="303FB54B">
      <w:pPr>
        <w:spacing w:after="210" w:line="360" w:lineRule="auto"/>
      </w:pPr>
      <w:r>
        <w:rPr>
          <w:rFonts w:ascii="inter" w:hAnsi="inter" w:eastAsia="inter" w:cs="inter"/>
          <w:color w:val="000000"/>
        </w:rPr>
        <w:t>2018-2022年是中等收入群体扩大最快的时期，占比增加8.08个百分点，这反映出经济发展和收入分配制度改革的显著成效。</w:t>
      </w:r>
    </w:p>
    <w:p w14:paraId="07653BA3">
      <w:pPr>
        <w:spacing w:before="315" w:after="105" w:line="360" w:lineRule="auto"/>
        <w:ind w:left="-30"/>
        <w:jc w:val="left"/>
      </w:pPr>
      <w:bookmarkStart w:id="8" w:name="二_收入差距的扩大趋势"/>
      <w:r>
        <w:rPr>
          <w:rFonts w:ascii="inter" w:hAnsi="inter" w:eastAsia="inter" w:cs="inter"/>
          <w:b/>
          <w:color w:val="000000"/>
          <w:sz w:val="24"/>
        </w:rPr>
        <w:t>（二）收入差距的扩大趋势</w:t>
      </w:r>
      <w:bookmarkEnd w:id="8"/>
    </w:p>
    <w:p w14:paraId="3D9F4DCA">
      <w:pPr>
        <w:spacing w:after="210" w:line="360" w:lineRule="auto"/>
      </w:pPr>
      <w:r>
        <w:rPr>
          <w:rFonts w:ascii="inter" w:hAnsi="inter" w:eastAsia="inter" w:cs="inter"/>
          <w:color w:val="000000"/>
        </w:rPr>
        <w:t>虽然收入分布结构优化，但收入差距指标显示出复杂的演变：</w:t>
      </w:r>
      <w:bookmarkStart w:id="9" w:name="fnref1_2"/>
      <w:bookmarkEnd w:id="9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0618D06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90分位数与10分位数的比率</w:t>
      </w:r>
      <w:r>
        <w:rPr>
          <w:rFonts w:ascii="inter" w:hAnsi="inter" w:eastAsia="inter" w:cs="inter"/>
          <w:color w:val="000000"/>
          <w:sz w:val="21"/>
        </w:rPr>
        <w:t>：从2005年的13.00倍扩大到2022年的21.89倍，表明顶部与底部收入差距在扩大</w:t>
      </w:r>
    </w:p>
    <w:p w14:paraId="3E82F23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90分位数与中位数的比率</w:t>
      </w:r>
      <w:r>
        <w:rPr>
          <w:rFonts w:ascii="inter" w:hAnsi="inter" w:eastAsia="inter" w:cs="inter"/>
          <w:color w:val="000000"/>
          <w:sz w:val="21"/>
        </w:rPr>
        <w:t>：从3.25倍上升到4.07倍，高收入者收入增速明显快于中等收入者</w:t>
      </w:r>
    </w:p>
    <w:p w14:paraId="46BE317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50分位数与10分位数的比率</w:t>
      </w:r>
      <w:r>
        <w:rPr>
          <w:rFonts w:ascii="inter" w:hAnsi="inter" w:eastAsia="inter" w:cs="inter"/>
          <w:color w:val="000000"/>
          <w:sz w:val="21"/>
        </w:rPr>
        <w:t>：从4.00倍变化到5.38倍，中等收入与低收入的差距相对稳定</w:t>
      </w:r>
    </w:p>
    <w:p w14:paraId="1EE5646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结论</w:t>
      </w:r>
      <w:r>
        <w:rPr>
          <w:rFonts w:ascii="inter" w:hAnsi="inter" w:eastAsia="inter" w:cs="inter"/>
          <w:color w:val="000000"/>
        </w:rPr>
        <w:t>：中国已实现了"普遍增收"（所有阶层收入都在增加），但"相对差距"在扩大。这与全球化背景下的技能溢价效应相符，是发展中国家现代化过程中的常见现象。</w:t>
      </w:r>
    </w:p>
    <w:p w14:paraId="175A4432">
      <w:pPr>
        <w:spacing w:before="315" w:after="105" w:line="360" w:lineRule="auto"/>
        <w:ind w:left="-30"/>
        <w:jc w:val="left"/>
      </w:pPr>
      <w:bookmarkStart w:id="10" w:name="三_城乡与区域差异"/>
      <w:r>
        <w:rPr>
          <w:rFonts w:ascii="inter" w:hAnsi="inter" w:eastAsia="inter" w:cs="inter"/>
          <w:b/>
          <w:color w:val="000000"/>
          <w:sz w:val="24"/>
        </w:rPr>
        <w:t>三、城乡与区域差异</w:t>
      </w:r>
      <w:bookmarkEnd w:id="10"/>
    </w:p>
    <w:p w14:paraId="6678126F">
      <w:pPr>
        <w:spacing w:before="315" w:after="105" w:line="360" w:lineRule="auto"/>
        <w:ind w:left="-30"/>
        <w:jc w:val="left"/>
      </w:pPr>
      <w:bookmarkStart w:id="11" w:name="一_城乡二元差异仍然显著"/>
      <w:r>
        <w:rPr>
          <w:rFonts w:ascii="inter" w:hAnsi="inter" w:eastAsia="inter" w:cs="inter"/>
          <w:b/>
          <w:color w:val="000000"/>
          <w:sz w:val="24"/>
        </w:rPr>
        <w:t>（一）城乡二元差异仍然显著</w:t>
      </w:r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11"/>
    </w:p>
    <w:p w14:paraId="406C61D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城镇地区收入结构</w:t>
      </w:r>
      <w:r>
        <w:rPr>
          <w:rFonts w:ascii="inter" w:hAnsi="inter" w:eastAsia="inter" w:cs="inter"/>
          <w:color w:val="000000"/>
        </w:rPr>
        <w:t>（2022年）：</w:t>
      </w:r>
    </w:p>
    <w:p w14:paraId="2791C7A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低收入：25.63%</w:t>
      </w:r>
    </w:p>
    <w:p w14:paraId="09D90D1C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中低收入：37.11%</w:t>
      </w:r>
    </w:p>
    <w:p w14:paraId="3C07350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中等收入：34.29%</w:t>
      </w:r>
    </w:p>
    <w:p w14:paraId="75EB850A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高收入：2.97%</w:t>
      </w:r>
    </w:p>
    <w:p w14:paraId="6D2C1C7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乡村地区收入结构</w:t>
      </w:r>
      <w:r>
        <w:rPr>
          <w:rFonts w:ascii="inter" w:hAnsi="inter" w:eastAsia="inter" w:cs="inter"/>
          <w:color w:val="000000"/>
        </w:rPr>
        <w:t>（2022年）：</w:t>
      </w:r>
    </w:p>
    <w:p w14:paraId="22F12EB0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低收入：51.12%</w:t>
      </w:r>
    </w:p>
    <w:p w14:paraId="4DAEE5A9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中低收入：35.64%</w:t>
      </w:r>
    </w:p>
    <w:p w14:paraId="008D924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中等收入：12.58%</w:t>
      </w:r>
    </w:p>
    <w:p w14:paraId="6F156582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高收入：0.66%</w:t>
      </w:r>
    </w:p>
    <w:p w14:paraId="257D0931">
      <w:pPr>
        <w:spacing w:after="210" w:line="360" w:lineRule="auto"/>
      </w:pPr>
      <w:r>
        <w:rPr>
          <w:rFonts w:ascii="inter" w:hAnsi="inter" w:eastAsia="inter" w:cs="inter"/>
          <w:color w:val="000000"/>
        </w:rPr>
        <w:t>城镇中等收入占比是乡村的2.7倍，乡村仍处于"金字塔型"收入结构，城镇已初步形成"橄榄型"。</w:t>
      </w:r>
    </w:p>
    <w:p w14:paraId="4922D570">
      <w:pPr>
        <w:spacing w:before="315" w:after="105" w:line="360" w:lineRule="auto"/>
        <w:ind w:left="-30"/>
        <w:jc w:val="left"/>
      </w:pPr>
      <w:bookmarkStart w:id="12" w:name="二_区域发展梯队差异"/>
      <w:r>
        <w:rPr>
          <w:rFonts w:ascii="inter" w:hAnsi="inter" w:eastAsia="inter" w:cs="inter"/>
          <w:b/>
          <w:color w:val="000000"/>
          <w:sz w:val="24"/>
        </w:rPr>
        <w:t>（二）区域发展梯队差异</w:t>
      </w:r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12"/>
    </w:p>
    <w:p w14:paraId="11AFFC4E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中国六大区域按收入结构可分为三类：</w:t>
      </w:r>
    </w:p>
    <w:p w14:paraId="22EE4ED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第一梯队：华东地区（4.3亿人）</w:t>
      </w:r>
    </w:p>
    <w:p w14:paraId="6373263A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中等收入群体占比已超中低收入群体（36.95% vs 36.07%）</w:t>
      </w:r>
    </w:p>
    <w:p w14:paraId="1E7AB7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代表中国发展的先进方向，已形成相对均衡的"橄榄型"</w:t>
      </w:r>
    </w:p>
    <w:p w14:paraId="1C075B0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第二梯队：华北、东北地区（2.7亿人）</w:t>
      </w:r>
    </w:p>
    <w:p w14:paraId="4BB21F1F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处于过渡状态，中低收入群体占比超低收入（40%+ vs 30%）</w:t>
      </w:r>
    </w:p>
    <w:p w14:paraId="66938DED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向更优结构转变</w:t>
      </w:r>
    </w:p>
    <w:p w14:paraId="79D63BA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第三梯队：中南、西南、西北地区（7.2亿人）</w:t>
      </w:r>
    </w:p>
    <w:p w14:paraId="39272459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低收入群体占比仍最高（40-51%）</w:t>
      </w:r>
    </w:p>
    <w:p w14:paraId="1B7DF5DB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仍处"金字塔型"，需要重点政策扶持</w:t>
      </w:r>
    </w:p>
    <w:p w14:paraId="1AD2496E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1257E65E">
      <w:pPr>
        <w:spacing w:before="315" w:after="105" w:line="360" w:lineRule="auto"/>
        <w:ind w:left="-30"/>
        <w:jc w:val="left"/>
      </w:pPr>
      <w:bookmarkStart w:id="13" w:name="第二部分_中产阶层的界定与规模"/>
      <w:r>
        <w:rPr>
          <w:rFonts w:ascii="inter" w:hAnsi="inter" w:eastAsia="inter" w:cs="inter"/>
          <w:b/>
          <w:color w:val="000000"/>
          <w:sz w:val="24"/>
        </w:rPr>
        <w:t>第二部分 中产阶层的界定与规模</w:t>
      </w:r>
      <w:bookmarkEnd w:id="13"/>
    </w:p>
    <w:p w14:paraId="03D95595">
      <w:pPr>
        <w:spacing w:before="315" w:after="105" w:line="360" w:lineRule="auto"/>
        <w:ind w:left="-30"/>
        <w:jc w:val="left"/>
      </w:pPr>
      <w:bookmarkStart w:id="14" w:name="一_中产阶层的多维界定标准"/>
      <w:r>
        <w:rPr>
          <w:rFonts w:ascii="inter" w:hAnsi="inter" w:eastAsia="inter" w:cs="inter"/>
          <w:b/>
          <w:color w:val="000000"/>
          <w:sz w:val="24"/>
        </w:rPr>
        <w:t>一、中产阶层的多维界定标准</w:t>
      </w:r>
      <w:bookmarkEnd w:id="14"/>
    </w:p>
    <w:p w14:paraId="311FC286">
      <w:pPr>
        <w:spacing w:after="210" w:line="360" w:lineRule="auto"/>
      </w:pPr>
      <w:r>
        <w:rPr>
          <w:rFonts w:ascii="inter" w:hAnsi="inter" w:eastAsia="inter" w:cs="inter"/>
          <w:color w:val="000000"/>
        </w:rPr>
        <w:t>关于"中产"的定义，国内学界和机构存在多种标准，主要分为两类：</w:t>
      </w:r>
      <w:bookmarkStart w:id="15" w:name="fnref2"/>
      <w:bookmarkEnd w:id="15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6" w:name="fnref3"/>
      <w:bookmarkEnd w:id="16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7" w:name="fnref4"/>
      <w:bookmarkEnd w:id="17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ADCBE7D">
      <w:pPr>
        <w:spacing w:before="315" w:after="105" w:line="360" w:lineRule="auto"/>
        <w:ind w:left="-30"/>
        <w:jc w:val="left"/>
      </w:pPr>
      <w:bookmarkStart w:id="18" w:name="一_收入维度_官方标准"/>
      <w:r>
        <w:rPr>
          <w:rFonts w:ascii="inter" w:hAnsi="inter" w:eastAsia="inter" w:cs="inter"/>
          <w:b/>
          <w:color w:val="000000"/>
          <w:sz w:val="24"/>
        </w:rPr>
        <w:t>（一）收入维度（官方标准）</w:t>
      </w:r>
      <w:bookmarkEnd w:id="18"/>
    </w:p>
    <w:p w14:paraId="7129CDE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国家统计局标准</w:t>
      </w:r>
      <w:r>
        <w:rPr>
          <w:rFonts w:ascii="inter" w:hAnsi="inter" w:eastAsia="inter" w:cs="inter"/>
          <w:color w:val="000000"/>
        </w:rPr>
        <w:t>：</w:t>
      </w:r>
      <w:bookmarkStart w:id="19" w:name="fnref1_5"/>
      <w:bookmarkEnd w:id="19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05A33E6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三口之家年收入10万-50万元</w:t>
      </w:r>
    </w:p>
    <w:p w14:paraId="4323C208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折合家庭人均年收入3.33万-16.67万元</w:t>
      </w:r>
    </w:p>
    <w:p w14:paraId="04D36A1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吴晓波频道新中产定义</w:t>
      </w:r>
      <w:r>
        <w:rPr>
          <w:rFonts w:ascii="inter" w:hAnsi="inter" w:eastAsia="inter" w:cs="inter"/>
          <w:color w:val="000000"/>
        </w:rPr>
        <w:t>：</w:t>
      </w:r>
      <w:bookmarkStart w:id="20" w:name="fnref3_1"/>
      <w:bookmarkEnd w:id="20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312C9B2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个人年收入≥12万元，</w:t>
      </w:r>
      <w:r>
        <w:rPr>
          <w:rFonts w:ascii="inter" w:hAnsi="inter" w:eastAsia="inter" w:cs="inter"/>
          <w:b/>
          <w:color w:val="000000"/>
          <w:sz w:val="21"/>
        </w:rPr>
        <w:t>或</w:t>
      </w:r>
    </w:p>
    <w:p w14:paraId="76939E1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家庭年收入≥20万元</w:t>
      </w:r>
    </w:p>
    <w:p w14:paraId="6BE2F18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巨量引擎新中产定义</w:t>
      </w:r>
      <w:r>
        <w:rPr>
          <w:rFonts w:ascii="inter" w:hAnsi="inter" w:eastAsia="inter" w:cs="inter"/>
          <w:color w:val="000000"/>
        </w:rPr>
        <w:t>：</w:t>
      </w:r>
      <w:bookmarkStart w:id="21" w:name="fnref2_1"/>
      <w:bookmarkEnd w:id="21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3900063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个人年收入≥10万元，</w:t>
      </w:r>
      <w:r>
        <w:rPr>
          <w:rFonts w:ascii="inter" w:hAnsi="inter" w:eastAsia="inter" w:cs="inter"/>
          <w:b/>
          <w:color w:val="000000"/>
          <w:sz w:val="21"/>
        </w:rPr>
        <w:t>或</w:t>
      </w:r>
    </w:p>
    <w:p w14:paraId="2668497C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家庭年收入≥20万元</w:t>
      </w:r>
    </w:p>
    <w:p w14:paraId="68908CAE">
      <w:pPr>
        <w:spacing w:before="315" w:after="105" w:line="360" w:lineRule="auto"/>
        <w:ind w:left="-30"/>
        <w:jc w:val="left"/>
      </w:pPr>
      <w:bookmarkStart w:id="22" w:name="二_多维综合标准_核心特征"/>
      <w:r>
        <w:rPr>
          <w:rFonts w:ascii="inter" w:hAnsi="inter" w:eastAsia="inter" w:cs="inter"/>
          <w:b/>
          <w:color w:val="000000"/>
          <w:sz w:val="24"/>
        </w:rPr>
        <w:t>（二）多维综合标准（核心特征）</w:t>
      </w:r>
      <w:bookmarkEnd w:id="22"/>
    </w:p>
    <w:p w14:paraId="122A9A28">
      <w:pPr>
        <w:spacing w:after="210" w:line="360" w:lineRule="auto"/>
      </w:pPr>
      <w:r>
        <w:rPr>
          <w:rFonts w:ascii="inter" w:hAnsi="inter" w:eastAsia="inter" w:cs="inter"/>
          <w:color w:val="000000"/>
        </w:rPr>
        <w:t>真正的"新中产"并非仅由收入界定，而是经济、职业、教育、资产、消费的综合体现：</w:t>
      </w:r>
      <w:bookmarkStart w:id="23" w:name="fnref4_1"/>
      <w:bookmarkEnd w:id="23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4" w:name="fnref3_2"/>
      <w:bookmarkEnd w:id="24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667"/>
        <w:gridCol w:w="2288"/>
        <w:gridCol w:w="4157"/>
      </w:tblGrid>
      <w:tr w14:paraId="766D49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38127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6709D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特征指标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7E6EA5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说明</w:t>
            </w:r>
          </w:p>
        </w:tc>
      </w:tr>
      <w:tr w14:paraId="065F33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8D68A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经济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AFD74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年收入/资产门槛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F266C8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个人12万+或家庭20万+；可投资资产100万+</w:t>
            </w:r>
          </w:p>
        </w:tc>
      </w:tr>
      <w:tr w14:paraId="42ADB5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6A929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职业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C3575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中层/高层管理、专业人士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5D0179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45.5%担任管理角色，21.7%为中层管理</w:t>
            </w:r>
          </w:p>
        </w:tc>
      </w:tr>
      <w:tr w14:paraId="79CF2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DAF6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教育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E283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本科及以上学历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9DFD79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教育是进入中产的主要通道</w:t>
            </w:r>
          </w:p>
        </w:tc>
      </w:tr>
      <w:tr w14:paraId="36ADA1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0CE2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资产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96FF8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自有住房+私车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A0600D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96%城镇家庭有房，资产配置趋向多元化</w:t>
            </w:r>
          </w:p>
        </w:tc>
      </w:tr>
      <w:tr w14:paraId="5AA387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0215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消费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D6E17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品质消费、精神消费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2C45F3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从品牌消费升级至品质消费</w:t>
            </w:r>
          </w:p>
        </w:tc>
      </w:tr>
      <w:tr w14:paraId="7E0418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48BD7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社保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B857F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完整的社会保障体系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0E1708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五险一金齐全，有额外保障</w:t>
            </w:r>
          </w:p>
        </w:tc>
      </w:tr>
    </w:tbl>
    <w:p w14:paraId="46EA9B6B"/>
    <w:p w14:paraId="7FD4D642">
      <w:pPr>
        <w:spacing w:before="315" w:after="105" w:line="360" w:lineRule="auto"/>
        <w:ind w:left="-30"/>
        <w:jc w:val="left"/>
      </w:pPr>
      <w:bookmarkStart w:id="25" w:name="二_中产阶层的实际规模"/>
      <w:r>
        <w:rPr>
          <w:rFonts w:ascii="inter" w:hAnsi="inter" w:eastAsia="inter" w:cs="inter"/>
          <w:b/>
          <w:color w:val="000000"/>
          <w:sz w:val="24"/>
        </w:rPr>
        <w:t>二、中产阶层的实际规模</w:t>
      </w:r>
      <w:bookmarkEnd w:id="25"/>
    </w:p>
    <w:p w14:paraId="16ADD1DF">
      <w:pPr>
        <w:spacing w:after="210" w:line="360" w:lineRule="auto"/>
      </w:pPr>
      <w:r>
        <w:rPr>
          <w:rFonts w:ascii="inter" w:hAnsi="inter" w:eastAsia="inter" w:cs="inter"/>
          <w:color w:val="000000"/>
        </w:rPr>
        <w:t>关于中产规模，不同口径给出的数据存在较大差异，反映了定义标准的差异：</w:t>
      </w:r>
      <w:bookmarkStart w:id="26" w:name="fnref5"/>
      <w:bookmarkEnd w:id="26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7" w:name="fnref6"/>
      <w:bookmarkEnd w:id="27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8" w:name="fnref1_6"/>
      <w:bookmarkEnd w:id="28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79"/>
        <w:gridCol w:w="1464"/>
        <w:gridCol w:w="3011"/>
        <w:gridCol w:w="2197"/>
      </w:tblGrid>
      <w:tr w14:paraId="73B798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6161B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口径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9A51C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数据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3C366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口径定义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D6AE19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主要来源</w:t>
            </w:r>
          </w:p>
        </w:tc>
      </w:tr>
      <w:tr w14:paraId="4BEBFF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BB18BE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官方数据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01F1C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4亿人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1B5FE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家庭年收入10-50万元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3C2FF6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国家统计局(2018年)</w:t>
            </w:r>
          </w:p>
        </w:tc>
      </w:tr>
      <w:tr w14:paraId="0D98A6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3A566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学术测算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F9946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4.6亿人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337C2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家庭人均年收入3.33-16.67万元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839852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浙大李实教授(2022年)</w:t>
            </w:r>
          </w:p>
        </w:tc>
      </w:tr>
      <w:tr w14:paraId="686F33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6A422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世界银行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D3DC62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3亿人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64CB1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家庭年收入10-96万元(PPP)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CC3BB0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世界银行东亚报告</w:t>
            </w:r>
          </w:p>
        </w:tc>
      </w:tr>
      <w:tr w14:paraId="349FFE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66D90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实际中产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1D652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1.4亿家庭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09CFD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严格中产标准（有房有车+高收入）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268E4F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业界共识</w:t>
            </w:r>
          </w:p>
        </w:tc>
      </w:tr>
      <w:tr w14:paraId="464555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B06B6E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脆弱型中产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E98B6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1.8亿-2亿人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5BE50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刚进入中产但抗风险能力弱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DF37EC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学术估计</w:t>
            </w:r>
          </w:p>
        </w:tc>
      </w:tr>
    </w:tbl>
    <w:p w14:paraId="493036BA"/>
    <w:p w14:paraId="3A2DE64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核心结论</w:t>
      </w:r>
      <w:r>
        <w:rPr>
          <w:rFonts w:ascii="inter" w:hAnsi="inter" w:eastAsia="inter" w:cs="inter"/>
          <w:color w:val="000000"/>
        </w:rPr>
        <w:t>：</w:t>
      </w:r>
    </w:p>
    <w:p w14:paraId="2D47159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广义中产</w:t>
      </w:r>
      <w:r>
        <w:rPr>
          <w:rFonts w:ascii="inter" w:hAnsi="inter" w:eastAsia="inter" w:cs="inter"/>
          <w:color w:val="000000"/>
          <w:sz w:val="21"/>
        </w:rPr>
        <w:t>（按收入标准）：约4亿人，占全国总人口28%</w:t>
      </w:r>
    </w:p>
    <w:p w14:paraId="6384AB99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狭义中产</w:t>
      </w:r>
      <w:r>
        <w:rPr>
          <w:rFonts w:ascii="inter" w:hAnsi="inter" w:eastAsia="inter" w:cs="inter"/>
          <w:color w:val="000000"/>
          <w:sz w:val="21"/>
        </w:rPr>
        <w:t>（多维标准）：约1.4亿家庭（5600万人），占城镇人口的30-35%</w:t>
      </w:r>
    </w:p>
    <w:p w14:paraId="352B0DB5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脆弱型中产</w:t>
      </w:r>
      <w:r>
        <w:rPr>
          <w:rFonts w:ascii="inter" w:hAnsi="inter" w:eastAsia="inter" w:cs="inter"/>
          <w:color w:val="000000"/>
          <w:sz w:val="21"/>
        </w:rPr>
        <w:t>：处于中低收入向中等收入过渡阶段的2亿人，风险承受能力低</w:t>
      </w:r>
    </w:p>
    <w:p w14:paraId="72683555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8155ED9">
      <w:pPr>
        <w:spacing w:before="315" w:after="105" w:line="360" w:lineRule="auto"/>
        <w:ind w:left="-30"/>
        <w:jc w:val="left"/>
      </w:pPr>
      <w:bookmarkStart w:id="29" w:name="第三部分_中产阶层的核心特征"/>
      <w:r>
        <w:rPr>
          <w:rFonts w:ascii="inter" w:hAnsi="inter" w:eastAsia="inter" w:cs="inter"/>
          <w:b/>
          <w:color w:val="000000"/>
          <w:sz w:val="24"/>
        </w:rPr>
        <w:t>第三部分 中产阶层的核心特征</w:t>
      </w:r>
      <w:bookmarkEnd w:id="29"/>
    </w:p>
    <w:p w14:paraId="360416AC">
      <w:pPr>
        <w:spacing w:before="315" w:after="105" w:line="360" w:lineRule="auto"/>
        <w:ind w:left="-30"/>
        <w:jc w:val="left"/>
      </w:pPr>
      <w:bookmarkStart w:id="30" w:name="一_职业与行业分布"/>
      <w:r>
        <w:rPr>
          <w:rFonts w:ascii="inter" w:hAnsi="inter" w:eastAsia="inter" w:cs="inter"/>
          <w:b/>
          <w:color w:val="000000"/>
          <w:sz w:val="24"/>
        </w:rPr>
        <w:t>一、职业与行业分布</w:t>
      </w:r>
      <w:bookmarkEnd w:id="30"/>
    </w:p>
    <w:p w14:paraId="2218D3C7">
      <w:pPr>
        <w:spacing w:before="315" w:after="105" w:line="360" w:lineRule="auto"/>
        <w:ind w:left="-30"/>
        <w:jc w:val="left"/>
      </w:pPr>
      <w:bookmarkStart w:id="31" w:name="一_职业结构"/>
      <w:r>
        <w:rPr>
          <w:rFonts w:ascii="inter" w:hAnsi="inter" w:eastAsia="inter" w:cs="inter"/>
          <w:b/>
          <w:color w:val="000000"/>
          <w:sz w:val="24"/>
        </w:rPr>
        <w:t>（一）职业结构</w:t>
      </w:r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[7]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[3]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31"/>
    </w:p>
    <w:p w14:paraId="68A09C4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中产的职业构成</w:t>
      </w:r>
      <w:r>
        <w:rPr>
          <w:rFonts w:ascii="inter" w:hAnsi="inter" w:eastAsia="inter" w:cs="inter"/>
          <w:color w:val="000000"/>
        </w:rPr>
        <w:t xml:space="preserve"> （2023年数据）：</w:t>
      </w:r>
    </w:p>
    <w:p w14:paraId="1DDBBDF7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中层管理者：21.7%（占比最高）</w:t>
      </w:r>
    </w:p>
    <w:p w14:paraId="44B2E8CD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小团队领导：占比合计45.5%</w:t>
      </w:r>
    </w:p>
    <w:p w14:paraId="52A358AC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高层管理：占比约18%</w:t>
      </w:r>
    </w:p>
    <w:p w14:paraId="287FC386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专业技术岗位：比例持续上升</w:t>
      </w:r>
    </w:p>
    <w:p w14:paraId="1A66360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工作单位性质</w:t>
      </w:r>
      <w:r>
        <w:rPr>
          <w:rFonts w:ascii="inter" w:hAnsi="inter" w:eastAsia="inter" w:cs="inter"/>
          <w:color w:val="000000"/>
        </w:rPr>
        <w:t>：</w:t>
      </w:r>
      <w:bookmarkStart w:id="32" w:name="fnref4_2"/>
      <w:bookmarkEnd w:id="32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EDCA32A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民营企业：35%</w:t>
      </w:r>
    </w:p>
    <w:p w14:paraId="6D65E32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外资企业：35%</w:t>
      </w:r>
    </w:p>
    <w:p w14:paraId="4FE71FA0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国有/事业单位：30%</w:t>
      </w:r>
    </w:p>
    <w:p w14:paraId="58BC7070">
      <w:pPr>
        <w:spacing w:before="315" w:after="105" w:line="360" w:lineRule="auto"/>
        <w:ind w:left="-30"/>
        <w:jc w:val="left"/>
      </w:pPr>
      <w:bookmarkStart w:id="33" w:name="二_主要行业分布"/>
      <w:r>
        <w:rPr>
          <w:rFonts w:ascii="inter" w:hAnsi="inter" w:eastAsia="inter" w:cs="inter"/>
          <w:b/>
          <w:color w:val="000000"/>
          <w:sz w:val="24"/>
        </w:rPr>
        <w:t>（二）主要行业分布：</w:t>
      </w:r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[4]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33"/>
    </w:p>
    <w:p w14:paraId="2649023F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科技/媒体/通信（TMT）：30%</w:t>
      </w:r>
    </w:p>
    <w:p w14:paraId="3D213329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制造业：18%</w:t>
      </w:r>
    </w:p>
    <w:p w14:paraId="246EBC88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金融业：11%</w:t>
      </w:r>
    </w:p>
    <w:p w14:paraId="5534E932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房地产：11%</w:t>
      </w:r>
    </w:p>
    <w:p w14:paraId="2AEE62E8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贸易业：6%</w:t>
      </w:r>
    </w:p>
    <w:p w14:paraId="651F77D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特点</w:t>
      </w:r>
      <w:r>
        <w:rPr>
          <w:rFonts w:ascii="inter" w:hAnsi="inter" w:eastAsia="inter" w:cs="inter"/>
          <w:color w:val="000000"/>
        </w:rPr>
        <w:t>：中产主要集中在增长型、技术密集、高收入行业。但近年来教育、医疗等公益性行业的中产比例也在上升。</w:t>
      </w:r>
    </w:p>
    <w:p w14:paraId="26B46046">
      <w:pPr>
        <w:spacing w:before="315" w:after="105" w:line="360" w:lineRule="auto"/>
        <w:ind w:left="-30"/>
        <w:jc w:val="left"/>
      </w:pPr>
      <w:bookmarkStart w:id="34" w:name="二_教育背景"/>
      <w:r>
        <w:rPr>
          <w:rFonts w:ascii="inter" w:hAnsi="inter" w:eastAsia="inter" w:cs="inter"/>
          <w:b/>
          <w:color w:val="000000"/>
          <w:sz w:val="24"/>
        </w:rPr>
        <w:t>二、教育背景</w:t>
      </w:r>
      <w:bookmarkEnd w:id="34"/>
    </w:p>
    <w:p w14:paraId="17415773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中产阶层的教育水平远高于全社会平均：</w:t>
      </w:r>
      <w:bookmarkStart w:id="35" w:name="fnref3_4"/>
      <w:bookmarkEnd w:id="35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36" w:name="fnref4_4"/>
      <w:bookmarkEnd w:id="36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EFFA1C0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本科及以上</w:t>
      </w:r>
      <w:r>
        <w:rPr>
          <w:rFonts w:ascii="inter" w:hAnsi="inter" w:eastAsia="inter" w:cs="inter"/>
          <w:color w:val="000000"/>
          <w:sz w:val="21"/>
        </w:rPr>
        <w:t>：超过85%</w:t>
      </w:r>
    </w:p>
    <w:p w14:paraId="01975BEF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研究生及以上</w:t>
      </w:r>
      <w:r>
        <w:rPr>
          <w:rFonts w:ascii="inter" w:hAnsi="inter" w:eastAsia="inter" w:cs="inter"/>
          <w:color w:val="000000"/>
          <w:sz w:val="21"/>
        </w:rPr>
        <w:t>：超过20%</w:t>
      </w:r>
    </w:p>
    <w:p w14:paraId="234F4523">
      <w:pPr>
        <w:spacing w:after="210" w:line="360" w:lineRule="auto"/>
      </w:pPr>
      <w:r>
        <w:rPr>
          <w:rFonts w:ascii="inter" w:hAnsi="inter" w:eastAsia="inter" w:cs="inter"/>
          <w:color w:val="000000"/>
        </w:rPr>
        <w:t>教育是进入中产的"敲门砖"，而非充分条件。教育投资成为中产家庭的最大支出项目之一。</w:t>
      </w:r>
    </w:p>
    <w:p w14:paraId="2BEA2F2F">
      <w:pPr>
        <w:spacing w:before="315" w:after="105" w:line="360" w:lineRule="auto"/>
        <w:ind w:left="-30"/>
        <w:jc w:val="left"/>
      </w:pPr>
      <w:bookmarkStart w:id="37" w:name="三_年龄与代际特征"/>
      <w:r>
        <w:rPr>
          <w:rFonts w:ascii="inter" w:hAnsi="inter" w:eastAsia="inter" w:cs="inter"/>
          <w:b/>
          <w:color w:val="000000"/>
          <w:sz w:val="24"/>
        </w:rPr>
        <w:t>三、年龄与代际特征</w:t>
      </w:r>
      <w:bookmarkEnd w:id="37"/>
    </w:p>
    <w:p w14:paraId="14F46970">
      <w:pPr>
        <w:spacing w:before="315" w:after="105" w:line="360" w:lineRule="auto"/>
        <w:ind w:left="-30"/>
        <w:jc w:val="left"/>
      </w:pPr>
      <w:bookmarkStart w:id="38" w:name="一_年龄分布"/>
      <w:r>
        <w:rPr>
          <w:rFonts w:ascii="inter" w:hAnsi="inter" w:eastAsia="inter" w:cs="inter"/>
          <w:b/>
          <w:color w:val="000000"/>
          <w:sz w:val="24"/>
        </w:rPr>
        <w:t>（一）年龄分布</w:t>
      </w:r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[3]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38"/>
    </w:p>
    <w:p w14:paraId="28353DCF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平均年龄</w:t>
      </w:r>
      <w:r>
        <w:rPr>
          <w:rFonts w:ascii="inter" w:hAnsi="inter" w:eastAsia="inter" w:cs="inter"/>
          <w:color w:val="000000"/>
          <w:sz w:val="21"/>
        </w:rPr>
        <w:t>：35岁</w:t>
      </w:r>
    </w:p>
    <w:p w14:paraId="76EA0818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年龄范围</w:t>
      </w:r>
      <w:r>
        <w:rPr>
          <w:rFonts w:ascii="inter" w:hAnsi="inter" w:eastAsia="inter" w:cs="inter"/>
          <w:color w:val="000000"/>
          <w:sz w:val="21"/>
        </w:rPr>
        <w:t>：30-50岁为主（占比70%+）</w:t>
      </w:r>
    </w:p>
    <w:p w14:paraId="707496E8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代际变化</w:t>
      </w:r>
      <w:r>
        <w:rPr>
          <w:rFonts w:ascii="inter" w:hAnsi="inter" w:eastAsia="inter" w:cs="inter"/>
          <w:color w:val="000000"/>
          <w:sz w:val="21"/>
        </w:rPr>
        <w:t>：90后新中产占比已超80后，成为主力军</w:t>
      </w:r>
    </w:p>
    <w:p w14:paraId="7461E83E">
      <w:pPr>
        <w:spacing w:before="315" w:after="105" w:line="360" w:lineRule="auto"/>
        <w:ind w:left="-30"/>
        <w:jc w:val="left"/>
      </w:pPr>
      <w:bookmarkStart w:id="39" w:name="二_代际特征"/>
      <w:r>
        <w:rPr>
          <w:rFonts w:ascii="inter" w:hAnsi="inter" w:eastAsia="inter" w:cs="inter"/>
          <w:b/>
          <w:color w:val="000000"/>
          <w:sz w:val="24"/>
        </w:rPr>
        <w:t>（二）代际特征</w:t>
      </w:r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[4]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39"/>
    </w:p>
    <w:p w14:paraId="721851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70后中产</w:t>
      </w:r>
      <w:r>
        <w:rPr>
          <w:rFonts w:ascii="inter" w:hAnsi="inter" w:eastAsia="inter" w:cs="inter"/>
          <w:color w:val="000000"/>
        </w:rPr>
        <w:t>：</w:t>
      </w:r>
    </w:p>
    <w:p w14:paraId="71C7254B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特征：拼搏型、事业为重心</w:t>
      </w:r>
    </w:p>
    <w:p w14:paraId="6278C70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消费：品牌消费、社交消费</w:t>
      </w:r>
    </w:p>
    <w:p w14:paraId="39CFA171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投资：房地产投资、理财产品</w:t>
      </w:r>
    </w:p>
    <w:p w14:paraId="71FA807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80后中产</w:t>
      </w:r>
      <w:r>
        <w:rPr>
          <w:rFonts w:ascii="inter" w:hAnsi="inter" w:eastAsia="inter" w:cs="inter"/>
          <w:color w:val="000000"/>
        </w:rPr>
        <w:t>：</w:t>
      </w:r>
    </w:p>
    <w:p w14:paraId="741047E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特征：事业与家庭平衡</w:t>
      </w:r>
    </w:p>
    <w:p w14:paraId="4E1F298A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消费：消费升级、子女教育投入大</w:t>
      </w:r>
    </w:p>
    <w:p w14:paraId="744FAE65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投资：多元化配置</w:t>
      </w:r>
    </w:p>
    <w:p w14:paraId="01067F8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90后新中产</w:t>
      </w:r>
      <w:r>
        <w:rPr>
          <w:rFonts w:ascii="inter" w:hAnsi="inter" w:eastAsia="inter" w:cs="inter"/>
          <w:color w:val="000000"/>
        </w:rPr>
        <w:t>（主力军）：</w:t>
      </w:r>
    </w:p>
    <w:p w14:paraId="5E476C2A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特征：自我投资、品质生活</w:t>
      </w:r>
    </w:p>
    <w:p w14:paraId="3EE68C25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消费：体验消费、精神消费</w:t>
      </w:r>
    </w:p>
    <w:p w14:paraId="0E25BDB1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投资：风险厌恶、稳健偏好</w:t>
      </w:r>
    </w:p>
    <w:p w14:paraId="6D6BC201">
      <w:pPr>
        <w:spacing w:before="315" w:after="105" w:line="360" w:lineRule="auto"/>
        <w:ind w:left="-30"/>
        <w:jc w:val="left"/>
      </w:pPr>
      <w:bookmarkStart w:id="40" w:name="四_消费特征与心理状态"/>
      <w:r>
        <w:rPr>
          <w:rFonts w:ascii="inter" w:hAnsi="inter" w:eastAsia="inter" w:cs="inter"/>
          <w:b/>
          <w:color w:val="000000"/>
          <w:sz w:val="24"/>
        </w:rPr>
        <w:t>四、消费特征与心理状态</w:t>
      </w:r>
      <w:bookmarkEnd w:id="40"/>
    </w:p>
    <w:p w14:paraId="446A63F6">
      <w:pPr>
        <w:spacing w:before="315" w:after="105" w:line="360" w:lineRule="auto"/>
        <w:ind w:left="-30"/>
        <w:jc w:val="left"/>
      </w:pPr>
      <w:bookmarkStart w:id="41" w:name="一_消费特征的新变化"/>
      <w:r>
        <w:rPr>
          <w:rFonts w:ascii="inter" w:hAnsi="inter" w:eastAsia="inter" w:cs="inter"/>
          <w:b/>
          <w:color w:val="000000"/>
          <w:sz w:val="24"/>
        </w:rPr>
        <w:t>（一）消费特征的新变化</w:t>
      </w:r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[8]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[3]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41"/>
    </w:p>
    <w:p w14:paraId="7C1957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传统消费（2022年及以前）</w:t>
      </w:r>
      <w:r>
        <w:rPr>
          <w:rFonts w:ascii="inter" w:hAnsi="inter" w:eastAsia="inter" w:cs="inter"/>
          <w:color w:val="000000"/>
        </w:rPr>
        <w:t>：</w:t>
      </w:r>
    </w:p>
    <w:p w14:paraId="4198860F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品牌导向、社交消费为主</w:t>
      </w:r>
    </w:p>
    <w:p w14:paraId="2C2A33EF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消费升级推动</w:t>
      </w:r>
    </w:p>
    <w:p w14:paraId="1F5FC6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当前消费（2023-2024年）</w:t>
      </w:r>
      <w:r>
        <w:rPr>
          <w:rFonts w:ascii="inter" w:hAnsi="inter" w:eastAsia="inter" w:cs="inter"/>
          <w:color w:val="000000"/>
        </w:rPr>
        <w:t>：</w:t>
      </w:r>
    </w:p>
    <w:p w14:paraId="06E8EC8A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从品牌消费转向</w:t>
      </w:r>
      <w:r>
        <w:rPr>
          <w:rFonts w:ascii="inter" w:hAnsi="inter" w:eastAsia="inter" w:cs="inter"/>
          <w:b/>
          <w:color w:val="000000"/>
          <w:sz w:val="21"/>
        </w:rPr>
        <w:t>品质消费</w:t>
      </w:r>
      <w:r>
        <w:rPr>
          <w:rFonts w:ascii="inter" w:hAnsi="inter" w:eastAsia="inter" w:cs="inter"/>
          <w:color w:val="000000"/>
          <w:sz w:val="21"/>
        </w:rPr>
        <w:t>：追求"性价比"而非品牌溢价</w:t>
      </w:r>
    </w:p>
    <w:p w14:paraId="1FC10BEB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从消费升级到</w:t>
      </w:r>
      <w:r>
        <w:rPr>
          <w:rFonts w:ascii="inter" w:hAnsi="inter" w:eastAsia="inter" w:cs="inter"/>
          <w:b/>
          <w:color w:val="000000"/>
          <w:sz w:val="21"/>
        </w:rPr>
        <w:t>精神消费</w:t>
      </w:r>
      <w:r>
        <w:rPr>
          <w:rFonts w:ascii="inter" w:hAnsi="inter" w:eastAsia="inter" w:cs="inter"/>
          <w:color w:val="000000"/>
          <w:sz w:val="21"/>
        </w:rPr>
        <w:t>：旅游、娱乐、自我提升</w:t>
      </w:r>
    </w:p>
    <w:p w14:paraId="3027E274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"骑自行车去酒吧"现象</w:t>
      </w:r>
      <w:r>
        <w:rPr>
          <w:rFonts w:ascii="inter" w:hAnsi="inter" w:eastAsia="inter" w:cs="inter"/>
          <w:color w:val="000000"/>
          <w:sz w:val="21"/>
        </w:rPr>
        <w:t>：日常勤俭节约，但对热爱的东西舍得花钱</w:t>
      </w:r>
    </w:p>
    <w:p w14:paraId="49D4C947">
      <w:pPr>
        <w:spacing w:before="315" w:after="105" w:line="360" w:lineRule="auto"/>
        <w:ind w:left="-30"/>
        <w:jc w:val="left"/>
      </w:pPr>
      <w:bookmarkStart w:id="42" w:name="二_消费预期与心理"/>
      <w:r>
        <w:rPr>
          <w:rFonts w:ascii="inter" w:hAnsi="inter" w:eastAsia="inter" w:cs="inter"/>
          <w:b/>
          <w:color w:val="000000"/>
          <w:sz w:val="24"/>
        </w:rPr>
        <w:t>（二）消费预期与心理</w:t>
      </w:r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[8]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[3]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42"/>
    </w:p>
    <w:p w14:paraId="527B4D0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2023年新中产消费预期</w:t>
      </w:r>
      <w:r>
        <w:rPr>
          <w:rFonts w:ascii="inter" w:hAnsi="inter" w:eastAsia="inter" w:cs="inter"/>
          <w:color w:val="000000"/>
        </w:rPr>
        <w:t>：</w:t>
      </w:r>
    </w:p>
    <w:p w14:paraId="5BB0450C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47.5%家庭预期消费支出保持不变</w:t>
      </w:r>
    </w:p>
    <w:p w14:paraId="1C6A7C9F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25.5%表示将增加消费</w:t>
      </w:r>
    </w:p>
    <w:p w14:paraId="4CA32C58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27%表示将减少消费</w:t>
      </w:r>
    </w:p>
    <w:p w14:paraId="354354C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心理变化</w:t>
      </w:r>
      <w:r>
        <w:rPr>
          <w:rFonts w:ascii="inter" w:hAnsi="inter" w:eastAsia="inter" w:cs="inter"/>
          <w:color w:val="000000"/>
        </w:rPr>
        <w:t>：</w:t>
      </w:r>
    </w:p>
    <w:p w14:paraId="48768D24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资产缩水焦虑</w:t>
      </w:r>
      <w:r>
        <w:rPr>
          <w:rFonts w:ascii="inter" w:hAnsi="inter" w:eastAsia="inter" w:cs="inter"/>
          <w:color w:val="000000"/>
          <w:sz w:val="21"/>
        </w:rPr>
        <w:t>：2023年有43%新中产家庭资产缩水（2022年31%，2021年仅8%）</w:t>
      </w:r>
    </w:p>
    <w:p w14:paraId="630B1BAD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收入增速放缓</w:t>
      </w:r>
      <w:r>
        <w:rPr>
          <w:rFonts w:ascii="inter" w:hAnsi="inter" w:eastAsia="inter" w:cs="inter"/>
          <w:color w:val="000000"/>
          <w:sz w:val="21"/>
        </w:rPr>
        <w:t>：近5年高收入组人群收入增幅持续下降</w:t>
      </w:r>
    </w:p>
    <w:p w14:paraId="0AEF6C0B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"保守财富观"兴起</w:t>
      </w:r>
      <w:r>
        <w:rPr>
          <w:rFonts w:ascii="inter" w:hAnsi="inter" w:eastAsia="inter" w:cs="inter"/>
          <w:color w:val="000000"/>
          <w:sz w:val="21"/>
        </w:rPr>
        <w:t>：从投资扩张到防守保本</w:t>
      </w:r>
    </w:p>
    <w:p w14:paraId="233C1159">
      <w:pPr>
        <w:spacing w:before="315" w:after="105" w:line="360" w:lineRule="auto"/>
        <w:ind w:left="-30"/>
        <w:jc w:val="left"/>
      </w:pPr>
      <w:bookmarkStart w:id="43" w:name="三_消费支出结构"/>
      <w:r>
        <w:rPr>
          <w:rFonts w:ascii="inter" w:hAnsi="inter" w:eastAsia="inter" w:cs="inter"/>
          <w:b/>
          <w:color w:val="000000"/>
          <w:sz w:val="24"/>
        </w:rPr>
        <w:t>（三）消费支出结构</w:t>
      </w:r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[9]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43"/>
    </w:p>
    <w:p w14:paraId="474B69E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2024年全国居民人均消费支出28,227元</w:t>
      </w:r>
      <w:r>
        <w:rPr>
          <w:rFonts w:ascii="inter" w:hAnsi="inter" w:eastAsia="inter" w:cs="inter"/>
          <w:color w:val="000000"/>
        </w:rPr>
        <w:t>，其中城镇中产家庭（推断）的支出结构：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05"/>
        <w:gridCol w:w="1000"/>
        <w:gridCol w:w="1680"/>
        <w:gridCol w:w="1685"/>
      </w:tblGrid>
      <w:tr w14:paraId="13194F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490D5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支出类别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23AD3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全国比重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2DBEF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中产家庭预计比重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CCFABA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说明</w:t>
            </w:r>
          </w:p>
        </w:tc>
      </w:tr>
      <w:tr w14:paraId="1F4137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55670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食品烟酒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2BB47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29.8%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12A64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B5DB08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中产更注重品质</w:t>
            </w:r>
          </w:p>
        </w:tc>
      </w:tr>
      <w:tr w14:paraId="3A623A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F7FCE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居住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674FB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22.2%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DFCA4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30%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FAE0EC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房贷/租金压力大</w:t>
            </w:r>
          </w:p>
        </w:tc>
      </w:tr>
      <w:tr w14:paraId="0C1F11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B8A5B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教育文化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BAD01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11.3%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2E2D5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18-20%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7BD6F3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子女教育投入巨大</w:t>
            </w:r>
          </w:p>
        </w:tc>
      </w:tr>
      <w:tr w14:paraId="62281C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EEEAC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医疗保健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E5B52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9.0%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60CCB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12%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B0A899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健康意识提升</w:t>
            </w:r>
          </w:p>
        </w:tc>
      </w:tr>
      <w:tr w14:paraId="1A30B2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037FB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交通通信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707D1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14.1%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953E5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12%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D5547A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汽车相关消费</w:t>
            </w:r>
          </w:p>
        </w:tc>
      </w:tr>
      <w:tr w14:paraId="02E6B9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74448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其他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006E3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13.6%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2774F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8%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C7A01E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-</w:t>
            </w:r>
          </w:p>
        </w:tc>
      </w:tr>
    </w:tbl>
    <w:p w14:paraId="4A454EB2"/>
    <w:p w14:paraId="152610D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特别关注：教育支出压力</w:t>
      </w:r>
    </w:p>
    <w:p w14:paraId="6D1CBF2E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中产家庭教育支出占家庭总收入的15-20%（部分城市可达25%）</w:t>
      </w:r>
    </w:p>
    <w:p w14:paraId="1B153730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学区房溢价30-50%</w:t>
      </w:r>
    </w:p>
    <w:p w14:paraId="18B086E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"双减"后，影子教育市场仍超8000亿元</w:t>
      </w:r>
    </w:p>
    <w:p w14:paraId="54BB7040">
      <w:pPr>
        <w:spacing w:before="315" w:after="105" w:line="360" w:lineRule="auto"/>
        <w:ind w:left="-30"/>
        <w:jc w:val="left"/>
      </w:pPr>
      <w:bookmarkStart w:id="44" w:name="五_家庭结构与生活方式"/>
      <w:r>
        <w:rPr>
          <w:rFonts w:ascii="inter" w:hAnsi="inter" w:eastAsia="inter" w:cs="inter"/>
          <w:b/>
          <w:color w:val="000000"/>
          <w:sz w:val="24"/>
        </w:rPr>
        <w:t>五、家庭结构与生活方式</w:t>
      </w:r>
      <w:bookmarkEnd w:id="44"/>
    </w:p>
    <w:p w14:paraId="72A79BE9">
      <w:pPr>
        <w:spacing w:before="315" w:after="105" w:line="360" w:lineRule="auto"/>
        <w:ind w:left="-30"/>
        <w:jc w:val="left"/>
      </w:pPr>
      <w:bookmarkStart w:id="45" w:name="一_家庭组成"/>
      <w:r>
        <w:rPr>
          <w:rFonts w:ascii="inter" w:hAnsi="inter" w:eastAsia="inter" w:cs="inter"/>
          <w:b/>
          <w:color w:val="000000"/>
          <w:sz w:val="24"/>
        </w:rPr>
        <w:t>（一）家庭组成</w:t>
      </w:r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[4]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45"/>
    </w:p>
    <w:p w14:paraId="545FA00B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已婚有子女</w:t>
      </w:r>
      <w:r>
        <w:rPr>
          <w:rFonts w:ascii="inter" w:hAnsi="inter" w:eastAsia="inter" w:cs="inter"/>
          <w:color w:val="000000"/>
          <w:sz w:val="21"/>
        </w:rPr>
        <w:t>：占中产家庭的70%+</w:t>
      </w:r>
    </w:p>
    <w:p w14:paraId="375DC529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子女数量</w:t>
      </w:r>
      <w:r>
        <w:rPr>
          <w:rFonts w:ascii="inter" w:hAnsi="inter" w:eastAsia="inter" w:cs="inter"/>
          <w:color w:val="000000"/>
          <w:sz w:val="21"/>
        </w:rPr>
        <w:t>：1-2个为主（二胎意愿与幸福感正相关）</w:t>
      </w:r>
    </w:p>
    <w:p w14:paraId="3597CC9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赡养老人</w:t>
      </w:r>
      <w:r>
        <w:rPr>
          <w:rFonts w:ascii="inter" w:hAnsi="inter" w:eastAsia="inter" w:cs="inter"/>
          <w:color w:val="000000"/>
          <w:sz w:val="21"/>
        </w:rPr>
        <w:t>：超过50%中产需承担两代人开支</w:t>
      </w:r>
    </w:p>
    <w:p w14:paraId="200576A5">
      <w:pPr>
        <w:spacing w:before="315" w:after="105" w:line="360" w:lineRule="auto"/>
        <w:ind w:left="-30"/>
        <w:jc w:val="left"/>
      </w:pPr>
      <w:bookmarkStart w:id="46" w:name="二_生活方式"/>
      <w:r>
        <w:rPr>
          <w:rFonts w:ascii="inter" w:hAnsi="inter" w:eastAsia="inter" w:cs="inter"/>
          <w:b/>
          <w:color w:val="000000"/>
          <w:sz w:val="24"/>
        </w:rPr>
        <w:t>（二）生活方式</w:t>
      </w:r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[4]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46"/>
    </w:p>
    <w:p w14:paraId="73750E0C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居住</w:t>
      </w:r>
      <w:r>
        <w:rPr>
          <w:rFonts w:ascii="inter" w:hAnsi="inter" w:eastAsia="inter" w:cs="inter"/>
          <w:color w:val="000000"/>
          <w:sz w:val="21"/>
        </w:rPr>
        <w:t>：一线城市大多自有多套房产，二线城市房产为主要资产</w:t>
      </w:r>
    </w:p>
    <w:p w14:paraId="0FCB3D81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出行</w:t>
      </w:r>
      <w:r>
        <w:rPr>
          <w:rFonts w:ascii="inter" w:hAnsi="inter" w:eastAsia="inter" w:cs="inter"/>
          <w:color w:val="000000"/>
          <w:sz w:val="21"/>
        </w:rPr>
        <w:t>：98%拥有私车（一线城市可能为2-3辆）</w:t>
      </w:r>
    </w:p>
    <w:p w14:paraId="0BED9FBC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子女教育</w:t>
      </w:r>
      <w:r>
        <w:rPr>
          <w:rFonts w:ascii="inter" w:hAnsi="inter" w:eastAsia="inter" w:cs="inter"/>
          <w:color w:val="000000"/>
          <w:sz w:val="21"/>
        </w:rPr>
        <w:t>：学区房投入、课外班培训、留学准备</w:t>
      </w:r>
    </w:p>
    <w:p w14:paraId="7CB4200F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休闲</w:t>
      </w:r>
      <w:r>
        <w:rPr>
          <w:rFonts w:ascii="inter" w:hAnsi="inter" w:eastAsia="inter" w:cs="inter"/>
          <w:color w:val="000000"/>
          <w:sz w:val="21"/>
        </w:rPr>
        <w:t>：旅游、健身、文化娱乐成为标配消费</w:t>
      </w:r>
    </w:p>
    <w:p w14:paraId="4818268E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健康</w:t>
      </w:r>
      <w:r>
        <w:rPr>
          <w:rFonts w:ascii="inter" w:hAnsi="inter" w:eastAsia="inter" w:cs="inter"/>
          <w:color w:val="000000"/>
          <w:sz w:val="21"/>
        </w:rPr>
        <w:t>：80%新中产支持定期体检、健身房会员</w:t>
      </w:r>
    </w:p>
    <w:p w14:paraId="552967ED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1AF73680">
      <w:pPr>
        <w:spacing w:before="315" w:after="105" w:line="360" w:lineRule="auto"/>
        <w:ind w:left="-30"/>
        <w:jc w:val="left"/>
      </w:pPr>
      <w:bookmarkStart w:id="47" w:name="第四部分_中产阶层的财务结构与健康状况"/>
      <w:r>
        <w:rPr>
          <w:rFonts w:ascii="inter" w:hAnsi="inter" w:eastAsia="inter" w:cs="inter"/>
          <w:b/>
          <w:color w:val="000000"/>
          <w:sz w:val="24"/>
        </w:rPr>
        <w:t>第四部分 中产阶层的财务结构与健康状况</w:t>
      </w:r>
      <w:bookmarkEnd w:id="47"/>
    </w:p>
    <w:p w14:paraId="44B43B5E">
      <w:pPr>
        <w:spacing w:before="315" w:after="105" w:line="360" w:lineRule="auto"/>
        <w:ind w:left="-30"/>
        <w:jc w:val="left"/>
      </w:pPr>
      <w:bookmarkStart w:id="48" w:name="一_资产配置情况"/>
      <w:r>
        <w:rPr>
          <w:rFonts w:ascii="inter" w:hAnsi="inter" w:eastAsia="inter" w:cs="inter"/>
          <w:b/>
          <w:color w:val="000000"/>
          <w:sz w:val="24"/>
        </w:rPr>
        <w:t>一、资产配置情况</w:t>
      </w:r>
      <w:bookmarkEnd w:id="48"/>
    </w:p>
    <w:p w14:paraId="76C8ECCD">
      <w:pPr>
        <w:spacing w:before="315" w:after="105" w:line="360" w:lineRule="auto"/>
        <w:ind w:left="-30"/>
        <w:jc w:val="left"/>
      </w:pPr>
      <w:bookmarkStart w:id="49" w:name="一_中产家庭的财富规模"/>
      <w:r>
        <w:rPr>
          <w:rFonts w:ascii="inter" w:hAnsi="inter" w:eastAsia="inter" w:cs="inter"/>
          <w:b/>
          <w:color w:val="000000"/>
          <w:sz w:val="24"/>
        </w:rPr>
        <w:t>（一）中产家庭的财富规模</w:t>
      </w:r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[10]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[11]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[12]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[13]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49"/>
    </w:p>
    <w:p w14:paraId="3FF6068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城镇居民家庭平均财富</w:t>
      </w:r>
      <w:r>
        <w:rPr>
          <w:rFonts w:ascii="inter" w:hAnsi="inter" w:eastAsia="inter" w:cs="inter"/>
          <w:color w:val="000000"/>
        </w:rPr>
        <w:t>（2019-2024数据）：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15"/>
        <w:gridCol w:w="1569"/>
        <w:gridCol w:w="1569"/>
        <w:gridCol w:w="1050"/>
        <w:gridCol w:w="1345"/>
      </w:tblGrid>
      <w:tr w14:paraId="0D9573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48070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资产类型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0BE60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均值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D5136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中位数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24D0C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占比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845F27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特征</w:t>
            </w:r>
          </w:p>
        </w:tc>
      </w:tr>
      <w:tr w14:paraId="73E740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369B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总资产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27E09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289-317万元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63691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141-163万元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107F9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100%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D0F735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资产分布不均</w:t>
            </w:r>
          </w:p>
        </w:tc>
      </w:tr>
      <w:tr w14:paraId="1006E4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A93B9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其中：房产资产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62D34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187.8万元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44105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100万元+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B12AF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57-59%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BB1EE7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绝对主体</w:t>
            </w:r>
          </w:p>
        </w:tc>
      </w:tr>
      <w:tr w14:paraId="7A8E38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8F62C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金融资产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FEC14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30-50万元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A61DC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15-20万元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5A439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10-15%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1A968A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比例较低</w:t>
            </w:r>
          </w:p>
        </w:tc>
      </w:tr>
      <w:tr w14:paraId="7C3E88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8E63C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其他资产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9FB46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20-30万元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669BB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10万元左右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8C71E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7-10%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0991E2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包括车产等</w:t>
            </w:r>
          </w:p>
        </w:tc>
      </w:tr>
    </w:tbl>
    <w:p w14:paraId="2C38E9E0"/>
    <w:p w14:paraId="1574BF0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中产家庭的资产特征</w:t>
      </w:r>
      <w:r>
        <w:rPr>
          <w:rFonts w:ascii="inter" w:hAnsi="inter" w:eastAsia="inter" w:cs="inter"/>
          <w:color w:val="000000"/>
        </w:rPr>
        <w:t>：</w:t>
      </w:r>
    </w:p>
    <w:p w14:paraId="0248285F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高度房产化</w:t>
      </w:r>
      <w:r>
        <w:rPr>
          <w:rFonts w:ascii="inter" w:hAnsi="inter" w:eastAsia="inter" w:cs="inter"/>
          <w:color w:val="000000"/>
          <w:sz w:val="21"/>
        </w:rPr>
        <w:t>：中国城镇居民家庭住房资产占比57-59%，远高于美国24%、日本37%、英国49%</w:t>
      </w:r>
    </w:p>
    <w:p w14:paraId="298A1A38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金融资产配置不足</w:t>
      </w:r>
      <w:r>
        <w:rPr>
          <w:rFonts w:ascii="inter" w:hAnsi="inter" w:eastAsia="inter" w:cs="inter"/>
          <w:color w:val="000000"/>
          <w:sz w:val="21"/>
        </w:rPr>
        <w:t>：仅占10-15%（发达国家通常30-40%）</w:t>
      </w:r>
    </w:p>
    <w:p w14:paraId="6DD6631E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资产流动性差</w:t>
      </w:r>
      <w:r>
        <w:rPr>
          <w:rFonts w:ascii="inter" w:hAnsi="inter" w:eastAsia="inter" w:cs="inter"/>
          <w:color w:val="000000"/>
          <w:sz w:val="21"/>
        </w:rPr>
        <w:t>：大部分资产为房产，难以快速变现</w:t>
      </w:r>
    </w:p>
    <w:p w14:paraId="570CBD31">
      <w:pPr>
        <w:spacing w:before="315" w:after="105" w:line="360" w:lineRule="auto"/>
        <w:ind w:left="-30"/>
        <w:jc w:val="left"/>
      </w:pPr>
      <w:bookmarkStart w:id="50" w:name="二_中产家庭的资产配置结构演变"/>
      <w:r>
        <w:rPr>
          <w:rFonts w:ascii="inter" w:hAnsi="inter" w:eastAsia="inter" w:cs="inter"/>
          <w:b/>
          <w:color w:val="000000"/>
          <w:sz w:val="24"/>
        </w:rPr>
        <w:t>（二）中产家庭的资产配置结构演变</w:t>
      </w:r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[14]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50"/>
    </w:p>
    <w:p w14:paraId="7E0E5CE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2021年配置</w:t>
      </w:r>
      <w:r>
        <w:rPr>
          <w:rFonts w:ascii="inter" w:hAnsi="inter" w:eastAsia="inter" w:cs="inter"/>
          <w:color w:val="000000"/>
        </w:rPr>
        <w:t>：</w:t>
      </w:r>
    </w:p>
    <w:p w14:paraId="04952212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银行存款和理财产品：65%+</w:t>
      </w:r>
    </w:p>
    <w:p w14:paraId="32EFC27C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房地产资产：~20%</w:t>
      </w:r>
    </w:p>
    <w:p w14:paraId="6CBDCA74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权益类资产：~15%</w:t>
      </w:r>
    </w:p>
    <w:p w14:paraId="19D8E66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2024年配置</w:t>
      </w:r>
      <w:r>
        <w:rPr>
          <w:rFonts w:ascii="inter" w:hAnsi="inter" w:eastAsia="inter" w:cs="inter"/>
          <w:color w:val="000000"/>
        </w:rPr>
        <w:t>（发生显著变化）：</w:t>
      </w:r>
    </w:p>
    <w:p w14:paraId="3F07F1F7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银行存款和理财产品：52%（下降13个百分点）</w:t>
      </w:r>
    </w:p>
    <w:p w14:paraId="7F834A39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房地产资产：15%（下降5个百分点）</w:t>
      </w:r>
    </w:p>
    <w:p w14:paraId="2C5C4FE0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权益类资产和境外投资：33%（上升18个百分点）</w:t>
      </w:r>
    </w:p>
    <w:p w14:paraId="7E67ED3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解读</w:t>
      </w:r>
      <w:r>
        <w:rPr>
          <w:rFonts w:ascii="inter" w:hAnsi="inter" w:eastAsia="inter" w:cs="inter"/>
          <w:color w:val="000000"/>
        </w:rPr>
        <w:t>：中产开始认识到过度集中投资房产的风险，主动调整资产配置，但由于房产难以快速出售，实际调整速度较缓。</w:t>
      </w:r>
    </w:p>
    <w:p w14:paraId="1DE554B6">
      <w:pPr>
        <w:spacing w:before="315" w:after="105" w:line="360" w:lineRule="auto"/>
        <w:ind w:left="-30"/>
        <w:jc w:val="left"/>
      </w:pPr>
      <w:bookmarkStart w:id="51" w:name="二_负债情况与房贷压力"/>
      <w:r>
        <w:rPr>
          <w:rFonts w:ascii="inter" w:hAnsi="inter" w:eastAsia="inter" w:cs="inter"/>
          <w:b/>
          <w:color w:val="000000"/>
          <w:sz w:val="24"/>
        </w:rPr>
        <w:t>二、负债情况与房贷压力</w:t>
      </w:r>
      <w:bookmarkEnd w:id="51"/>
    </w:p>
    <w:p w14:paraId="68CD2C39">
      <w:pPr>
        <w:spacing w:before="315" w:after="105" w:line="360" w:lineRule="auto"/>
        <w:ind w:left="-30"/>
        <w:jc w:val="left"/>
      </w:pPr>
      <w:bookmarkStart w:id="52" w:name="一_家庭负债结构"/>
      <w:r>
        <w:rPr>
          <w:rFonts w:ascii="inter" w:hAnsi="inter" w:eastAsia="inter" w:cs="inter"/>
          <w:b/>
          <w:color w:val="000000"/>
          <w:sz w:val="24"/>
        </w:rPr>
        <w:t>（一）家庭负债结构</w:t>
      </w:r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[10]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52"/>
    </w:p>
    <w:p w14:paraId="2347885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城镇居民家庭负债特征</w:t>
      </w:r>
      <w:r>
        <w:rPr>
          <w:rFonts w:ascii="inter" w:hAnsi="inter" w:eastAsia="inter" w:cs="inter"/>
          <w:color w:val="000000"/>
        </w:rPr>
        <w:t>：</w:t>
      </w:r>
    </w:p>
    <w:p w14:paraId="22B64B08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负债覆盖率</w:t>
      </w:r>
      <w:r>
        <w:rPr>
          <w:rFonts w:ascii="inter" w:hAnsi="inter" w:eastAsia="inter" w:cs="inter"/>
          <w:color w:val="000000"/>
          <w:sz w:val="21"/>
        </w:rPr>
        <w:t>：43.4%的家庭有债务</w:t>
      </w:r>
    </w:p>
    <w:p w14:paraId="1D61C76B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负债结构单一</w:t>
      </w:r>
      <w:r>
        <w:rPr>
          <w:rFonts w:ascii="inter" w:hAnsi="inter" w:eastAsia="inter" w:cs="inter"/>
          <w:color w:val="000000"/>
          <w:sz w:val="21"/>
        </w:rPr>
        <w:t>：房贷占负债总额的76.8%</w:t>
      </w:r>
    </w:p>
    <w:p w14:paraId="3C784608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户均房贷余额</w:t>
      </w:r>
      <w:r>
        <w:rPr>
          <w:rFonts w:ascii="inter" w:hAnsi="inter" w:eastAsia="inter" w:cs="inter"/>
          <w:color w:val="000000"/>
          <w:sz w:val="21"/>
        </w:rPr>
        <w:t>：38.9万元</w:t>
      </w:r>
    </w:p>
    <w:p w14:paraId="50A64D0B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房贷占负债比</w:t>
      </w:r>
      <w:r>
        <w:rPr>
          <w:rFonts w:ascii="inter" w:hAnsi="inter" w:eastAsia="inter" w:cs="inter"/>
          <w:color w:val="000000"/>
          <w:sz w:val="21"/>
        </w:rPr>
        <w:t>：75.9%</w:t>
      </w:r>
    </w:p>
    <w:p w14:paraId="30A0D95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风险群体识别</w:t>
      </w:r>
      <w:r>
        <w:rPr>
          <w:rFonts w:ascii="inter" w:hAnsi="inter" w:eastAsia="inter" w:cs="inter"/>
          <w:color w:val="000000"/>
        </w:rPr>
        <w:t>：</w:t>
      </w:r>
      <w:bookmarkStart w:id="53" w:name="fnref10_2"/>
      <w:bookmarkEnd w:id="53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2BB69FB3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刚需型房贷家庭</w:t>
      </w:r>
      <w:r>
        <w:rPr>
          <w:rFonts w:ascii="inter" w:hAnsi="inter" w:eastAsia="inter" w:cs="inter"/>
          <w:color w:val="000000"/>
          <w:sz w:val="21"/>
        </w:rPr>
        <w:t>：月收入不足5000元，房贷占收入比超40%</w:t>
      </w:r>
    </w:p>
    <w:p w14:paraId="1810C6B7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中青年群体</w:t>
      </w:r>
      <w:r>
        <w:rPr>
          <w:rFonts w:ascii="inter" w:hAnsi="inter" w:eastAsia="inter" w:cs="inter"/>
          <w:color w:val="000000"/>
          <w:sz w:val="21"/>
        </w:rPr>
        <w:t>：购房债务最重，心理压力大</w:t>
      </w:r>
    </w:p>
    <w:p w14:paraId="00DAEA25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老年群体</w:t>
      </w:r>
      <w:r>
        <w:rPr>
          <w:rFonts w:ascii="inter" w:hAnsi="inter" w:eastAsia="inter" w:cs="inter"/>
          <w:color w:val="000000"/>
          <w:sz w:val="21"/>
        </w:rPr>
        <w:t>：超龄房贷，退休后清贷压力大</w:t>
      </w:r>
    </w:p>
    <w:p w14:paraId="7EA5B40E">
      <w:pPr>
        <w:spacing w:before="315" w:after="105" w:line="360" w:lineRule="auto"/>
        <w:ind w:left="-30"/>
        <w:jc w:val="left"/>
      </w:pPr>
      <w:bookmarkStart w:id="54" w:name="二_房贷对中产的具体压力"/>
      <w:r>
        <w:rPr>
          <w:rFonts w:ascii="inter" w:hAnsi="inter" w:eastAsia="inter" w:cs="inter"/>
          <w:b/>
          <w:color w:val="000000"/>
          <w:sz w:val="24"/>
        </w:rPr>
        <w:t>（二）房贷对中产的具体压力</w:t>
      </w:r>
      <w:bookmarkEnd w:id="54"/>
    </w:p>
    <w:p w14:paraId="0795DA8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一二线城市中产房贷情况</w:t>
      </w:r>
      <w:r>
        <w:rPr>
          <w:rFonts w:ascii="inter" w:hAnsi="inter" w:eastAsia="inter" w:cs="inter"/>
          <w:color w:val="000000"/>
        </w:rPr>
        <w:t>：</w:t>
      </w:r>
    </w:p>
    <w:p w14:paraId="64810D35">
      <w:pPr>
        <w:numPr>
          <w:ilvl w:val="0"/>
          <w:numId w:val="3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平均房价</w:t>
      </w:r>
      <w:r>
        <w:rPr>
          <w:rFonts w:ascii="inter" w:hAnsi="inter" w:eastAsia="inter" w:cs="inter"/>
          <w:color w:val="000000"/>
          <w:sz w:val="21"/>
        </w:rPr>
        <w:t>：北京650万+、上海550万+、深圳500万+</w:t>
      </w:r>
    </w:p>
    <w:p w14:paraId="0F950DC3">
      <w:pPr>
        <w:numPr>
          <w:ilvl w:val="0"/>
          <w:numId w:val="3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首付比例</w:t>
      </w:r>
      <w:r>
        <w:rPr>
          <w:rFonts w:ascii="inter" w:hAnsi="inter" w:eastAsia="inter" w:cs="inter"/>
          <w:color w:val="000000"/>
          <w:sz w:val="21"/>
        </w:rPr>
        <w:t>：通常30-50%</w:t>
      </w:r>
    </w:p>
    <w:p w14:paraId="0482D24C">
      <w:pPr>
        <w:numPr>
          <w:ilvl w:val="0"/>
          <w:numId w:val="3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贷款额</w:t>
      </w:r>
      <w:r>
        <w:rPr>
          <w:rFonts w:ascii="inter" w:hAnsi="inter" w:eastAsia="inter" w:cs="inter"/>
          <w:color w:val="000000"/>
          <w:sz w:val="21"/>
        </w:rPr>
        <w:t>：300-400万元</w:t>
      </w:r>
    </w:p>
    <w:p w14:paraId="1A155A0E">
      <w:pPr>
        <w:numPr>
          <w:ilvl w:val="0"/>
          <w:numId w:val="3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月还款</w:t>
      </w:r>
      <w:r>
        <w:rPr>
          <w:rFonts w:ascii="inter" w:hAnsi="inter" w:eastAsia="inter" w:cs="inter"/>
          <w:color w:val="000000"/>
          <w:sz w:val="21"/>
        </w:rPr>
        <w:t>：1.5-2.5万元</w:t>
      </w:r>
    </w:p>
    <w:p w14:paraId="306A5729">
      <w:pPr>
        <w:numPr>
          <w:ilvl w:val="0"/>
          <w:numId w:val="3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房贷占收入比</w:t>
      </w:r>
      <w:r>
        <w:rPr>
          <w:rFonts w:ascii="inter" w:hAnsi="inter" w:eastAsia="inter" w:cs="inter"/>
          <w:color w:val="000000"/>
          <w:sz w:val="21"/>
        </w:rPr>
        <w:t>：30-40%（高于国际安全线20%）</w:t>
      </w:r>
    </w:p>
    <w:p w14:paraId="698CCA6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房价下跌风险</w:t>
      </w:r>
      <w:r>
        <w:rPr>
          <w:rFonts w:ascii="inter" w:hAnsi="inter" w:eastAsia="inter" w:cs="inter"/>
          <w:color w:val="000000"/>
        </w:rPr>
        <w:t>：</w:t>
      </w:r>
      <w:bookmarkStart w:id="55" w:name="fnref15"/>
      <w:bookmarkEnd w:id="55"/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56" w:name="fnref3_8"/>
      <w:bookmarkEnd w:id="56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84312C5">
      <w:pPr>
        <w:numPr>
          <w:ilvl w:val="0"/>
          <w:numId w:val="3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2024年70城新房价格已连续12个月下跌</w:t>
      </w:r>
    </w:p>
    <w:p w14:paraId="626C9FCD">
      <w:pPr>
        <w:numPr>
          <w:ilvl w:val="0"/>
          <w:numId w:val="3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二手房连续13个月下跌</w:t>
      </w:r>
    </w:p>
    <w:p w14:paraId="79DE49E4">
      <w:pPr>
        <w:numPr>
          <w:ilvl w:val="0"/>
          <w:numId w:val="3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中产资产缩水普遍：2023年43%中产家庭资产缩水</w:t>
      </w:r>
    </w:p>
    <w:p w14:paraId="5CE37D10">
      <w:pPr>
        <w:numPr>
          <w:ilvl w:val="0"/>
          <w:numId w:val="3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甚至有预测房价还有40%的下降空间（高盛预测）</w:t>
      </w:r>
    </w:p>
    <w:p w14:paraId="5A6DF72E">
      <w:pPr>
        <w:spacing w:before="315" w:after="105" w:line="360" w:lineRule="auto"/>
        <w:ind w:left="-30"/>
        <w:jc w:val="left"/>
      </w:pPr>
      <w:bookmarkStart w:id="57" w:name="三_消费支出与节流趋势"/>
      <w:r>
        <w:rPr>
          <w:rFonts w:ascii="inter" w:hAnsi="inter" w:eastAsia="inter" w:cs="inter"/>
          <w:b/>
          <w:color w:val="000000"/>
          <w:sz w:val="24"/>
        </w:rPr>
        <w:t>三、消费支出与节流趋势</w:t>
      </w:r>
      <w:bookmarkEnd w:id="57"/>
    </w:p>
    <w:p w14:paraId="2C37DBED">
      <w:pPr>
        <w:spacing w:before="315" w:after="105" w:line="360" w:lineRule="auto"/>
        <w:ind w:left="-30"/>
        <w:jc w:val="left"/>
      </w:pPr>
      <w:bookmarkStart w:id="58" w:name="一_消费支出特征"/>
      <w:r>
        <w:rPr>
          <w:rFonts w:ascii="inter" w:hAnsi="inter" w:eastAsia="inter" w:cs="inter"/>
          <w:b/>
          <w:color w:val="000000"/>
          <w:sz w:val="24"/>
        </w:rPr>
        <w:t>（一）消费支出特征</w:t>
      </w:r>
      <w:bookmarkEnd w:id="58"/>
    </w:p>
    <w:p w14:paraId="5BF381D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中产家庭年消费支出范围</w:t>
      </w:r>
      <w:r>
        <w:rPr>
          <w:rFonts w:ascii="inter" w:hAnsi="inter" w:eastAsia="inter" w:cs="inter"/>
          <w:color w:val="000000"/>
        </w:rPr>
        <w:t>：</w:t>
      </w:r>
    </w:p>
    <w:p w14:paraId="601ED017">
      <w:pPr>
        <w:numPr>
          <w:ilvl w:val="0"/>
          <w:numId w:val="3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低端中产</w:t>
      </w:r>
      <w:r>
        <w:rPr>
          <w:rFonts w:ascii="inter" w:hAnsi="inter" w:eastAsia="inter" w:cs="inter"/>
          <w:color w:val="000000"/>
          <w:sz w:val="21"/>
        </w:rPr>
        <w:t>：15-25万元</w:t>
      </w:r>
    </w:p>
    <w:p w14:paraId="47D166A7">
      <w:pPr>
        <w:numPr>
          <w:ilvl w:val="0"/>
          <w:numId w:val="3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典型中产</w:t>
      </w:r>
      <w:r>
        <w:rPr>
          <w:rFonts w:ascii="inter" w:hAnsi="inter" w:eastAsia="inter" w:cs="inter"/>
          <w:color w:val="000000"/>
          <w:sz w:val="21"/>
        </w:rPr>
        <w:t>：25-40万元</w:t>
      </w:r>
    </w:p>
    <w:p w14:paraId="0C2E7C69">
      <w:pPr>
        <w:numPr>
          <w:ilvl w:val="0"/>
          <w:numId w:val="3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高端中产</w:t>
      </w:r>
      <w:r>
        <w:rPr>
          <w:rFonts w:ascii="inter" w:hAnsi="inter" w:eastAsia="inter" w:cs="inter"/>
          <w:color w:val="000000"/>
          <w:sz w:val="21"/>
        </w:rPr>
        <w:t>：40-60万元+</w:t>
      </w:r>
    </w:p>
    <w:p w14:paraId="36A0947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支出构成</w:t>
      </w:r>
      <w:r>
        <w:rPr>
          <w:rFonts w:ascii="inter" w:hAnsi="inter" w:eastAsia="inter" w:cs="inter"/>
          <w:color w:val="000000"/>
        </w:rPr>
        <w:t xml:space="preserve"> （推断分析）：</w:t>
      </w:r>
    </w:p>
    <w:p w14:paraId="47F2573C">
      <w:pPr>
        <w:numPr>
          <w:ilvl w:val="0"/>
          <w:numId w:val="3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住房相关（房贷/房租、物业、装修、家居）：30-35%</w:t>
      </w:r>
    </w:p>
    <w:p w14:paraId="64036654">
      <w:pPr>
        <w:numPr>
          <w:ilvl w:val="0"/>
          <w:numId w:val="3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教育相关（学费、培训、辅导）：15-20%</w:t>
      </w:r>
    </w:p>
    <w:p w14:paraId="4086B934">
      <w:pPr>
        <w:numPr>
          <w:ilvl w:val="0"/>
          <w:numId w:val="3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医疗与保健：8-12%</w:t>
      </w:r>
    </w:p>
    <w:p w14:paraId="3F39AFDC">
      <w:pPr>
        <w:numPr>
          <w:ilvl w:val="0"/>
          <w:numId w:val="3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交通运输（车贷、油费、维修、停车）：10-15%</w:t>
      </w:r>
    </w:p>
    <w:p w14:paraId="26ADB968">
      <w:pPr>
        <w:numPr>
          <w:ilvl w:val="0"/>
          <w:numId w:val="3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食品与日常消费：12-18%</w:t>
      </w:r>
    </w:p>
    <w:p w14:paraId="30BAC027">
      <w:pPr>
        <w:numPr>
          <w:ilvl w:val="0"/>
          <w:numId w:val="3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旅游娱乐：5-10%</w:t>
      </w:r>
    </w:p>
    <w:p w14:paraId="7E715440">
      <w:pPr>
        <w:numPr>
          <w:ilvl w:val="0"/>
          <w:numId w:val="3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其他与储蓄：5-10%</w:t>
      </w:r>
    </w:p>
    <w:p w14:paraId="3697D0FF">
      <w:pPr>
        <w:spacing w:before="315" w:after="105" w:line="360" w:lineRule="auto"/>
        <w:ind w:left="-30"/>
        <w:jc w:val="left"/>
      </w:pPr>
      <w:bookmarkStart w:id="59" w:name="二_储蓄意愿强化"/>
      <w:r>
        <w:rPr>
          <w:rFonts w:ascii="inter" w:hAnsi="inter" w:eastAsia="inter" w:cs="inter"/>
          <w:b/>
          <w:color w:val="000000"/>
          <w:sz w:val="24"/>
        </w:rPr>
        <w:t>（二）储蓄意愿强化</w:t>
      </w:r>
      <w:r>
        <w:fldChar w:fldCharType="begin"/>
      </w:r>
      <w:r>
        <w:instrText xml:space="preserve"> HYPERLINK \l "fn16"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[16]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[8]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59"/>
    </w:p>
    <w:p w14:paraId="696FC7B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消费与储蓄的新变化</w:t>
      </w:r>
      <w:r>
        <w:rPr>
          <w:rFonts w:ascii="inter" w:hAnsi="inter" w:eastAsia="inter" w:cs="inter"/>
          <w:color w:val="000000"/>
        </w:rPr>
        <w:t>：</w:t>
      </w:r>
    </w:p>
    <w:p w14:paraId="064D7541">
      <w:pPr>
        <w:numPr>
          <w:ilvl w:val="0"/>
          <w:numId w:val="3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消费者对宏观经济信心从73%提升至76%</w:t>
      </w:r>
    </w:p>
    <w:p w14:paraId="329BEEB9">
      <w:pPr>
        <w:numPr>
          <w:ilvl w:val="0"/>
          <w:numId w:val="3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但消费在可支配收入中的占比微降0.2个百分点</w:t>
      </w:r>
    </w:p>
    <w:p w14:paraId="7A510030">
      <w:pPr>
        <w:numPr>
          <w:ilvl w:val="0"/>
          <w:numId w:val="3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储蓄意愿强劲</w:t>
      </w:r>
      <w:r>
        <w:rPr>
          <w:rFonts w:ascii="inter" w:hAnsi="inter" w:eastAsia="inter" w:cs="inter"/>
          <w:color w:val="000000"/>
          <w:sz w:val="21"/>
        </w:rPr>
        <w:t>：短期内消费潜力未完全释放</w:t>
      </w:r>
    </w:p>
    <w:p w14:paraId="2297178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可预见的高确定性支出对消费的抑制</w:t>
      </w:r>
      <w:r>
        <w:rPr>
          <w:rFonts w:ascii="inter" w:hAnsi="inter" w:eastAsia="inter" w:cs="inter"/>
          <w:color w:val="000000"/>
        </w:rPr>
        <w:t>：</w:t>
      </w:r>
      <w:bookmarkStart w:id="60" w:name="fnref8_3"/>
      <w:bookmarkEnd w:id="60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F473B98">
      <w:pPr>
        <w:numPr>
          <w:ilvl w:val="0"/>
          <w:numId w:val="3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子女教育费用增加</w:t>
      </w:r>
    </w:p>
    <w:p w14:paraId="74DCFB94">
      <w:pPr>
        <w:numPr>
          <w:ilvl w:val="0"/>
          <w:numId w:val="3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赡养老人费用增加</w:t>
      </w:r>
    </w:p>
    <w:p w14:paraId="0EF6075D">
      <w:pPr>
        <w:numPr>
          <w:ilvl w:val="0"/>
          <w:numId w:val="3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此类消费者的预期消费增长率反而为负（-0.3%）</w:t>
      </w:r>
    </w:p>
    <w:p w14:paraId="5AFD8B66">
      <w:pPr>
        <w:spacing w:before="315" w:after="105" w:line="360" w:lineRule="auto"/>
        <w:ind w:left="-30"/>
        <w:jc w:val="left"/>
      </w:pPr>
      <w:bookmarkStart w:id="61" w:name="四_财务健康状况评估"/>
      <w:r>
        <w:rPr>
          <w:rFonts w:ascii="inter" w:hAnsi="inter" w:eastAsia="inter" w:cs="inter"/>
          <w:b/>
          <w:color w:val="000000"/>
          <w:sz w:val="24"/>
        </w:rPr>
        <w:t>四、财务健康状况评估</w:t>
      </w:r>
      <w:bookmarkEnd w:id="61"/>
    </w:p>
    <w:p w14:paraId="0D902BCB">
      <w:pPr>
        <w:spacing w:before="315" w:after="105" w:line="360" w:lineRule="auto"/>
        <w:ind w:left="-30"/>
        <w:jc w:val="left"/>
      </w:pPr>
      <w:bookmarkStart w:id="62" w:name="一_中产财务健康的_脆弱性"/>
      <w:r>
        <w:rPr>
          <w:rFonts w:ascii="inter" w:hAnsi="inter" w:eastAsia="inter" w:cs="inter"/>
          <w:b/>
          <w:color w:val="000000"/>
          <w:sz w:val="24"/>
        </w:rPr>
        <w:t>（一）中产财务健康的"脆弱性"</w:t>
      </w:r>
      <w:bookmarkEnd w:id="62"/>
    </w:p>
    <w:p w14:paraId="2351E94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缺乏的保障</w:t>
      </w:r>
      <w:r>
        <w:rPr>
          <w:rFonts w:ascii="inter" w:hAnsi="inter" w:eastAsia="inter" w:cs="inter"/>
          <w:color w:val="000000"/>
        </w:rPr>
        <w:t>：</w:t>
      </w:r>
    </w:p>
    <w:p w14:paraId="508492A2">
      <w:pPr>
        <w:numPr>
          <w:ilvl w:val="0"/>
          <w:numId w:val="3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医疗保障不足</w:t>
      </w:r>
      <w:r>
        <w:rPr>
          <w:rFonts w:ascii="inter" w:hAnsi="inter" w:eastAsia="inter" w:cs="inter"/>
          <w:color w:val="000000"/>
          <w:sz w:val="21"/>
        </w:rPr>
        <w:t>：虽有社保，但大病医疗支出仍可能击穿家庭财务</w:t>
      </w:r>
    </w:p>
    <w:p w14:paraId="0FDC13C6">
      <w:pPr>
        <w:numPr>
          <w:ilvl w:val="0"/>
          <w:numId w:val="3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退休准备不充分</w:t>
      </w:r>
      <w:r>
        <w:rPr>
          <w:rFonts w:ascii="inter" w:hAnsi="inter" w:eastAsia="inter" w:cs="inter"/>
          <w:color w:val="000000"/>
          <w:sz w:val="21"/>
        </w:rPr>
        <w:t>：个人养老金存款通常不足需要的50%</w:t>
      </w:r>
    </w:p>
    <w:p w14:paraId="64EB21C8">
      <w:pPr>
        <w:numPr>
          <w:ilvl w:val="0"/>
          <w:numId w:val="3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失业风险管理</w:t>
      </w:r>
      <w:r>
        <w:rPr>
          <w:rFonts w:ascii="inter" w:hAnsi="inter" w:eastAsia="inter" w:cs="inter"/>
          <w:color w:val="000000"/>
          <w:sz w:val="21"/>
        </w:rPr>
        <w:t>：32%受访中产对失业有明显焦虑</w:t>
      </w:r>
    </w:p>
    <w:p w14:paraId="3FDA0F6D">
      <w:pPr>
        <w:numPr>
          <w:ilvl w:val="0"/>
          <w:numId w:val="3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应急储备不足</w:t>
      </w:r>
      <w:r>
        <w:rPr>
          <w:rFonts w:ascii="inter" w:hAnsi="inter" w:eastAsia="inter" w:cs="inter"/>
          <w:color w:val="000000"/>
          <w:sz w:val="21"/>
        </w:rPr>
        <w:t>：超过50%中产家庭应急资金少于3个月支出</w:t>
      </w:r>
    </w:p>
    <w:p w14:paraId="56F35898">
      <w:pPr>
        <w:spacing w:before="315" w:after="105" w:line="360" w:lineRule="auto"/>
        <w:ind w:left="-30"/>
        <w:jc w:val="left"/>
      </w:pPr>
      <w:bookmarkStart w:id="63" w:name="二_财务压力指标"/>
      <w:r>
        <w:rPr>
          <w:rFonts w:ascii="inter" w:hAnsi="inter" w:eastAsia="inter" w:cs="inter"/>
          <w:b/>
          <w:color w:val="000000"/>
          <w:sz w:val="24"/>
        </w:rPr>
        <w:t>（二）财务压力指标</w:t>
      </w:r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[15]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[3]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[8]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63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08"/>
        <w:gridCol w:w="1850"/>
        <w:gridCol w:w="1470"/>
        <w:gridCol w:w="2118"/>
      </w:tblGrid>
      <w:tr w14:paraId="6164ED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0E09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压力来源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3EE5F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表现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0BB9B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中产比例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51F580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影响</w:t>
            </w:r>
          </w:p>
        </w:tc>
      </w:tr>
      <w:tr w14:paraId="5F06F0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A5AC17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房产贬值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9459B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房价下跌预期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43842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80%+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0CC1E1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资产大幅缩水</w:t>
            </w:r>
          </w:p>
        </w:tc>
      </w:tr>
      <w:tr w14:paraId="534AB3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BDC80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失业风险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F6C72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年龄歧视、经济下行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E6BFB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40%+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395335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收入中断风险</w:t>
            </w:r>
          </w:p>
        </w:tc>
      </w:tr>
      <w:tr w14:paraId="6D2350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8F526E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子女教育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CBB0F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学费、补习、择校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EC029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85%有子女者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B76F25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每年消耗15-20%收入</w:t>
            </w:r>
          </w:p>
        </w:tc>
      </w:tr>
      <w:tr w14:paraId="119351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068D7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养老压力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A38E3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赡养老人、自身养老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977F4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50%+中年中产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4E0FAB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双重压力</w:t>
            </w:r>
          </w:p>
        </w:tc>
      </w:tr>
      <w:tr w14:paraId="1FC911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DD284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医疗成本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7181D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大病风险、长期护理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5E2DA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30%+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86AA1F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可能导致财务破产</w:t>
            </w:r>
          </w:p>
        </w:tc>
      </w:tr>
    </w:tbl>
    <w:p w14:paraId="22662DB7"/>
    <w:p w14:paraId="55596375">
      <w:pPr>
        <w:spacing w:before="315" w:after="105" w:line="360" w:lineRule="auto"/>
        <w:ind w:left="-30"/>
        <w:jc w:val="left"/>
      </w:pPr>
      <w:bookmarkStart w:id="64" w:name="五_财富配置的理性回调"/>
      <w:r>
        <w:rPr>
          <w:rFonts w:ascii="inter" w:hAnsi="inter" w:eastAsia="inter" w:cs="inter"/>
          <w:b/>
          <w:color w:val="000000"/>
          <w:sz w:val="24"/>
        </w:rPr>
        <w:t>五、财富配置的理性回调</w:t>
      </w:r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[14]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64"/>
    </w:p>
    <w:p w14:paraId="4A039891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中产家庭资产配置从2021至2024年发生了重要转变，这反映出集体心态的调整：</w:t>
      </w:r>
    </w:p>
    <w:p w14:paraId="57958B0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从"进攻型"到"防守型"</w:t>
      </w:r>
      <w:r>
        <w:rPr>
          <w:rFonts w:ascii="inter" w:hAnsi="inter" w:eastAsia="inter" w:cs="inter"/>
          <w:color w:val="000000"/>
        </w:rPr>
        <w:t>：</w:t>
      </w:r>
    </w:p>
    <w:p w14:paraId="0109CEE4">
      <w:pPr>
        <w:numPr>
          <w:ilvl w:val="0"/>
          <w:numId w:val="3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过去：激进配置房产和权益资产，追求增值</w:t>
      </w:r>
    </w:p>
    <w:p w14:paraId="6B3CCF12">
      <w:pPr>
        <w:numPr>
          <w:ilvl w:val="0"/>
          <w:numId w:val="3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现在：保守配置银行存款和保险产品，追求安全</w:t>
      </w:r>
    </w:p>
    <w:p w14:paraId="2E04199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理财产品的变化</w:t>
      </w:r>
      <w:r>
        <w:rPr>
          <w:rFonts w:ascii="inter" w:hAnsi="inter" w:eastAsia="inter" w:cs="inter"/>
          <w:color w:val="000000"/>
        </w:rPr>
        <w:t>：</w:t>
      </w:r>
    </w:p>
    <w:p w14:paraId="7FDE0991">
      <w:pPr>
        <w:numPr>
          <w:ilvl w:val="0"/>
          <w:numId w:val="3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ETF规模扩大（2024年底3.7万亿，较2021年翻倍）</w:t>
      </w:r>
    </w:p>
    <w:p w14:paraId="38F43DC3">
      <w:pPr>
        <w:numPr>
          <w:ilvl w:val="0"/>
          <w:numId w:val="3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但普通中产家庭的风险厌恶加强</w:t>
      </w:r>
    </w:p>
    <w:p w14:paraId="580E57BA">
      <w:pPr>
        <w:numPr>
          <w:ilvl w:val="0"/>
          <w:numId w:val="3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更多选择"保本+小收益"的保险和固收产品</w:t>
      </w:r>
    </w:p>
    <w:p w14:paraId="0FF601C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国际资产配置的上升</w:t>
      </w:r>
      <w:r>
        <w:rPr>
          <w:rFonts w:ascii="inter" w:hAnsi="inter" w:eastAsia="inter" w:cs="inter"/>
          <w:color w:val="000000"/>
        </w:rPr>
        <w:t xml:space="preserve"> （高端中产）：</w:t>
      </w:r>
    </w:p>
    <w:p w14:paraId="1D393278">
      <w:pPr>
        <w:numPr>
          <w:ilvl w:val="0"/>
          <w:numId w:val="4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86%高净值人群考虑境外投资</w:t>
      </w:r>
    </w:p>
    <w:p w14:paraId="1D89ED3D">
      <w:pPr>
        <w:numPr>
          <w:ilvl w:val="0"/>
          <w:numId w:val="4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平均境外资产占可投资资产的16%</w:t>
      </w:r>
    </w:p>
    <w:p w14:paraId="79611137">
      <w:pPr>
        <w:numPr>
          <w:ilvl w:val="0"/>
          <w:numId w:val="4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反映对国内投资环境的忧虑</w:t>
      </w:r>
    </w:p>
    <w:p w14:paraId="57CBDA94">
      <w:pPr>
        <w:spacing w:before="210" w:after="0" w:line="360" w:lineRule="auto"/>
      </w:pPr>
      <w:r>
        <w:pict>
          <v:rect id="_x0000_s1031" o:spid="_x0000_s1031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4809C26">
      <w:pPr>
        <w:spacing w:before="315" w:after="105" w:line="360" w:lineRule="auto"/>
        <w:ind w:left="-30"/>
        <w:jc w:val="left"/>
      </w:pPr>
      <w:bookmarkStart w:id="65" w:name="第五部分_中产阶层面临的核心困境"/>
      <w:r>
        <w:rPr>
          <w:rFonts w:ascii="inter" w:hAnsi="inter" w:eastAsia="inter" w:cs="inter"/>
          <w:b/>
          <w:color w:val="000000"/>
          <w:sz w:val="24"/>
        </w:rPr>
        <w:t>第五部分 中产阶层面临的核心困境</w:t>
      </w:r>
      <w:bookmarkEnd w:id="65"/>
    </w:p>
    <w:p w14:paraId="0BB6225F">
      <w:pPr>
        <w:spacing w:before="315" w:after="105" w:line="360" w:lineRule="auto"/>
        <w:ind w:left="-30"/>
        <w:jc w:val="left"/>
      </w:pPr>
      <w:bookmarkStart w:id="66" w:name="一_脆弱成长期_的特征"/>
      <w:r>
        <w:rPr>
          <w:rFonts w:ascii="inter" w:hAnsi="inter" w:eastAsia="inter" w:cs="inter"/>
          <w:b/>
          <w:color w:val="000000"/>
          <w:sz w:val="24"/>
        </w:rPr>
        <w:t>一、"脆弱成长期"的特征</w:t>
      </w:r>
      <w:bookmarkEnd w:id="66"/>
    </w:p>
    <w:p w14:paraId="357A0618">
      <w:pPr>
        <w:spacing w:before="315" w:after="105" w:line="360" w:lineRule="auto"/>
        <w:ind w:left="-30"/>
        <w:jc w:val="left"/>
      </w:pPr>
      <w:bookmarkStart w:id="67" w:name="一_规模与质量的矛盾"/>
      <w:r>
        <w:rPr>
          <w:rFonts w:ascii="inter" w:hAnsi="inter" w:eastAsia="inter" w:cs="inter"/>
          <w:b/>
          <w:color w:val="000000"/>
          <w:sz w:val="24"/>
        </w:rPr>
        <w:t>（一）规模与质量的矛盾</w:t>
      </w:r>
      <w:bookmarkEnd w:id="67"/>
    </w:p>
    <w:p w14:paraId="49A2088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数字上的中产</w:t>
      </w:r>
      <w:r>
        <w:rPr>
          <w:rFonts w:ascii="inter" w:hAnsi="inter" w:eastAsia="inter" w:cs="inter"/>
          <w:color w:val="000000"/>
        </w:rPr>
        <w:t>：</w:t>
      </w:r>
    </w:p>
    <w:p w14:paraId="0E953D41">
      <w:pPr>
        <w:numPr>
          <w:ilvl w:val="0"/>
          <w:numId w:val="4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官方数据：4亿人（约占全国人口28%）</w:t>
      </w:r>
    </w:p>
    <w:p w14:paraId="0C40C166">
      <w:pPr>
        <w:numPr>
          <w:ilvl w:val="0"/>
          <w:numId w:val="4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家庭数量：约1.4亿户</w:t>
      </w:r>
    </w:p>
    <w:p w14:paraId="63ACB58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实际中产</w:t>
      </w:r>
      <w:r>
        <w:rPr>
          <w:rFonts w:ascii="inter" w:hAnsi="inter" w:eastAsia="inter" w:cs="inter"/>
          <w:color w:val="000000"/>
        </w:rPr>
        <w:t>：</w:t>
      </w:r>
    </w:p>
    <w:p w14:paraId="2EB91DAD">
      <w:pPr>
        <w:numPr>
          <w:ilvl w:val="0"/>
          <w:numId w:val="4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扣除房贷后的真正自由资产</w:t>
      </w:r>
    </w:p>
    <w:p w14:paraId="6D19637E">
      <w:pPr>
        <w:numPr>
          <w:ilvl w:val="0"/>
          <w:numId w:val="4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考虑教育、医疗、养老支出后的剩余财力</w:t>
      </w:r>
    </w:p>
    <w:p w14:paraId="48696ACD">
      <w:pPr>
        <w:numPr>
          <w:ilvl w:val="0"/>
          <w:numId w:val="4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真正的中产可能只有3000-5000万户（10-18%人口）</w:t>
      </w:r>
    </w:p>
    <w:p w14:paraId="1B398C93">
      <w:pPr>
        <w:spacing w:before="315" w:after="105" w:line="360" w:lineRule="auto"/>
        <w:ind w:left="-30"/>
        <w:jc w:val="left"/>
      </w:pPr>
      <w:bookmarkStart w:id="68" w:name="二_被平均_现象严重"/>
      <w:r>
        <w:rPr>
          <w:rFonts w:ascii="inter" w:hAnsi="inter" w:eastAsia="inter" w:cs="inter"/>
          <w:b/>
          <w:color w:val="000000"/>
          <w:sz w:val="24"/>
        </w:rPr>
        <w:t>（二）"被平均"现象严重</w:t>
      </w:r>
      <w:bookmarkEnd w:id="68"/>
    </w:p>
    <w:p w14:paraId="13B08D3F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中产数字中包含了巨大的内部分化：</w:t>
      </w:r>
    </w:p>
    <w:p w14:paraId="18DCF76A">
      <w:pPr>
        <w:numPr>
          <w:ilvl w:val="0"/>
          <w:numId w:val="4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一线城市中产（北上深）：平均家庭可投资资产500万+元</w:t>
      </w:r>
    </w:p>
    <w:p w14:paraId="3EAEF67B">
      <w:pPr>
        <w:numPr>
          <w:ilvl w:val="0"/>
          <w:numId w:val="4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二线城市中产：平均200-300万元</w:t>
      </w:r>
    </w:p>
    <w:p w14:paraId="5C164237">
      <w:pPr>
        <w:numPr>
          <w:ilvl w:val="0"/>
          <w:numId w:val="4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三四线城市"中产"：平均50-100万元</w:t>
      </w:r>
    </w:p>
    <w:p w14:paraId="698B6FA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现实</w:t>
      </w:r>
      <w:r>
        <w:rPr>
          <w:rFonts w:ascii="inter" w:hAnsi="inter" w:eastAsia="inter" w:cs="inter"/>
          <w:color w:val="000000"/>
        </w:rPr>
        <w:t>：后者往往不具有真正的中产生活方式和抗风险能力。</w:t>
      </w:r>
    </w:p>
    <w:p w14:paraId="431E1C8E">
      <w:pPr>
        <w:spacing w:before="315" w:after="105" w:line="360" w:lineRule="auto"/>
        <w:ind w:left="-30"/>
        <w:jc w:val="left"/>
      </w:pPr>
      <w:bookmarkStart w:id="69" w:name="二_四重焦虑_困境"/>
      <w:r>
        <w:rPr>
          <w:rFonts w:ascii="inter" w:hAnsi="inter" w:eastAsia="inter" w:cs="inter"/>
          <w:b/>
          <w:color w:val="000000"/>
          <w:sz w:val="24"/>
        </w:rPr>
        <w:t>二、"四重焦虑"困境</w:t>
      </w:r>
      <w:bookmarkEnd w:id="69"/>
    </w:p>
    <w:p w14:paraId="3F701581">
      <w:pPr>
        <w:spacing w:before="315" w:after="105" w:line="360" w:lineRule="auto"/>
        <w:ind w:left="-30"/>
        <w:jc w:val="left"/>
      </w:pPr>
      <w:bookmarkStart w:id="70" w:name="一_房产焦虑_从增值引擎到负债黑洞"/>
      <w:r>
        <w:rPr>
          <w:rFonts w:ascii="inter" w:hAnsi="inter" w:eastAsia="inter" w:cs="inter"/>
          <w:b/>
          <w:color w:val="000000"/>
          <w:sz w:val="24"/>
        </w:rPr>
        <w:t>（一）房产焦虑：从增值引擎到负债黑洞</w:t>
      </w:r>
      <w:bookmarkEnd w:id="70"/>
    </w:p>
    <w:p w14:paraId="2BD11A6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转变点</w:t>
      </w:r>
      <w:r>
        <w:rPr>
          <w:rFonts w:ascii="inter" w:hAnsi="inter" w:eastAsia="inter" w:cs="inter"/>
          <w:color w:val="000000"/>
        </w:rPr>
        <w:t>：</w:t>
      </w:r>
    </w:p>
    <w:p w14:paraId="0D1746FF">
      <w:pPr>
        <w:numPr>
          <w:ilvl w:val="0"/>
          <w:numId w:val="4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2023年之前：房产是财富积累的最主要途径</w:t>
      </w:r>
    </w:p>
    <w:p w14:paraId="38C69058">
      <w:pPr>
        <w:numPr>
          <w:ilvl w:val="0"/>
          <w:numId w:val="4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2024年及以后：房价下跌，成为资产风险源</w:t>
      </w:r>
    </w:p>
    <w:p w14:paraId="0DCB8F7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具体数据</w:t>
      </w:r>
      <w:r>
        <w:rPr>
          <w:rFonts w:ascii="inter" w:hAnsi="inter" w:eastAsia="inter" w:cs="inter"/>
          <w:color w:val="000000"/>
        </w:rPr>
        <w:t>：</w:t>
      </w:r>
    </w:p>
    <w:p w14:paraId="22C224E2">
      <w:pPr>
        <w:numPr>
          <w:ilvl w:val="0"/>
          <w:numId w:val="4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房价连续下跌超12个月</w:t>
      </w:r>
    </w:p>
    <w:p w14:paraId="0F9F4FF4">
      <w:pPr>
        <w:numPr>
          <w:ilvl w:val="0"/>
          <w:numId w:val="4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部分市场跌幅已达20-30%</w:t>
      </w:r>
    </w:p>
    <w:p w14:paraId="3569C227">
      <w:pPr>
        <w:numPr>
          <w:ilvl w:val="0"/>
          <w:numId w:val="4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中产房产资产占比60-70%，贬值直接影响净资产</w:t>
      </w:r>
    </w:p>
    <w:p w14:paraId="77AE6C0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心理影响</w:t>
      </w:r>
      <w:r>
        <w:rPr>
          <w:rFonts w:ascii="inter" w:hAnsi="inter" w:eastAsia="inter" w:cs="inter"/>
          <w:color w:val="000000"/>
        </w:rPr>
        <w:t>：</w:t>
      </w:r>
    </w:p>
    <w:p w14:paraId="61372EDA">
      <w:pPr>
        <w:numPr>
          <w:ilvl w:val="0"/>
          <w:numId w:val="4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11.4%中产家庭2023年财富缩水30%以上</w:t>
      </w:r>
    </w:p>
    <w:p w14:paraId="017EFF93">
      <w:pPr>
        <w:numPr>
          <w:ilvl w:val="0"/>
          <w:numId w:val="4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28.9%缩水10-30%</w:t>
      </w:r>
    </w:p>
    <w:p w14:paraId="5D186AB9">
      <w:pPr>
        <w:numPr>
          <w:ilvl w:val="0"/>
          <w:numId w:val="4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合计超过40%中产家庭资产缩水</w:t>
      </w:r>
    </w:p>
    <w:p w14:paraId="62DFB256">
      <w:pPr>
        <w:spacing w:before="315" w:after="105" w:line="360" w:lineRule="auto"/>
        <w:ind w:left="-30"/>
        <w:jc w:val="left"/>
      </w:pPr>
      <w:bookmarkStart w:id="71" w:name="二_收入焦虑_增速放缓与年龄歧视"/>
      <w:r>
        <w:rPr>
          <w:rFonts w:ascii="inter" w:hAnsi="inter" w:eastAsia="inter" w:cs="inter"/>
          <w:b/>
          <w:color w:val="000000"/>
          <w:sz w:val="24"/>
        </w:rPr>
        <w:t>（二）收入焦虑：增速放缓与年龄歧视</w:t>
      </w:r>
      <w:bookmarkEnd w:id="71"/>
    </w:p>
    <w:p w14:paraId="0409D05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收入增速放缓</w:t>
      </w:r>
      <w:r>
        <w:rPr>
          <w:rFonts w:ascii="inter" w:hAnsi="inter" w:eastAsia="inter" w:cs="inter"/>
          <w:color w:val="000000"/>
        </w:rPr>
        <w:t>：</w:t>
      </w:r>
    </w:p>
    <w:p w14:paraId="16C48770">
      <w:pPr>
        <w:numPr>
          <w:ilvl w:val="0"/>
          <w:numId w:val="4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2018-2023年间，高收入组人群收入增幅持续下降</w:t>
      </w:r>
    </w:p>
    <w:p w14:paraId="52CBE3A0">
      <w:pPr>
        <w:numPr>
          <w:ilvl w:val="0"/>
          <w:numId w:val="4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职场竞争加剧，中层管理薪酬增长停滞</w:t>
      </w:r>
    </w:p>
    <w:p w14:paraId="0DE88CF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年龄歧视严重</w:t>
      </w:r>
      <w:r>
        <w:rPr>
          <w:rFonts w:ascii="inter" w:hAnsi="inter" w:eastAsia="inter" w:cs="inter"/>
          <w:color w:val="000000"/>
        </w:rPr>
        <w:t>：</w:t>
      </w:r>
    </w:p>
    <w:p w14:paraId="274FD697">
      <w:pPr>
        <w:numPr>
          <w:ilvl w:val="0"/>
          <w:numId w:val="4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30-40岁是职业天花板出现的高风险年龄</w:t>
      </w:r>
    </w:p>
    <w:p w14:paraId="4645ACB6">
      <w:pPr>
        <w:numPr>
          <w:ilvl w:val="0"/>
          <w:numId w:val="4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企业倾向于招聘年轻员工（成本低）</w:t>
      </w:r>
    </w:p>
    <w:p w14:paraId="3376D699">
      <w:pPr>
        <w:numPr>
          <w:ilvl w:val="0"/>
          <w:numId w:val="4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35岁以上职场人士被迫面对转岗、降薪或失业</w:t>
      </w:r>
    </w:p>
    <w:p w14:paraId="073AD1B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青年失业率高企</w:t>
      </w:r>
      <w:r>
        <w:rPr>
          <w:rFonts w:ascii="inter" w:hAnsi="inter" w:eastAsia="inter" w:cs="inter"/>
          <w:color w:val="000000"/>
        </w:rPr>
        <w:t>：</w:t>
      </w:r>
    </w:p>
    <w:p w14:paraId="7DC9C391">
      <w:pPr>
        <w:numPr>
          <w:ilvl w:val="0"/>
          <w:numId w:val="4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16-24岁青年失业率一度达21.3%（2023年6月）</w:t>
      </w:r>
    </w:p>
    <w:p w14:paraId="0E081907">
      <w:pPr>
        <w:numPr>
          <w:ilvl w:val="0"/>
          <w:numId w:val="4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高校毕业生全职工作签约率仅47.5%（2023年，历史新低）</w:t>
      </w:r>
    </w:p>
    <w:p w14:paraId="415ED928">
      <w:pPr>
        <w:spacing w:before="315" w:after="105" w:line="360" w:lineRule="auto"/>
        <w:ind w:left="-30"/>
        <w:jc w:val="left"/>
      </w:pPr>
      <w:bookmarkStart w:id="72" w:name="三_教育焦虑_投入与回报的不确定性"/>
      <w:r>
        <w:rPr>
          <w:rFonts w:ascii="inter" w:hAnsi="inter" w:eastAsia="inter" w:cs="inter"/>
          <w:b/>
          <w:color w:val="000000"/>
          <w:sz w:val="24"/>
        </w:rPr>
        <w:t>（三）教育焦虑：投入与回报的不确定性</w:t>
      </w:r>
      <w:bookmarkEnd w:id="72"/>
    </w:p>
    <w:p w14:paraId="2ADED0B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教育成本高企</w:t>
      </w:r>
      <w:r>
        <w:rPr>
          <w:rFonts w:ascii="inter" w:hAnsi="inter" w:eastAsia="inter" w:cs="inter"/>
          <w:color w:val="000000"/>
        </w:rPr>
        <w:t>：</w:t>
      </w:r>
      <w:bookmarkStart w:id="73" w:name="fnref17"/>
      <w:bookmarkEnd w:id="73"/>
      <w:r>
        <w:fldChar w:fldCharType="begin"/>
      </w:r>
      <w:r>
        <w:instrText xml:space="preserve"> HYPERLINK \l "fn17"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74" w:name="fnref3_10"/>
      <w:bookmarkEnd w:id="74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75" w:name="fnref8_5"/>
      <w:bookmarkEnd w:id="75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917CB47">
      <w:pPr>
        <w:numPr>
          <w:ilvl w:val="0"/>
          <w:numId w:val="5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中产家庭子女教育年支出9万元+（吴晓波调查）</w:t>
      </w:r>
    </w:p>
    <w:p w14:paraId="18A3596F">
      <w:pPr>
        <w:numPr>
          <w:ilvl w:val="0"/>
          <w:numId w:val="5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学区房溢价30-50%</w:t>
      </w:r>
    </w:p>
    <w:p w14:paraId="66EF9897">
      <w:pPr>
        <w:numPr>
          <w:ilvl w:val="0"/>
          <w:numId w:val="5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影子教育（课外培训）市场规模8000亿+元（2024年）</w:t>
      </w:r>
    </w:p>
    <w:p w14:paraId="2DF4140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回报不确定性加大</w:t>
      </w:r>
      <w:r>
        <w:rPr>
          <w:rFonts w:ascii="inter" w:hAnsi="inter" w:eastAsia="inter" w:cs="inter"/>
          <w:color w:val="000000"/>
        </w:rPr>
        <w:t>：</w:t>
      </w:r>
    </w:p>
    <w:p w14:paraId="558D2811">
      <w:pPr>
        <w:numPr>
          <w:ilvl w:val="0"/>
          <w:numId w:val="5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"双减"后教育焦虑未减，家长私自补习投入增加</w:t>
      </w:r>
    </w:p>
    <w:p w14:paraId="5FC48CF6">
      <w:pPr>
        <w:numPr>
          <w:ilvl w:val="0"/>
          <w:numId w:val="5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高学历毕业生就业难，教育投资回报率下降</w:t>
      </w:r>
    </w:p>
    <w:p w14:paraId="1C1DA3E2">
      <w:pPr>
        <w:numPr>
          <w:ilvl w:val="0"/>
          <w:numId w:val="5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教育被视为"买彩票"而非"稳定投资"</w:t>
      </w:r>
    </w:p>
    <w:p w14:paraId="326D6A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代际焦虑</w:t>
      </w:r>
      <w:r>
        <w:rPr>
          <w:rFonts w:ascii="inter" w:hAnsi="inter" w:eastAsia="inter" w:cs="inter"/>
          <w:color w:val="000000"/>
        </w:rPr>
        <w:t>：</w:t>
      </w:r>
    </w:p>
    <w:p w14:paraId="23F66FFF">
      <w:pPr>
        <w:numPr>
          <w:ilvl w:val="0"/>
          <w:numId w:val="5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中产父母对子女未来充满担忧</w:t>
      </w:r>
    </w:p>
    <w:p w14:paraId="22194C94">
      <w:pPr>
        <w:numPr>
          <w:ilvl w:val="0"/>
          <w:numId w:val="5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但缺乏有效的改变手段</w:t>
      </w:r>
    </w:p>
    <w:p w14:paraId="0E916948">
      <w:pPr>
        <w:numPr>
          <w:ilvl w:val="0"/>
          <w:numId w:val="5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形成"再苦不能苦孩子"的消费悖论</w:t>
      </w:r>
    </w:p>
    <w:p w14:paraId="34972AE5">
      <w:pPr>
        <w:spacing w:before="315" w:after="105" w:line="360" w:lineRule="auto"/>
        <w:ind w:left="-30"/>
        <w:jc w:val="left"/>
      </w:pPr>
      <w:bookmarkStart w:id="76" w:name="四_养老焦虑_夹心困境"/>
      <w:r>
        <w:rPr>
          <w:rFonts w:ascii="inter" w:hAnsi="inter" w:eastAsia="inter" w:cs="inter"/>
          <w:b/>
          <w:color w:val="000000"/>
          <w:sz w:val="24"/>
        </w:rPr>
        <w:t>（四）养老焦虑：夹心困境</w:t>
      </w:r>
      <w:bookmarkEnd w:id="76"/>
    </w:p>
    <w:p w14:paraId="10B8009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养老资金缺口</w:t>
      </w:r>
      <w:r>
        <w:rPr>
          <w:rFonts w:ascii="inter" w:hAnsi="inter" w:eastAsia="inter" w:cs="inter"/>
          <w:color w:val="000000"/>
        </w:rPr>
        <w:t>：</w:t>
      </w:r>
    </w:p>
    <w:p w14:paraId="625D447A">
      <w:pPr>
        <w:numPr>
          <w:ilvl w:val="0"/>
          <w:numId w:val="5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国际通行的养老标准：退休前收入的70-80%</w:t>
      </w:r>
    </w:p>
    <w:p w14:paraId="048EF596">
      <w:pPr>
        <w:numPr>
          <w:ilvl w:val="0"/>
          <w:numId w:val="5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中国中产个人养老金积累通常仅需要的40-50%</w:t>
      </w:r>
    </w:p>
    <w:p w14:paraId="063288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"四二一"家庭结构</w:t>
      </w:r>
      <w:r>
        <w:rPr>
          <w:rFonts w:ascii="inter" w:hAnsi="inter" w:eastAsia="inter" w:cs="inter"/>
          <w:color w:val="000000"/>
        </w:rPr>
        <w:t>：</w:t>
      </w:r>
    </w:p>
    <w:p w14:paraId="397FE403">
      <w:pPr>
        <w:numPr>
          <w:ilvl w:val="0"/>
          <w:numId w:val="5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一个成年人需赡养两个父母和抚养一个子女</w:t>
      </w:r>
    </w:p>
    <w:p w14:paraId="543BB41E">
      <w:pPr>
        <w:numPr>
          <w:ilvl w:val="0"/>
          <w:numId w:val="5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同时还要为自己的养老储备</w:t>
      </w:r>
    </w:p>
    <w:p w14:paraId="1399358E">
      <w:pPr>
        <w:numPr>
          <w:ilvl w:val="0"/>
          <w:numId w:val="5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财务压力极大</w:t>
      </w:r>
    </w:p>
    <w:p w14:paraId="541B6A5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政策约束</w:t>
      </w:r>
      <w:r>
        <w:rPr>
          <w:rFonts w:ascii="inter" w:hAnsi="inter" w:eastAsia="inter" w:cs="inter"/>
          <w:color w:val="000000"/>
        </w:rPr>
        <w:t>：</w:t>
      </w:r>
    </w:p>
    <w:p w14:paraId="0236AD9E">
      <w:pPr>
        <w:numPr>
          <w:ilvl w:val="0"/>
          <w:numId w:val="5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基础养老金替代率较低（30-40%）</w:t>
      </w:r>
    </w:p>
    <w:p w14:paraId="4A32E274">
      <w:pPr>
        <w:numPr>
          <w:ilvl w:val="0"/>
          <w:numId w:val="5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中产通常无企业年金</w:t>
      </w:r>
    </w:p>
    <w:p w14:paraId="4E3B2085">
      <w:pPr>
        <w:numPr>
          <w:ilvl w:val="0"/>
          <w:numId w:val="5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需要大量商业保险补充，成本高</w:t>
      </w:r>
    </w:p>
    <w:p w14:paraId="7A515116">
      <w:pPr>
        <w:spacing w:before="315" w:after="105" w:line="360" w:lineRule="auto"/>
        <w:ind w:left="-30"/>
        <w:jc w:val="left"/>
      </w:pPr>
      <w:bookmarkStart w:id="77" w:name="三_消费驱动力的减弱"/>
      <w:r>
        <w:rPr>
          <w:rFonts w:ascii="inter" w:hAnsi="inter" w:eastAsia="inter" w:cs="inter"/>
          <w:b/>
          <w:color w:val="000000"/>
          <w:sz w:val="24"/>
        </w:rPr>
        <w:t>三、消费驱动力的减弱</w:t>
      </w:r>
      <w:bookmarkEnd w:id="77"/>
    </w:p>
    <w:p w14:paraId="58DE265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宏观消费困境</w:t>
      </w:r>
      <w:r>
        <w:rPr>
          <w:rFonts w:ascii="inter" w:hAnsi="inter" w:eastAsia="inter" w:cs="inter"/>
          <w:color w:val="000000"/>
        </w:rPr>
        <w:t>：</w:t>
      </w:r>
      <w:bookmarkStart w:id="78" w:name="fnref18"/>
      <w:bookmarkEnd w:id="78"/>
      <w:r>
        <w:fldChar w:fldCharType="begin"/>
      </w:r>
      <w:r>
        <w:instrText xml:space="preserve"> HYPERLINK \l "fn18"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79" w:name="fnref8_6"/>
      <w:bookmarkEnd w:id="79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68F5C38">
      <w:pPr>
        <w:numPr>
          <w:ilvl w:val="0"/>
          <w:numId w:val="5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中国城镇居民消费占GDP的比重长期在38-40%</w:t>
      </w:r>
    </w:p>
    <w:p w14:paraId="0BA5B80C">
      <w:pPr>
        <w:numPr>
          <w:ilvl w:val="0"/>
          <w:numId w:val="5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远低于美国（70%）和全球主要经济体（60%+）</w:t>
      </w:r>
    </w:p>
    <w:p w14:paraId="34F2CFA6">
      <w:pPr>
        <w:numPr>
          <w:ilvl w:val="0"/>
          <w:numId w:val="5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原因：储蓄意愿强，不安全感强</w:t>
      </w:r>
    </w:p>
    <w:p w14:paraId="1F4315B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中产消费的"理性回归"</w:t>
      </w:r>
      <w:r>
        <w:rPr>
          <w:rFonts w:ascii="inter" w:hAnsi="inter" w:eastAsia="inter" w:cs="inter"/>
          <w:color w:val="000000"/>
        </w:rPr>
        <w:t>：</w:t>
      </w:r>
    </w:p>
    <w:p w14:paraId="0E9B1FA2">
      <w:pPr>
        <w:numPr>
          <w:ilvl w:val="0"/>
          <w:numId w:val="5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从消费升级到理性消费</w:t>
      </w:r>
    </w:p>
    <w:p w14:paraId="3FF622D2">
      <w:pPr>
        <w:numPr>
          <w:ilvl w:val="0"/>
          <w:numId w:val="5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从品牌消费到性价比消费</w:t>
      </w:r>
    </w:p>
    <w:p w14:paraId="73471647">
      <w:pPr>
        <w:numPr>
          <w:ilvl w:val="0"/>
          <w:numId w:val="5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从"买买买"到"选择性消费"</w:t>
      </w:r>
    </w:p>
    <w:p w14:paraId="3ABCE70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对经济增长的含义</w:t>
      </w:r>
      <w:r>
        <w:rPr>
          <w:rFonts w:ascii="inter" w:hAnsi="inter" w:eastAsia="inter" w:cs="inter"/>
          <w:color w:val="000000"/>
        </w:rPr>
        <w:t>：</w:t>
      </w:r>
    </w:p>
    <w:p w14:paraId="1FCDFB07">
      <w:pPr>
        <w:numPr>
          <w:ilvl w:val="0"/>
          <w:numId w:val="5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内需拉动力不足</w:t>
      </w:r>
    </w:p>
    <w:p w14:paraId="1B4B2205">
      <w:pPr>
        <w:numPr>
          <w:ilvl w:val="0"/>
          <w:numId w:val="5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经济增长更多依赖出口和投资</w:t>
      </w:r>
    </w:p>
    <w:p w14:paraId="51134BF2">
      <w:pPr>
        <w:numPr>
          <w:ilvl w:val="0"/>
          <w:numId w:val="5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长期增长动能存疑</w:t>
      </w:r>
    </w:p>
    <w:p w14:paraId="654004CC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FAE64ED">
      <w:pPr>
        <w:spacing w:before="315" w:after="105" w:line="360" w:lineRule="auto"/>
        <w:ind w:left="-30"/>
        <w:jc w:val="left"/>
      </w:pPr>
      <w:bookmarkStart w:id="80" w:name="第六部分_高净值家庭与顶层财富结构"/>
      <w:r>
        <w:rPr>
          <w:rFonts w:ascii="inter" w:hAnsi="inter" w:eastAsia="inter" w:cs="inter"/>
          <w:b/>
          <w:color w:val="000000"/>
          <w:sz w:val="24"/>
        </w:rPr>
        <w:t>第六部分 高净值家庭与顶层财富结构</w:t>
      </w:r>
      <w:bookmarkEnd w:id="80"/>
    </w:p>
    <w:p w14:paraId="3DB4E701">
      <w:pPr>
        <w:spacing w:before="315" w:after="105" w:line="360" w:lineRule="auto"/>
        <w:ind w:left="-30"/>
        <w:jc w:val="left"/>
      </w:pPr>
      <w:bookmarkStart w:id="81" w:name="一_高净值人群的规模与分布"/>
      <w:r>
        <w:rPr>
          <w:rFonts w:ascii="inter" w:hAnsi="inter" w:eastAsia="inter" w:cs="inter"/>
          <w:b/>
          <w:color w:val="000000"/>
          <w:sz w:val="24"/>
        </w:rPr>
        <w:t>一、高净值人群的规模与分布</w:t>
      </w:r>
      <w:bookmarkEnd w:id="81"/>
    </w:p>
    <w:p w14:paraId="21050184">
      <w:pPr>
        <w:spacing w:before="315" w:after="105" w:line="360" w:lineRule="auto"/>
        <w:ind w:left="-30"/>
        <w:jc w:val="left"/>
      </w:pPr>
      <w:bookmarkStart w:id="82" w:name="一_多层级高净值家庭"/>
      <w:r>
        <w:rPr>
          <w:rFonts w:ascii="inter" w:hAnsi="inter" w:eastAsia="inter" w:cs="inter"/>
          <w:b/>
          <w:color w:val="000000"/>
          <w:sz w:val="24"/>
        </w:rPr>
        <w:t>（一）多层级高净值家庭</w:t>
      </w:r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[11]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[12]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r>
        <w:fldChar w:fldCharType="begin"/>
      </w:r>
      <w:r>
        <w:instrText xml:space="preserve"> HYPERLINK \l "fn19"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[19]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82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84"/>
        <w:gridCol w:w="1552"/>
        <w:gridCol w:w="1510"/>
        <w:gridCol w:w="2157"/>
      </w:tblGrid>
      <w:tr w14:paraId="5D7FB9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76207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净资产水平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E4972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2024年家庭数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ADDE4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主要城市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1C62AD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占比变化</w:t>
            </w:r>
          </w:p>
        </w:tc>
      </w:tr>
      <w:tr w14:paraId="41BA88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91153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600万+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69454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514万户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60C07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全国分布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A52AD9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较2023年减4.1万户</w:t>
            </w:r>
          </w:p>
        </w:tc>
      </w:tr>
      <w:tr w14:paraId="6820B2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E77F4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1000万+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DA1B9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212万户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48A85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北、上、广、浙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775AB6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较2023年有所下降</w:t>
            </w:r>
          </w:p>
        </w:tc>
      </w:tr>
      <w:tr w14:paraId="0F6DD7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782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亿元+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598E0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63万户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EF072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北京、广东为主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039754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比例略降</w:t>
            </w:r>
          </w:p>
        </w:tc>
      </w:tr>
      <w:tr w14:paraId="5DA6A2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BFDE2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3000万美元+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684D8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5万户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90A79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一线城市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C700A8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国际超高净值</w:t>
            </w:r>
          </w:p>
        </w:tc>
      </w:tr>
    </w:tbl>
    <w:p w14:paraId="40675259"/>
    <w:p w14:paraId="761F400E">
      <w:pPr>
        <w:spacing w:before="315" w:after="105" w:line="360" w:lineRule="auto"/>
        <w:ind w:left="-30"/>
        <w:jc w:val="left"/>
      </w:pPr>
      <w:bookmarkStart w:id="83" w:name="二_城市级别排名"/>
      <w:r>
        <w:rPr>
          <w:rFonts w:ascii="inter" w:hAnsi="inter" w:eastAsia="inter" w:cs="inter"/>
          <w:b/>
          <w:color w:val="000000"/>
          <w:sz w:val="24"/>
        </w:rPr>
        <w:t>（二）城市级别排名</w:t>
      </w:r>
      <w:r>
        <w:fldChar w:fldCharType="begin"/>
      </w:r>
      <w:r>
        <w:instrText xml:space="preserve"> HYPERLINK \l "fn19"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[19]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83"/>
    </w:p>
    <w:p w14:paraId="6F3738D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600万+富裕家庭分布</w:t>
      </w:r>
      <w:r>
        <w:rPr>
          <w:rFonts w:ascii="inter" w:hAnsi="inter" w:eastAsia="inter" w:cs="inter"/>
          <w:color w:val="000000"/>
        </w:rPr>
        <w:t>：</w:t>
      </w:r>
    </w:p>
    <w:p w14:paraId="03CF63B0">
      <w:pPr>
        <w:numPr>
          <w:ilvl w:val="0"/>
          <w:numId w:val="5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北京、上海、香港：各&gt;50万户</w:t>
      </w:r>
    </w:p>
    <w:p w14:paraId="097B8712">
      <w:pPr>
        <w:numPr>
          <w:ilvl w:val="0"/>
          <w:numId w:val="5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深圳、广州、杭州、宁波：各&gt;10万户</w:t>
      </w:r>
    </w:p>
    <w:p w14:paraId="4BA43499">
      <w:pPr>
        <w:numPr>
          <w:ilvl w:val="0"/>
          <w:numId w:val="5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其余城市：&lt;5万户</w:t>
      </w:r>
    </w:p>
    <w:p w14:paraId="6E19CFE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1000万+高净值家庭分布</w:t>
      </w:r>
      <w:r>
        <w:rPr>
          <w:rFonts w:ascii="inter" w:hAnsi="inter" w:eastAsia="inter" w:cs="inter"/>
          <w:color w:val="000000"/>
        </w:rPr>
        <w:t>：</w:t>
      </w:r>
    </w:p>
    <w:p w14:paraId="3A41927A">
      <w:pPr>
        <w:numPr>
          <w:ilvl w:val="0"/>
          <w:numId w:val="6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广东29.8万户（全国最多）</w:t>
      </w:r>
    </w:p>
    <w:p w14:paraId="7B26C238">
      <w:pPr>
        <w:numPr>
          <w:ilvl w:val="0"/>
          <w:numId w:val="6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北京29.6万户</w:t>
      </w:r>
    </w:p>
    <w:p w14:paraId="111E01AC">
      <w:pPr>
        <w:numPr>
          <w:ilvl w:val="0"/>
          <w:numId w:val="6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上海26.3万户</w:t>
      </w:r>
    </w:p>
    <w:p w14:paraId="13C9F7BD">
      <w:pPr>
        <w:numPr>
          <w:ilvl w:val="0"/>
          <w:numId w:val="6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浙江21.3万户</w:t>
      </w:r>
    </w:p>
    <w:p w14:paraId="53CFB5FD">
      <w:pPr>
        <w:spacing w:before="315" w:after="105" w:line="360" w:lineRule="auto"/>
        <w:ind w:left="-30"/>
        <w:jc w:val="left"/>
      </w:pPr>
      <w:bookmarkStart w:id="84" w:name="二_高净值人群的构成"/>
      <w:r>
        <w:rPr>
          <w:rFonts w:ascii="inter" w:hAnsi="inter" w:eastAsia="inter" w:cs="inter"/>
          <w:b/>
          <w:color w:val="000000"/>
          <w:sz w:val="24"/>
        </w:rPr>
        <w:t>二、高净值人群的构成</w:t>
      </w:r>
      <w:bookmarkEnd w:id="84"/>
    </w:p>
    <w:p w14:paraId="2FF119FA">
      <w:pPr>
        <w:spacing w:before="315" w:after="105" w:line="360" w:lineRule="auto"/>
        <w:ind w:left="-30"/>
        <w:jc w:val="left"/>
      </w:pPr>
      <w:bookmarkStart w:id="85" w:name="一_职业与行业"/>
      <w:r>
        <w:rPr>
          <w:rFonts w:ascii="inter" w:hAnsi="inter" w:eastAsia="inter" w:cs="inter"/>
          <w:b/>
          <w:color w:val="000000"/>
          <w:sz w:val="24"/>
        </w:rPr>
        <w:t>（一）职业与行业</w:t>
      </w:r>
      <w:r>
        <w:fldChar w:fldCharType="begin"/>
      </w:r>
      <w:r>
        <w:instrText xml:space="preserve"> HYPERLINK \l "fn20"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[20]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85"/>
    </w:p>
    <w:p w14:paraId="62E805F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高净值人群构成</w:t>
      </w:r>
      <w:r>
        <w:rPr>
          <w:rFonts w:ascii="inter" w:hAnsi="inter" w:eastAsia="inter" w:cs="inter"/>
          <w:color w:val="000000"/>
        </w:rPr>
        <w:t>：</w:t>
      </w:r>
    </w:p>
    <w:p w14:paraId="6614D2C0">
      <w:pPr>
        <w:numPr>
          <w:ilvl w:val="0"/>
          <w:numId w:val="6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企业主：占54%（超高净值中占80%）</w:t>
      </w:r>
    </w:p>
    <w:p w14:paraId="64D29745">
      <w:pPr>
        <w:numPr>
          <w:ilvl w:val="0"/>
          <w:numId w:val="6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职业经理人：占比约20%</w:t>
      </w:r>
    </w:p>
    <w:p w14:paraId="6BA423BA">
      <w:pPr>
        <w:numPr>
          <w:ilvl w:val="0"/>
          <w:numId w:val="6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投资者与创业者：占比约15%</w:t>
      </w:r>
    </w:p>
    <w:p w14:paraId="19DBFC06">
      <w:pPr>
        <w:numPr>
          <w:ilvl w:val="0"/>
          <w:numId w:val="6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其他高级专业人士：占比约11%</w:t>
      </w:r>
    </w:p>
    <w:p w14:paraId="2D8D22F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主要行业</w:t>
      </w:r>
      <w:r>
        <w:rPr>
          <w:rFonts w:ascii="inter" w:hAnsi="inter" w:eastAsia="inter" w:cs="inter"/>
          <w:color w:val="000000"/>
        </w:rPr>
        <w:t>：</w:t>
      </w:r>
    </w:p>
    <w:p w14:paraId="6DCA5C52">
      <w:pPr>
        <w:numPr>
          <w:ilvl w:val="0"/>
          <w:numId w:val="6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房地产开发：曾为主要来源（现在式微）</w:t>
      </w:r>
    </w:p>
    <w:p w14:paraId="0EB8CB1A">
      <w:pPr>
        <w:numPr>
          <w:ilvl w:val="0"/>
          <w:numId w:val="6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TMT/互联网：新兴富豪来源</w:t>
      </w:r>
    </w:p>
    <w:p w14:paraId="1B3A69E3">
      <w:pPr>
        <w:numPr>
          <w:ilvl w:val="0"/>
          <w:numId w:val="6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制造业与外贸：传统富豪来源</w:t>
      </w:r>
    </w:p>
    <w:p w14:paraId="3F8D1B98">
      <w:pPr>
        <w:numPr>
          <w:ilvl w:val="0"/>
          <w:numId w:val="6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金融投资：高回报行业</w:t>
      </w:r>
    </w:p>
    <w:p w14:paraId="7D17496B">
      <w:pPr>
        <w:spacing w:before="315" w:after="105" w:line="360" w:lineRule="auto"/>
        <w:ind w:left="-30"/>
        <w:jc w:val="left"/>
      </w:pPr>
      <w:bookmarkStart w:id="86" w:name="二_资产配置"/>
      <w:r>
        <w:rPr>
          <w:rFonts w:ascii="inter" w:hAnsi="inter" w:eastAsia="inter" w:cs="inter"/>
          <w:b/>
          <w:color w:val="000000"/>
          <w:sz w:val="24"/>
        </w:rPr>
        <w:t>（二）资产配置</w:t>
      </w:r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[12]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r>
        <w:fldChar w:fldCharType="begin"/>
      </w:r>
      <w:r>
        <w:instrText xml:space="preserve"> HYPERLINK \l "fn20"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[20]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86"/>
    </w:p>
    <w:p w14:paraId="6DF8676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高净值家庭的资产结构</w:t>
      </w:r>
      <w:r>
        <w:rPr>
          <w:rFonts w:ascii="inter" w:hAnsi="inter" w:eastAsia="inter" w:cs="inter"/>
          <w:color w:val="000000"/>
        </w:rPr>
        <w:t>：</w:t>
      </w:r>
    </w:p>
    <w:p w14:paraId="6F722BB9">
      <w:pPr>
        <w:numPr>
          <w:ilvl w:val="0"/>
          <w:numId w:val="6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企业资产：占63%（对超高净值家庭更是73%）</w:t>
      </w:r>
    </w:p>
    <w:p w14:paraId="395F5AC5">
      <w:pPr>
        <w:numPr>
          <w:ilvl w:val="0"/>
          <w:numId w:val="6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房产资产：占24%</w:t>
      </w:r>
    </w:p>
    <w:p w14:paraId="694787AF">
      <w:pPr>
        <w:numPr>
          <w:ilvl w:val="0"/>
          <w:numId w:val="6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金融资产：占8%（可投资资产中）</w:t>
      </w:r>
    </w:p>
    <w:p w14:paraId="7BF37C68">
      <w:pPr>
        <w:numPr>
          <w:ilvl w:val="0"/>
          <w:numId w:val="6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其他：占5%</w:t>
      </w:r>
    </w:p>
    <w:p w14:paraId="3C1CC91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可投资资产规模</w:t>
      </w:r>
      <w:r>
        <w:rPr>
          <w:rFonts w:ascii="inter" w:hAnsi="inter" w:eastAsia="inter" w:cs="inter"/>
          <w:color w:val="000000"/>
        </w:rPr>
        <w:t xml:space="preserve"> （除自住房）：</w:t>
      </w:r>
    </w:p>
    <w:p w14:paraId="54E16FCC">
      <w:pPr>
        <w:numPr>
          <w:ilvl w:val="0"/>
          <w:numId w:val="6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千万资产家庭平均可投资资产：160万元</w:t>
      </w:r>
    </w:p>
    <w:p w14:paraId="6A540B77">
      <w:pPr>
        <w:numPr>
          <w:ilvl w:val="0"/>
          <w:numId w:val="6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亿元资产家庭平均可投资资产：1600万元</w:t>
      </w:r>
    </w:p>
    <w:p w14:paraId="62BB477F">
      <w:pPr>
        <w:spacing w:before="315" w:after="105" w:line="360" w:lineRule="auto"/>
        <w:ind w:left="-30"/>
        <w:jc w:val="left"/>
      </w:pPr>
      <w:bookmarkStart w:id="87" w:name="三_高净值人群的焦虑与转移趋势"/>
      <w:r>
        <w:rPr>
          <w:rFonts w:ascii="inter" w:hAnsi="inter" w:eastAsia="inter" w:cs="inter"/>
          <w:b/>
          <w:color w:val="000000"/>
          <w:sz w:val="24"/>
        </w:rPr>
        <w:t>三、高净值人群的焦虑与转移趋势</w:t>
      </w:r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[15]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87"/>
    </w:p>
    <w:p w14:paraId="7A2CB06A">
      <w:pPr>
        <w:spacing w:before="315" w:after="105" w:line="360" w:lineRule="auto"/>
        <w:ind w:left="-30"/>
        <w:jc w:val="left"/>
      </w:pPr>
      <w:bookmarkStart w:id="88" w:name="一_财富缩水与转移"/>
      <w:r>
        <w:rPr>
          <w:rFonts w:ascii="inter" w:hAnsi="inter" w:eastAsia="inter" w:cs="inter"/>
          <w:b/>
          <w:color w:val="000000"/>
          <w:sz w:val="24"/>
        </w:rPr>
        <w:t>（一）财富缩水与转移</w:t>
      </w:r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[15]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88"/>
    </w:p>
    <w:p w14:paraId="4D8B062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最新数据</w:t>
      </w:r>
      <w:r>
        <w:rPr>
          <w:rFonts w:ascii="inter" w:hAnsi="inter" w:eastAsia="inter" w:cs="inter"/>
          <w:color w:val="000000"/>
        </w:rPr>
        <w:t>：</w:t>
      </w:r>
    </w:p>
    <w:p w14:paraId="6D6CD9C1">
      <w:pPr>
        <w:numPr>
          <w:ilvl w:val="0"/>
          <w:numId w:val="6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近4成高净值家庭考虑移居境外</w:t>
      </w:r>
    </w:p>
    <w:p w14:paraId="502FB83A">
      <w:pPr>
        <w:numPr>
          <w:ilvl w:val="0"/>
          <w:numId w:val="6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中国成为全球最多百万富翁流出的国家（2024年流出15,200人）</w:t>
      </w:r>
    </w:p>
    <w:p w14:paraId="70629E62">
      <w:pPr>
        <w:numPr>
          <w:ilvl w:val="0"/>
          <w:numId w:val="6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赴美移民的中国人数持续增加</w:t>
      </w:r>
    </w:p>
    <w:p w14:paraId="1848EA7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原因分析</w:t>
      </w:r>
      <w:r>
        <w:rPr>
          <w:rFonts w:ascii="inter" w:hAnsi="inter" w:eastAsia="inter" w:cs="inter"/>
          <w:color w:val="000000"/>
        </w:rPr>
        <w:t>：</w:t>
      </w:r>
    </w:p>
    <w:p w14:paraId="2EE79098">
      <w:pPr>
        <w:numPr>
          <w:ilvl w:val="0"/>
          <w:numId w:val="6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房地产投资亏损（多数人持有7-8套房，价值缩水）</w:t>
      </w:r>
    </w:p>
    <w:p w14:paraId="4971298D">
      <w:pPr>
        <w:numPr>
          <w:ilvl w:val="0"/>
          <w:numId w:val="6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经济下行与政治不确定性</w:t>
      </w:r>
    </w:p>
    <w:p w14:paraId="722818F2">
      <w:pPr>
        <w:numPr>
          <w:ilvl w:val="0"/>
          <w:numId w:val="6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教育、医疗、环境考量</w:t>
      </w:r>
    </w:p>
    <w:p w14:paraId="2D218C77">
      <w:pPr>
        <w:numPr>
          <w:ilvl w:val="0"/>
          <w:numId w:val="6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资产转移与风险规避</w:t>
      </w:r>
    </w:p>
    <w:p w14:paraId="2A592A1C">
      <w:pPr>
        <w:spacing w:before="315" w:after="105" w:line="360" w:lineRule="auto"/>
        <w:ind w:left="-30"/>
        <w:jc w:val="left"/>
      </w:pPr>
      <w:bookmarkStart w:id="89" w:name="二_投资战略转变"/>
      <w:r>
        <w:rPr>
          <w:rFonts w:ascii="inter" w:hAnsi="inter" w:eastAsia="inter" w:cs="inter"/>
          <w:b/>
          <w:color w:val="000000"/>
          <w:sz w:val="24"/>
        </w:rPr>
        <w:t>（二）投资战略转变</w:t>
      </w:r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[12]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89"/>
    </w:p>
    <w:p w14:paraId="64B09BD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2024-2025年高净值人群的新动向</w:t>
      </w:r>
      <w:r>
        <w:rPr>
          <w:rFonts w:ascii="inter" w:hAnsi="inter" w:eastAsia="inter" w:cs="inter"/>
          <w:color w:val="000000"/>
        </w:rPr>
        <w:t>：</w:t>
      </w:r>
    </w:p>
    <w:p w14:paraId="6F9D3357">
      <w:pPr>
        <w:numPr>
          <w:ilvl w:val="0"/>
          <w:numId w:val="6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86%考虑境外投资</w:t>
      </w:r>
    </w:p>
    <w:p w14:paraId="08BD3F24">
      <w:pPr>
        <w:numPr>
          <w:ilvl w:val="0"/>
          <w:numId w:val="6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境外资产占可投资资产的平均16%</w:t>
      </w:r>
    </w:p>
    <w:p w14:paraId="6AD666C8">
      <w:pPr>
        <w:numPr>
          <w:ilvl w:val="0"/>
          <w:numId w:val="6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主要投资方向：美元资产、海外房产、国际股票</w:t>
      </w:r>
    </w:p>
    <w:p w14:paraId="656343C9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58E398B">
      <w:pPr>
        <w:spacing w:before="315" w:after="105" w:line="360" w:lineRule="auto"/>
        <w:ind w:left="-30"/>
        <w:jc w:val="left"/>
      </w:pPr>
      <w:bookmarkStart w:id="90" w:name="第七部分_社会角色与经济意义"/>
      <w:r>
        <w:rPr>
          <w:rFonts w:ascii="inter" w:hAnsi="inter" w:eastAsia="inter" w:cs="inter"/>
          <w:b/>
          <w:color w:val="000000"/>
          <w:sz w:val="24"/>
        </w:rPr>
        <w:t>第七部分 社会角色与经济意义</w:t>
      </w:r>
      <w:bookmarkEnd w:id="90"/>
    </w:p>
    <w:p w14:paraId="52281834">
      <w:pPr>
        <w:spacing w:before="315" w:after="105" w:line="360" w:lineRule="auto"/>
        <w:ind w:left="-30"/>
        <w:jc w:val="left"/>
      </w:pPr>
      <w:bookmarkStart w:id="91" w:name="一_中产阶层的_生产者_消费者_双重身份"/>
      <w:r>
        <w:rPr>
          <w:rFonts w:ascii="inter" w:hAnsi="inter" w:eastAsia="inter" w:cs="inter"/>
          <w:b/>
          <w:color w:val="000000"/>
          <w:sz w:val="24"/>
        </w:rPr>
        <w:t>一、中产阶层的"生产者-消费者"双重身份</w:t>
      </w:r>
      <w:bookmarkEnd w:id="91"/>
    </w:p>
    <w:p w14:paraId="27625650">
      <w:pPr>
        <w:spacing w:before="315" w:after="105" w:line="360" w:lineRule="auto"/>
        <w:ind w:left="-30"/>
        <w:jc w:val="left"/>
      </w:pPr>
      <w:bookmarkStart w:id="92" w:name="一_作为生产者"/>
      <w:r>
        <w:rPr>
          <w:rFonts w:ascii="inter" w:hAnsi="inter" w:eastAsia="inter" w:cs="inter"/>
          <w:b/>
          <w:color w:val="000000"/>
          <w:sz w:val="24"/>
        </w:rPr>
        <w:t>（一）作为生产者</w:t>
      </w:r>
      <w:r>
        <w:fldChar w:fldCharType="begin"/>
      </w:r>
      <w:r>
        <w:instrText xml:space="preserve"> HYPERLINK \l "fn21"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[21]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92"/>
    </w:p>
    <w:p w14:paraId="6025EC48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中产阶层是现代经济的核心驱动力：</w:t>
      </w:r>
    </w:p>
    <w:p w14:paraId="4C0A48E5">
      <w:pPr>
        <w:numPr>
          <w:ilvl w:val="0"/>
          <w:numId w:val="6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占劳动力的30-40%，却创造60%+的GDP</w:t>
      </w:r>
    </w:p>
    <w:p w14:paraId="5E8848AE">
      <w:pPr>
        <w:numPr>
          <w:ilvl w:val="0"/>
          <w:numId w:val="6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技能密集型产业（TMT、金融、医疗）的骨干</w:t>
      </w:r>
    </w:p>
    <w:p w14:paraId="276E3413">
      <w:pPr>
        <w:numPr>
          <w:ilvl w:val="0"/>
          <w:numId w:val="6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创新创业的主要发起人</w:t>
      </w:r>
    </w:p>
    <w:p w14:paraId="082BCDC2">
      <w:pPr>
        <w:spacing w:before="315" w:after="105" w:line="360" w:lineRule="auto"/>
        <w:ind w:left="-30"/>
        <w:jc w:val="left"/>
      </w:pPr>
      <w:bookmarkStart w:id="93" w:name="二_作为消费者"/>
      <w:r>
        <w:rPr>
          <w:rFonts w:ascii="inter" w:hAnsi="inter" w:eastAsia="inter" w:cs="inter"/>
          <w:b/>
          <w:color w:val="000000"/>
          <w:sz w:val="24"/>
        </w:rPr>
        <w:t>（二）作为消费者</w:t>
      </w:r>
      <w:r>
        <w:fldChar w:fldCharType="begin"/>
      </w:r>
      <w:r>
        <w:instrText xml:space="preserve"> HYPERLINK \l "fn21"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[21]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[8]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93"/>
    </w:p>
    <w:p w14:paraId="6536116B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中产是消费市场的实际主体：</w:t>
      </w:r>
    </w:p>
    <w:p w14:paraId="378147A2">
      <w:pPr>
        <w:numPr>
          <w:ilvl w:val="0"/>
          <w:numId w:val="6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消费总额占社会消费零售总额的40-50%</w:t>
      </w:r>
    </w:p>
    <w:p w14:paraId="2623480A">
      <w:pPr>
        <w:numPr>
          <w:ilvl w:val="0"/>
          <w:numId w:val="6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高端消费品、服务消费的主要购买力</w:t>
      </w:r>
    </w:p>
    <w:p w14:paraId="6A6549A8">
      <w:pPr>
        <w:numPr>
          <w:ilvl w:val="0"/>
          <w:numId w:val="6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未来需求的指向标</w:t>
      </w:r>
    </w:p>
    <w:p w14:paraId="3BBFBA90">
      <w:pPr>
        <w:spacing w:before="315" w:after="105" w:line="360" w:lineRule="auto"/>
        <w:ind w:left="-30"/>
        <w:jc w:val="left"/>
      </w:pPr>
      <w:bookmarkStart w:id="94" w:name="三_双重身份的矛盾"/>
      <w:r>
        <w:rPr>
          <w:rFonts w:ascii="inter" w:hAnsi="inter" w:eastAsia="inter" w:cs="inter"/>
          <w:b/>
          <w:color w:val="000000"/>
          <w:sz w:val="24"/>
        </w:rPr>
        <w:t>（三）双重身份的矛盾</w:t>
      </w:r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[8]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94"/>
    </w:p>
    <w:p w14:paraId="4A0D847B">
      <w:pPr>
        <w:spacing w:after="210" w:line="360" w:lineRule="auto"/>
      </w:pPr>
      <w:r>
        <w:rPr>
          <w:rFonts w:ascii="inter" w:hAnsi="inter" w:eastAsia="inter" w:cs="inter"/>
          <w:color w:val="000000"/>
        </w:rPr>
        <w:t>当前面临的悖论：</w:t>
      </w:r>
    </w:p>
    <w:p w14:paraId="77ECF3E3">
      <w:pPr>
        <w:numPr>
          <w:ilvl w:val="0"/>
          <w:numId w:val="7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作为生产者</w:t>
      </w:r>
      <w:r>
        <w:rPr>
          <w:rFonts w:ascii="inter" w:hAnsi="inter" w:eastAsia="inter" w:cs="inter"/>
          <w:color w:val="000000"/>
          <w:sz w:val="21"/>
        </w:rPr>
        <w:t>：年龄歧视、职业不稳定性增加</w:t>
      </w:r>
    </w:p>
    <w:p w14:paraId="2386ADC0">
      <w:pPr>
        <w:numPr>
          <w:ilvl w:val="0"/>
          <w:numId w:val="7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作为消费者</w:t>
      </w:r>
      <w:r>
        <w:rPr>
          <w:rFonts w:ascii="inter" w:hAnsi="inter" w:eastAsia="inter" w:cs="inter"/>
          <w:color w:val="000000"/>
          <w:sz w:val="21"/>
        </w:rPr>
        <w:t>：收入增速放缓，消费欲望被压抑</w:t>
      </w:r>
    </w:p>
    <w:p w14:paraId="793ED0C1">
      <w:pPr>
        <w:spacing w:before="315" w:after="105" w:line="360" w:lineRule="auto"/>
        <w:ind w:left="-30"/>
        <w:jc w:val="left"/>
      </w:pPr>
      <w:bookmarkStart w:id="95" w:name="二_中产对社会稳定的重要性"/>
      <w:r>
        <w:rPr>
          <w:rFonts w:ascii="inter" w:hAnsi="inter" w:eastAsia="inter" w:cs="inter"/>
          <w:b/>
          <w:color w:val="000000"/>
          <w:sz w:val="24"/>
        </w:rPr>
        <w:t>二、中产对社会稳定的重要性</w:t>
      </w:r>
      <w:bookmarkEnd w:id="95"/>
    </w:p>
    <w:p w14:paraId="10E36550">
      <w:pPr>
        <w:spacing w:before="315" w:after="105" w:line="360" w:lineRule="auto"/>
        <w:ind w:left="-30"/>
        <w:jc w:val="left"/>
      </w:pPr>
      <w:bookmarkStart w:id="96" w:name="一_安全阀_功能"/>
      <w:r>
        <w:rPr>
          <w:rFonts w:ascii="inter" w:hAnsi="inter" w:eastAsia="inter" w:cs="inter"/>
          <w:b/>
          <w:color w:val="000000"/>
          <w:sz w:val="24"/>
        </w:rPr>
        <w:t>（一）"安全阀"功能</w:t>
      </w:r>
      <w:bookmarkEnd w:id="96"/>
    </w:p>
    <w:p w14:paraId="332CFB7B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中产的稳定与否直接影响社会稳定：</w:t>
      </w:r>
    </w:p>
    <w:p w14:paraId="21487B01">
      <w:pPr>
        <w:numPr>
          <w:ilvl w:val="0"/>
          <w:numId w:val="7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中产满足感下降→社会不稳定风险上升</w:t>
      </w:r>
    </w:p>
    <w:p w14:paraId="339B3D9A">
      <w:pPr>
        <w:numPr>
          <w:ilvl w:val="0"/>
          <w:numId w:val="7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中产财务困境→基层社会服务承压</w:t>
      </w:r>
    </w:p>
    <w:p w14:paraId="6796A1B6">
      <w:pPr>
        <w:numPr>
          <w:ilvl w:val="0"/>
          <w:numId w:val="7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中产教育焦虑→人口出生率下降</w:t>
      </w:r>
    </w:p>
    <w:p w14:paraId="4C35155D">
      <w:pPr>
        <w:spacing w:before="315" w:after="105" w:line="360" w:lineRule="auto"/>
        <w:ind w:left="-30"/>
        <w:jc w:val="left"/>
      </w:pPr>
      <w:bookmarkStart w:id="97" w:name="二_代际流动性的担忧"/>
      <w:r>
        <w:rPr>
          <w:rFonts w:ascii="inter" w:hAnsi="inter" w:eastAsia="inter" w:cs="inter"/>
          <w:b/>
          <w:color w:val="000000"/>
          <w:sz w:val="24"/>
        </w:rPr>
        <w:t>（二）代际流动性的担忧</w:t>
      </w:r>
      <w:r>
        <w:fldChar w:fldCharType="begin"/>
      </w:r>
      <w:r>
        <w:instrText xml:space="preserve"> HYPERLINK \l "fn22"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[22]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t>[5]</w:t>
      </w:r>
      <w:r>
        <w:rPr>
          <w:rFonts w:ascii="inter" w:hAnsi="inter" w:eastAsia="inter" w:cs="inter"/>
          <w:b/>
          <w:color w:val="000000"/>
          <w:sz w:val="24"/>
          <w:u w:val="single"/>
          <w:vertAlign w:val="superscript"/>
        </w:rPr>
        <w:fldChar w:fldCharType="end"/>
      </w:r>
      <w:bookmarkEnd w:id="97"/>
    </w:p>
    <w:p w14:paraId="0BB4163E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中产最大的焦虑来自</w:t>
      </w:r>
      <w:r>
        <w:rPr>
          <w:rFonts w:ascii="inter" w:hAnsi="inter" w:eastAsia="inter" w:cs="inter"/>
          <w:b/>
          <w:color w:val="000000"/>
        </w:rPr>
        <w:t>阶层下滑风险</w:t>
      </w:r>
      <w:r>
        <w:rPr>
          <w:rFonts w:ascii="inter" w:hAnsi="inter" w:eastAsia="inter" w:cs="inter"/>
          <w:color w:val="000000"/>
        </w:rPr>
        <w:t>：</w:t>
      </w:r>
    </w:p>
    <w:p w14:paraId="6479AE52">
      <w:pPr>
        <w:numPr>
          <w:ilvl w:val="0"/>
          <w:numId w:val="7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"怕被打回原形"的心理普遍</w:t>
      </w:r>
    </w:p>
    <w:p w14:paraId="3E57A4F0">
      <w:pPr>
        <w:numPr>
          <w:ilvl w:val="0"/>
          <w:numId w:val="7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对子女教育的过度投入源于"担心输在起跑线"</w:t>
      </w:r>
    </w:p>
    <w:p w14:paraId="3C991D9A">
      <w:pPr>
        <w:numPr>
          <w:ilvl w:val="0"/>
          <w:numId w:val="7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这反映出对向下流动的深层恐惧</w:t>
      </w:r>
    </w:p>
    <w:p w14:paraId="73ED22E1">
      <w:pPr>
        <w:spacing w:before="315" w:after="105" w:line="360" w:lineRule="auto"/>
        <w:ind w:left="-30"/>
        <w:jc w:val="left"/>
      </w:pPr>
      <w:bookmarkStart w:id="98" w:name="三_中产与共同富裕的关系"/>
      <w:r>
        <w:rPr>
          <w:rFonts w:ascii="inter" w:hAnsi="inter" w:eastAsia="inter" w:cs="inter"/>
          <w:b/>
          <w:color w:val="000000"/>
          <w:sz w:val="24"/>
        </w:rPr>
        <w:t>三、中产与共同富裕的关系</w:t>
      </w:r>
      <w:bookmarkEnd w:id="98"/>
    </w:p>
    <w:p w14:paraId="1C8FF893">
      <w:pPr>
        <w:spacing w:after="210" w:line="360" w:lineRule="auto"/>
      </w:pPr>
      <w:r>
        <w:rPr>
          <w:rFonts w:ascii="inter" w:hAnsi="inter" w:eastAsia="inter" w:cs="inter"/>
          <w:color w:val="000000"/>
        </w:rPr>
        <w:t>从国家战略层面，扩大中产规模是共同富裕的关键路径：</w:t>
      </w:r>
      <w:bookmarkStart w:id="99" w:name="fnref5_2"/>
      <w:bookmarkEnd w:id="99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00" w:name="fnref1_7"/>
      <w:bookmarkEnd w:id="100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045D0A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未来10年的目标</w:t>
      </w:r>
      <w:r>
        <w:rPr>
          <w:rFonts w:ascii="inter" w:hAnsi="inter" w:eastAsia="inter" w:cs="inter"/>
          <w:color w:val="000000"/>
        </w:rPr>
        <w:t>：</w:t>
      </w:r>
    </w:p>
    <w:p w14:paraId="1CC3F866">
      <w:pPr>
        <w:numPr>
          <w:ilvl w:val="0"/>
          <w:numId w:val="7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将现有3亿农民工转为真正的城市新市民（中产预备队）</w:t>
      </w:r>
    </w:p>
    <w:p w14:paraId="3C9D3E39">
      <w:pPr>
        <w:numPr>
          <w:ilvl w:val="0"/>
          <w:numId w:val="7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将2亿脆弱型中产提升为稳定中产</w:t>
      </w:r>
    </w:p>
    <w:p w14:paraId="6AF7CCA8">
      <w:pPr>
        <w:numPr>
          <w:ilvl w:val="0"/>
          <w:numId w:val="7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从现在的4亿中产扩展到10亿中产</w:t>
      </w:r>
    </w:p>
    <w:p w14:paraId="3D52023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实现路径</w:t>
      </w:r>
      <w:r>
        <w:rPr>
          <w:rFonts w:ascii="inter" w:hAnsi="inter" w:eastAsia="inter" w:cs="inter"/>
          <w:color w:val="000000"/>
        </w:rPr>
        <w:t>：</w:t>
      </w:r>
    </w:p>
    <w:p w14:paraId="09D2FFAC">
      <w:pPr>
        <w:numPr>
          <w:ilvl w:val="0"/>
          <w:numId w:val="7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制度保障</w:t>
      </w:r>
      <w:r>
        <w:rPr>
          <w:rFonts w:ascii="inter" w:hAnsi="inter" w:eastAsia="inter" w:cs="inter"/>
          <w:color w:val="000000"/>
          <w:sz w:val="21"/>
        </w:rPr>
        <w:t>：完善社保、医保、教保、养老金制度</w:t>
      </w:r>
    </w:p>
    <w:p w14:paraId="4BE24CF8">
      <w:pPr>
        <w:numPr>
          <w:ilvl w:val="0"/>
          <w:numId w:val="7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收入提升</w:t>
      </w:r>
      <w:r>
        <w:rPr>
          <w:rFonts w:ascii="inter" w:hAnsi="inter" w:eastAsia="inter" w:cs="inter"/>
          <w:color w:val="000000"/>
          <w:sz w:val="21"/>
        </w:rPr>
        <w:t>：提高劳动报酬占国民收入比重</w:t>
      </w:r>
    </w:p>
    <w:p w14:paraId="0755408F">
      <w:pPr>
        <w:numPr>
          <w:ilvl w:val="0"/>
          <w:numId w:val="7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产业升级</w:t>
      </w:r>
      <w:r>
        <w:rPr>
          <w:rFonts w:ascii="inter" w:hAnsi="inter" w:eastAsia="inter" w:cs="inter"/>
          <w:color w:val="000000"/>
          <w:sz w:val="21"/>
        </w:rPr>
        <w:t>：创造更多高质量就业机会</w:t>
      </w:r>
    </w:p>
    <w:p w14:paraId="1760BB02">
      <w:pPr>
        <w:numPr>
          <w:ilvl w:val="0"/>
          <w:numId w:val="7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城市化</w:t>
      </w:r>
      <w:r>
        <w:rPr>
          <w:rFonts w:ascii="inter" w:hAnsi="inter" w:eastAsia="inter" w:cs="inter"/>
          <w:color w:val="000000"/>
          <w:sz w:val="21"/>
        </w:rPr>
        <w:t>：推进农业人口市民化</w:t>
      </w:r>
    </w:p>
    <w:p w14:paraId="0CA4F11D">
      <w:pPr>
        <w:numPr>
          <w:ilvl w:val="0"/>
          <w:numId w:val="7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市场化</w:t>
      </w:r>
      <w:r>
        <w:rPr>
          <w:rFonts w:ascii="inter" w:hAnsi="inter" w:eastAsia="inter" w:cs="inter"/>
          <w:color w:val="000000"/>
          <w:sz w:val="21"/>
        </w:rPr>
        <w:t>：发展现代服务业</w:t>
      </w:r>
    </w:p>
    <w:p w14:paraId="557D169B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EBFB27A">
      <w:pPr>
        <w:spacing w:before="315" w:after="105" w:line="360" w:lineRule="auto"/>
        <w:ind w:left="-30"/>
        <w:jc w:val="left"/>
      </w:pPr>
      <w:bookmarkStart w:id="101" w:name="第八部分_趋势预测与政策建议"/>
      <w:r>
        <w:rPr>
          <w:rFonts w:ascii="inter" w:hAnsi="inter" w:eastAsia="inter" w:cs="inter"/>
          <w:b/>
          <w:color w:val="000000"/>
          <w:sz w:val="24"/>
        </w:rPr>
        <w:t>第八部分 趋势预测与政策建议</w:t>
      </w:r>
      <w:bookmarkEnd w:id="101"/>
    </w:p>
    <w:p w14:paraId="57ADFA70">
      <w:pPr>
        <w:spacing w:before="315" w:after="105" w:line="360" w:lineRule="auto"/>
        <w:ind w:left="-30"/>
        <w:jc w:val="left"/>
      </w:pPr>
      <w:bookmarkStart w:id="102" w:name="一_中产阶层的未来趋势_2025_2035年"/>
      <w:r>
        <w:rPr>
          <w:rFonts w:ascii="inter" w:hAnsi="inter" w:eastAsia="inter" w:cs="inter"/>
          <w:b/>
          <w:color w:val="000000"/>
          <w:sz w:val="24"/>
        </w:rPr>
        <w:t>一、中产阶层的未来趋势（2025-2035年）</w:t>
      </w:r>
      <w:bookmarkEnd w:id="102"/>
    </w:p>
    <w:p w14:paraId="08513EDD">
      <w:pPr>
        <w:spacing w:before="315" w:after="105" w:line="360" w:lineRule="auto"/>
        <w:ind w:left="-30"/>
        <w:jc w:val="left"/>
      </w:pPr>
      <w:bookmarkStart w:id="103" w:name="一_短期_2025_2027年_压力与调整并存"/>
      <w:r>
        <w:rPr>
          <w:rFonts w:ascii="inter" w:hAnsi="inter" w:eastAsia="inter" w:cs="inter"/>
          <w:b/>
          <w:color w:val="000000"/>
          <w:sz w:val="24"/>
        </w:rPr>
        <w:t>（一）短期（2025-2027年）：压力与调整并存</w:t>
      </w:r>
      <w:bookmarkEnd w:id="103"/>
    </w:p>
    <w:p w14:paraId="7958F50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预期动向</w:t>
      </w:r>
      <w:r>
        <w:rPr>
          <w:rFonts w:ascii="inter" w:hAnsi="inter" w:eastAsia="inter" w:cs="inter"/>
          <w:color w:val="000000"/>
        </w:rPr>
        <w:t>：</w:t>
      </w:r>
    </w:p>
    <w:p w14:paraId="1EDE0166">
      <w:pPr>
        <w:numPr>
          <w:ilvl w:val="0"/>
          <w:numId w:val="7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房地产市场继续调整，部分城市房价可能再跌15-20%</w:t>
      </w:r>
    </w:p>
    <w:p w14:paraId="108D04ED">
      <w:pPr>
        <w:numPr>
          <w:ilvl w:val="0"/>
          <w:numId w:val="7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中产资产配置加速调整，房产占比逐步从60%降至50%</w:t>
      </w:r>
    </w:p>
    <w:p w14:paraId="2AE978C7">
      <w:pPr>
        <w:numPr>
          <w:ilvl w:val="0"/>
          <w:numId w:val="7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消费保守趋势持续，储蓄率维持高位</w:t>
      </w:r>
    </w:p>
    <w:p w14:paraId="514E5F1C">
      <w:pPr>
        <w:numPr>
          <w:ilvl w:val="0"/>
          <w:numId w:val="7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教育、养老、医疗支出持续增长</w:t>
      </w:r>
    </w:p>
    <w:p w14:paraId="14A965B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政策应对</w:t>
      </w:r>
      <w:r>
        <w:rPr>
          <w:rFonts w:ascii="inter" w:hAnsi="inter" w:eastAsia="inter" w:cs="inter"/>
          <w:color w:val="000000"/>
        </w:rPr>
        <w:t>：</w:t>
      </w:r>
    </w:p>
    <w:p w14:paraId="79F4B4F5">
      <w:pPr>
        <w:numPr>
          <w:ilvl w:val="0"/>
          <w:numId w:val="7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加大对中产的直接税收减免力度</w:t>
      </w:r>
    </w:p>
    <w:p w14:paraId="73EA2260">
      <w:pPr>
        <w:numPr>
          <w:ilvl w:val="0"/>
          <w:numId w:val="7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完善大病医疗保险制度</w:t>
      </w:r>
    </w:p>
    <w:p w14:paraId="2F6613C7">
      <w:pPr>
        <w:numPr>
          <w:ilvl w:val="0"/>
          <w:numId w:val="7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支持教育多元化选择，缓解学区房压力</w:t>
      </w:r>
    </w:p>
    <w:p w14:paraId="1B0EDF4C">
      <w:pPr>
        <w:spacing w:before="315" w:after="105" w:line="360" w:lineRule="auto"/>
        <w:ind w:left="-30"/>
        <w:jc w:val="left"/>
      </w:pPr>
      <w:bookmarkStart w:id="104" w:name="二_中期_2028_2032年_转型与提升"/>
      <w:r>
        <w:rPr>
          <w:rFonts w:ascii="inter" w:hAnsi="inter" w:eastAsia="inter" w:cs="inter"/>
          <w:b/>
          <w:color w:val="000000"/>
          <w:sz w:val="24"/>
        </w:rPr>
        <w:t>（二）中期（2028-2032年）：转型与提升</w:t>
      </w:r>
      <w:bookmarkEnd w:id="104"/>
    </w:p>
    <w:p w14:paraId="116E50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预期方向</w:t>
      </w:r>
      <w:r>
        <w:rPr>
          <w:rFonts w:ascii="inter" w:hAnsi="inter" w:eastAsia="inter" w:cs="inter"/>
          <w:color w:val="000000"/>
        </w:rPr>
        <w:t>：</w:t>
      </w:r>
    </w:p>
    <w:p w14:paraId="6197AEF6">
      <w:pPr>
        <w:numPr>
          <w:ilvl w:val="0"/>
          <w:numId w:val="7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新兴产业（AI、生物医药、清洁能源）创造新的中产机会</w:t>
      </w:r>
    </w:p>
    <w:p w14:paraId="085AFE90">
      <w:pPr>
        <w:numPr>
          <w:ilvl w:val="0"/>
          <w:numId w:val="7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服务业扩张，养老、医疗、教育等领域中产增加</w:t>
      </w:r>
    </w:p>
    <w:p w14:paraId="2DC6EC58">
      <w:pPr>
        <w:numPr>
          <w:ilvl w:val="0"/>
          <w:numId w:val="7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国内消费逐步恢复增长动力</w:t>
      </w:r>
    </w:p>
    <w:p w14:paraId="2EB9F85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风险因素</w:t>
      </w:r>
      <w:r>
        <w:rPr>
          <w:rFonts w:ascii="inter" w:hAnsi="inter" w:eastAsia="inter" w:cs="inter"/>
          <w:color w:val="000000"/>
        </w:rPr>
        <w:t>：</w:t>
      </w:r>
    </w:p>
    <w:p w14:paraId="505CD9FC">
      <w:pPr>
        <w:numPr>
          <w:ilvl w:val="0"/>
          <w:numId w:val="7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全球化逆流对出口产业中产的冲击</w:t>
      </w:r>
    </w:p>
    <w:p w14:paraId="269C7EAC">
      <w:pPr>
        <w:numPr>
          <w:ilvl w:val="0"/>
          <w:numId w:val="7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人口老龄化加剧中产养老负担</w:t>
      </w:r>
    </w:p>
    <w:p w14:paraId="55AF0ED7">
      <w:pPr>
        <w:spacing w:before="315" w:after="105" w:line="360" w:lineRule="auto"/>
        <w:ind w:left="-30"/>
        <w:jc w:val="left"/>
      </w:pPr>
      <w:bookmarkStart w:id="105" w:name="三_长期_2033_2035年_中产主体化"/>
      <w:r>
        <w:rPr>
          <w:rFonts w:ascii="inter" w:hAnsi="inter" w:eastAsia="inter" w:cs="inter"/>
          <w:b/>
          <w:color w:val="000000"/>
          <w:sz w:val="24"/>
        </w:rPr>
        <w:t>（三）长期（2033-2035年）：中产主体化</w:t>
      </w:r>
      <w:bookmarkEnd w:id="105"/>
    </w:p>
    <w:p w14:paraId="687D6E0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理想路径</w:t>
      </w:r>
      <w:r>
        <w:rPr>
          <w:rFonts w:ascii="inter" w:hAnsi="inter" w:eastAsia="inter" w:cs="inter"/>
          <w:color w:val="000000"/>
        </w:rPr>
        <w:t>：</w:t>
      </w:r>
    </w:p>
    <w:p w14:paraId="45E88E0F">
      <w:pPr>
        <w:numPr>
          <w:ilvl w:val="0"/>
          <w:numId w:val="7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中产占社会的50%+（5亿+人口）</w:t>
      </w:r>
    </w:p>
    <w:p w14:paraId="6BC9613B">
      <w:pPr>
        <w:numPr>
          <w:ilvl w:val="0"/>
          <w:numId w:val="7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实现真正的"橄榄型"社会结构</w:t>
      </w:r>
    </w:p>
    <w:p w14:paraId="5CD730EE">
      <w:pPr>
        <w:numPr>
          <w:ilvl w:val="0"/>
          <w:numId w:val="7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共同富裕阶段初步实现</w:t>
      </w:r>
    </w:p>
    <w:p w14:paraId="2943E62D">
      <w:pPr>
        <w:spacing w:before="315" w:after="105" w:line="360" w:lineRule="auto"/>
        <w:ind w:left="-30"/>
        <w:jc w:val="left"/>
      </w:pPr>
      <w:bookmarkStart w:id="106" w:name="二_关键政策建议"/>
      <w:r>
        <w:rPr>
          <w:rFonts w:ascii="inter" w:hAnsi="inter" w:eastAsia="inter" w:cs="inter"/>
          <w:b/>
          <w:color w:val="000000"/>
          <w:sz w:val="24"/>
        </w:rPr>
        <w:t>二、关键政策建议</w:t>
      </w:r>
      <w:bookmarkEnd w:id="106"/>
    </w:p>
    <w:p w14:paraId="720FCBCE">
      <w:pPr>
        <w:spacing w:before="315" w:after="105" w:line="360" w:lineRule="auto"/>
        <w:ind w:left="-30"/>
        <w:jc w:val="left"/>
      </w:pPr>
      <w:bookmarkStart w:id="107" w:name="一_短期行动_1_2年"/>
      <w:r>
        <w:rPr>
          <w:rFonts w:ascii="inter" w:hAnsi="inter" w:eastAsia="inter" w:cs="inter"/>
          <w:b/>
          <w:color w:val="000000"/>
          <w:sz w:val="24"/>
        </w:rPr>
        <w:t>（一）短期行动（1-2年）</w:t>
      </w:r>
      <w:bookmarkEnd w:id="107"/>
    </w:p>
    <w:p w14:paraId="7077D59F">
      <w:pPr>
        <w:numPr>
          <w:ilvl w:val="0"/>
          <w:numId w:val="80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税收政策</w:t>
      </w:r>
      <w:r>
        <w:rPr>
          <w:rFonts w:ascii="inter" w:hAnsi="inter" w:eastAsia="inter" w:cs="inter"/>
          <w:color w:val="000000"/>
          <w:sz w:val="21"/>
        </w:rPr>
        <w:t>：</w:t>
      </w:r>
    </w:p>
    <w:p w14:paraId="15B7E8BC">
      <w:pPr>
        <w:numPr>
          <w:ilvl w:val="1"/>
          <w:numId w:val="8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扩大个税专项附加扣除范围</w:t>
      </w:r>
    </w:p>
    <w:p w14:paraId="4150737F">
      <w:pPr>
        <w:numPr>
          <w:ilvl w:val="1"/>
          <w:numId w:val="8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每年减轻中产家庭税负500-1000元/人</w:t>
      </w:r>
    </w:p>
    <w:p w14:paraId="37622FDC">
      <w:pPr>
        <w:numPr>
          <w:ilvl w:val="0"/>
          <w:numId w:val="80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教育政策</w:t>
      </w:r>
      <w:r>
        <w:rPr>
          <w:rFonts w:ascii="inter" w:hAnsi="inter" w:eastAsia="inter" w:cs="inter"/>
          <w:color w:val="000000"/>
          <w:sz w:val="21"/>
        </w:rPr>
        <w:t>：</w:t>
      </w:r>
    </w:p>
    <w:p w14:paraId="4906DC16">
      <w:pPr>
        <w:numPr>
          <w:ilvl w:val="1"/>
          <w:numId w:val="8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规范校外培训定价</w:t>
      </w:r>
    </w:p>
    <w:p w14:paraId="04AA360C">
      <w:pPr>
        <w:numPr>
          <w:ilvl w:val="1"/>
          <w:numId w:val="8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扩大优质教育资源，缓解学区房压力</w:t>
      </w:r>
    </w:p>
    <w:p w14:paraId="7FDEF585">
      <w:pPr>
        <w:numPr>
          <w:ilvl w:val="1"/>
          <w:numId w:val="8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支持远程教育与在线教育发展</w:t>
      </w:r>
    </w:p>
    <w:p w14:paraId="67E4762E">
      <w:pPr>
        <w:numPr>
          <w:ilvl w:val="0"/>
          <w:numId w:val="80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住房政策</w:t>
      </w:r>
      <w:r>
        <w:rPr>
          <w:rFonts w:ascii="inter" w:hAnsi="inter" w:eastAsia="inter" w:cs="inter"/>
          <w:color w:val="000000"/>
          <w:sz w:val="21"/>
        </w:rPr>
        <w:t>：</w:t>
      </w:r>
    </w:p>
    <w:p w14:paraId="63D341F9">
      <w:pPr>
        <w:numPr>
          <w:ilvl w:val="1"/>
          <w:numId w:val="8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稳定房价预期</w:t>
      </w:r>
    </w:p>
    <w:p w14:paraId="6B34B26F">
      <w:pPr>
        <w:numPr>
          <w:ilvl w:val="1"/>
          <w:numId w:val="8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推进"老旧小区改造"，提升存量房价值</w:t>
      </w:r>
    </w:p>
    <w:p w14:paraId="392E6F77">
      <w:pPr>
        <w:numPr>
          <w:ilvl w:val="1"/>
          <w:numId w:val="8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加大保障性租赁住房供应</w:t>
      </w:r>
    </w:p>
    <w:p w14:paraId="56140260">
      <w:pPr>
        <w:spacing w:before="315" w:after="105" w:line="360" w:lineRule="auto"/>
        <w:ind w:left="-30"/>
        <w:jc w:val="left"/>
      </w:pPr>
      <w:bookmarkStart w:id="108" w:name="二_中期改革_3_5年"/>
      <w:r>
        <w:rPr>
          <w:rFonts w:ascii="inter" w:hAnsi="inter" w:eastAsia="inter" w:cs="inter"/>
          <w:b/>
          <w:color w:val="000000"/>
          <w:sz w:val="24"/>
        </w:rPr>
        <w:t>（二）中期改革（3-5年）</w:t>
      </w:r>
      <w:bookmarkEnd w:id="108"/>
    </w:p>
    <w:p w14:paraId="40622166">
      <w:pPr>
        <w:numPr>
          <w:ilvl w:val="0"/>
          <w:numId w:val="81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社会保障</w:t>
      </w:r>
      <w:r>
        <w:rPr>
          <w:rFonts w:ascii="inter" w:hAnsi="inter" w:eastAsia="inter" w:cs="inter"/>
          <w:color w:val="000000"/>
          <w:sz w:val="21"/>
        </w:rPr>
        <w:t>：</w:t>
      </w:r>
    </w:p>
    <w:p w14:paraId="65135780">
      <w:pPr>
        <w:numPr>
          <w:ilvl w:val="1"/>
          <w:numId w:val="8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完善大病医疗保险，提高报销比例至80%+</w:t>
      </w:r>
    </w:p>
    <w:p w14:paraId="0BC6FB91">
      <w:pPr>
        <w:numPr>
          <w:ilvl w:val="1"/>
          <w:numId w:val="8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建立个人养老金制度，鼓励自我养老储备</w:t>
      </w:r>
    </w:p>
    <w:p w14:paraId="5B447217">
      <w:pPr>
        <w:numPr>
          <w:ilvl w:val="1"/>
          <w:numId w:val="8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推行长期护理保险试点</w:t>
      </w:r>
    </w:p>
    <w:p w14:paraId="25EC0EA5">
      <w:pPr>
        <w:numPr>
          <w:ilvl w:val="0"/>
          <w:numId w:val="81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产业升级</w:t>
      </w:r>
      <w:r>
        <w:rPr>
          <w:rFonts w:ascii="inter" w:hAnsi="inter" w:eastAsia="inter" w:cs="inter"/>
          <w:color w:val="000000"/>
          <w:sz w:val="21"/>
        </w:rPr>
        <w:t>：</w:t>
      </w:r>
    </w:p>
    <w:p w14:paraId="7544EA77">
      <w:pPr>
        <w:numPr>
          <w:ilvl w:val="1"/>
          <w:numId w:val="8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扶持服务业发展（养老、医疗、教育、文化）</w:t>
      </w:r>
    </w:p>
    <w:p w14:paraId="2C1AB3EA">
      <w:pPr>
        <w:numPr>
          <w:ilvl w:val="1"/>
          <w:numId w:val="8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创造高质量就业机会</w:t>
      </w:r>
    </w:p>
    <w:p w14:paraId="2AB78075">
      <w:pPr>
        <w:numPr>
          <w:ilvl w:val="1"/>
          <w:numId w:val="8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支持小微企业与创业创新</w:t>
      </w:r>
    </w:p>
    <w:p w14:paraId="39F4F59C">
      <w:pPr>
        <w:numPr>
          <w:ilvl w:val="0"/>
          <w:numId w:val="81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消费引导</w:t>
      </w:r>
      <w:r>
        <w:rPr>
          <w:rFonts w:ascii="inter" w:hAnsi="inter" w:eastAsia="inter" w:cs="inter"/>
          <w:color w:val="000000"/>
          <w:sz w:val="21"/>
        </w:rPr>
        <w:t>：</w:t>
      </w:r>
    </w:p>
    <w:p w14:paraId="3F6A92C1">
      <w:pPr>
        <w:numPr>
          <w:ilvl w:val="1"/>
          <w:numId w:val="8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放宽预售款监管，加快房产交付</w:t>
      </w:r>
    </w:p>
    <w:p w14:paraId="0B34533C">
      <w:pPr>
        <w:numPr>
          <w:ilvl w:val="1"/>
          <w:numId w:val="8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促进汽车消费、新能源消费</w:t>
      </w:r>
    </w:p>
    <w:p w14:paraId="1A63F39A">
      <w:pPr>
        <w:numPr>
          <w:ilvl w:val="1"/>
          <w:numId w:val="8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支持旅游、文化消费</w:t>
      </w:r>
    </w:p>
    <w:p w14:paraId="2C62FA35">
      <w:pPr>
        <w:spacing w:before="315" w:after="105" w:line="360" w:lineRule="auto"/>
        <w:ind w:left="-30"/>
        <w:jc w:val="left"/>
      </w:pPr>
      <w:bookmarkStart w:id="109" w:name="三_长期战略_5_10年"/>
      <w:r>
        <w:rPr>
          <w:rFonts w:ascii="inter" w:hAnsi="inter" w:eastAsia="inter" w:cs="inter"/>
          <w:b/>
          <w:color w:val="000000"/>
          <w:sz w:val="24"/>
        </w:rPr>
        <w:t>（三）长期战略（5-10年）</w:t>
      </w:r>
      <w:bookmarkEnd w:id="109"/>
    </w:p>
    <w:p w14:paraId="35695561">
      <w:pPr>
        <w:numPr>
          <w:ilvl w:val="0"/>
          <w:numId w:val="82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结构转变</w:t>
      </w:r>
      <w:r>
        <w:rPr>
          <w:rFonts w:ascii="inter" w:hAnsi="inter" w:eastAsia="inter" w:cs="inter"/>
          <w:color w:val="000000"/>
          <w:sz w:val="21"/>
        </w:rPr>
        <w:t>：</w:t>
      </w:r>
    </w:p>
    <w:p w14:paraId="46CD7E4B">
      <w:pPr>
        <w:numPr>
          <w:ilvl w:val="1"/>
          <w:numId w:val="8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从房地产驱动向人力资本驱动转变</w:t>
      </w:r>
    </w:p>
    <w:p w14:paraId="1A9CD050">
      <w:pPr>
        <w:numPr>
          <w:ilvl w:val="1"/>
          <w:numId w:val="8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建立可持续的高质量就业生态</w:t>
      </w:r>
    </w:p>
    <w:p w14:paraId="61CC7882">
      <w:pPr>
        <w:numPr>
          <w:ilvl w:val="1"/>
          <w:numId w:val="8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发展第三产业，创造中产就业岗位</w:t>
      </w:r>
    </w:p>
    <w:p w14:paraId="2285418E">
      <w:pPr>
        <w:numPr>
          <w:ilvl w:val="0"/>
          <w:numId w:val="82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制度创新</w:t>
      </w:r>
      <w:r>
        <w:rPr>
          <w:rFonts w:ascii="inter" w:hAnsi="inter" w:eastAsia="inter" w:cs="inter"/>
          <w:color w:val="000000"/>
          <w:sz w:val="21"/>
        </w:rPr>
        <w:t>：</w:t>
      </w:r>
    </w:p>
    <w:p w14:paraId="11565603">
      <w:pPr>
        <w:numPr>
          <w:ilvl w:val="1"/>
          <w:numId w:val="8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建立真正的累进税制</w:t>
      </w:r>
    </w:p>
    <w:p w14:paraId="617B07B2">
      <w:pPr>
        <w:numPr>
          <w:ilvl w:val="1"/>
          <w:numId w:val="8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完善社会流动性，鼓励阶层上升</w:t>
      </w:r>
    </w:p>
    <w:p w14:paraId="3CE90F31">
      <w:pPr>
        <w:numPr>
          <w:ilvl w:val="1"/>
          <w:numId w:val="8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防止贫富分化，缩小收入差距</w:t>
      </w:r>
    </w:p>
    <w:p w14:paraId="0302D66D">
      <w:pPr>
        <w:numPr>
          <w:ilvl w:val="0"/>
          <w:numId w:val="82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全球竞争力</w:t>
      </w:r>
      <w:r>
        <w:rPr>
          <w:rFonts w:ascii="inter" w:hAnsi="inter" w:eastAsia="inter" w:cs="inter"/>
          <w:color w:val="000000"/>
          <w:sz w:val="21"/>
        </w:rPr>
        <w:t>：</w:t>
      </w:r>
    </w:p>
    <w:p w14:paraId="7DD8B639">
      <w:pPr>
        <w:numPr>
          <w:ilvl w:val="1"/>
          <w:numId w:val="8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提升教育质量，培养高素质劳动力</w:t>
      </w:r>
    </w:p>
    <w:p w14:paraId="136EF9E9">
      <w:pPr>
        <w:numPr>
          <w:ilvl w:val="1"/>
          <w:numId w:val="8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支持技术创新，维持全球竞争优势</w:t>
      </w:r>
    </w:p>
    <w:p w14:paraId="59F46710">
      <w:pPr>
        <w:numPr>
          <w:ilvl w:val="1"/>
          <w:numId w:val="8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扩大中产国际参与</w:t>
      </w:r>
    </w:p>
    <w:p w14:paraId="6D5C02D4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2B456939">
      <w:pPr>
        <w:spacing w:before="315" w:after="105" w:line="360" w:lineRule="auto"/>
        <w:ind w:left="-30"/>
        <w:jc w:val="left"/>
      </w:pPr>
      <w:bookmarkStart w:id="110" w:name="结论"/>
      <w:r>
        <w:rPr>
          <w:rFonts w:ascii="inter" w:hAnsi="inter" w:eastAsia="inter" w:cs="inter"/>
          <w:b/>
          <w:color w:val="000000"/>
          <w:sz w:val="24"/>
        </w:rPr>
        <w:t>结论</w:t>
      </w:r>
      <w:bookmarkEnd w:id="110"/>
    </w:p>
    <w:p w14:paraId="1AE19407">
      <w:pPr>
        <w:spacing w:before="315" w:after="105" w:line="360" w:lineRule="auto"/>
        <w:ind w:left="-30"/>
        <w:jc w:val="left"/>
      </w:pPr>
      <w:bookmarkStart w:id="111" w:name="核心发现"/>
      <w:r>
        <w:rPr>
          <w:rFonts w:ascii="inter" w:hAnsi="inter" w:eastAsia="inter" w:cs="inter"/>
          <w:b/>
          <w:color w:val="000000"/>
          <w:sz w:val="24"/>
        </w:rPr>
        <w:t>核心发现</w:t>
      </w:r>
      <w:bookmarkEnd w:id="111"/>
    </w:p>
    <w:p w14:paraId="4A2AC4E7">
      <w:pPr>
        <w:numPr>
          <w:ilvl w:val="0"/>
          <w:numId w:val="83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中国社会经济结构已发生历史性转变</w:t>
      </w:r>
      <w:r>
        <w:rPr>
          <w:rFonts w:ascii="inter" w:hAnsi="inter" w:eastAsia="inter" w:cs="inter"/>
          <w:color w:val="000000"/>
          <w:sz w:val="21"/>
        </w:rPr>
        <w:t>：从1990年代的"倒丁字型"演变为当前的"金字塔型"，正向"橄榄型"转变。6.9亿人摆脱低收入，4亿人进入中等收入阶层。</w:t>
      </w:r>
    </w:p>
    <w:p w14:paraId="300FC5BF">
      <w:pPr>
        <w:numPr>
          <w:ilvl w:val="0"/>
          <w:numId w:val="83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中产阶层规模庞大但质量不均</w:t>
      </w:r>
      <w:r>
        <w:rPr>
          <w:rFonts w:ascii="inter" w:hAnsi="inter" w:eastAsia="inter" w:cs="inter"/>
          <w:color w:val="000000"/>
          <w:sz w:val="21"/>
        </w:rPr>
        <w:t>：广义中产4亿人，但真正的"稳定中产"（有房有车+足够储备）仅1.4亿家庭。大量"脆弱型中产"缺乏抗风险能力。</w:t>
      </w:r>
    </w:p>
    <w:p w14:paraId="08CED097">
      <w:pPr>
        <w:numPr>
          <w:ilvl w:val="0"/>
          <w:numId w:val="83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中产面临"脆弱成长期"</w:t>
      </w:r>
      <w:r>
        <w:rPr>
          <w:rFonts w:ascii="inter" w:hAnsi="inter" w:eastAsia="inter" w:cs="inter"/>
          <w:color w:val="000000"/>
          <w:sz w:val="21"/>
        </w:rPr>
        <w:t>：资产主要集中在房产（57-59%），缺乏多元化配置。房价下跌直接威胁财富。收入增速放缓，年龄歧视严重。</w:t>
      </w:r>
    </w:p>
    <w:p w14:paraId="231512C3">
      <w:pPr>
        <w:numPr>
          <w:ilvl w:val="0"/>
          <w:numId w:val="83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"四重焦虑"成为主流心理</w:t>
      </w:r>
      <w:r>
        <w:rPr>
          <w:rFonts w:ascii="inter" w:hAnsi="inter" w:eastAsia="inter" w:cs="inter"/>
          <w:color w:val="000000"/>
          <w:sz w:val="21"/>
        </w:rPr>
        <w:t>：房产贬值焦虑、收入不稳定焦虑、子女教育焦虑、养老不足焦虑。这些焦虑直接压抑消费。</w:t>
      </w:r>
    </w:p>
    <w:p w14:paraId="31C331CD">
      <w:pPr>
        <w:numPr>
          <w:ilvl w:val="0"/>
          <w:numId w:val="83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消费心理从扩张向防守转变</w:t>
      </w:r>
      <w:r>
        <w:rPr>
          <w:rFonts w:ascii="inter" w:hAnsi="inter" w:eastAsia="inter" w:cs="inter"/>
          <w:color w:val="000000"/>
          <w:sz w:val="21"/>
        </w:rPr>
        <w:t>：中产储蓄意愿强劲，消费预期谨慎。从品牌消费升级至性价比消费。这对经济增长产生长期压力。</w:t>
      </w:r>
    </w:p>
    <w:p w14:paraId="6C8C73D7">
      <w:pPr>
        <w:numPr>
          <w:ilvl w:val="0"/>
          <w:numId w:val="83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城乡与区域发展不均衡依旧</w:t>
      </w:r>
      <w:r>
        <w:rPr>
          <w:rFonts w:ascii="inter" w:hAnsi="inter" w:eastAsia="inter" w:cs="inter"/>
          <w:color w:val="000000"/>
          <w:sz w:val="21"/>
        </w:rPr>
        <w:t>：城镇中产比例是乡村的2.7倍。华东地区已形成橄榄型，而中西部仍为金字塔型。</w:t>
      </w:r>
    </w:p>
    <w:p w14:paraId="57E356A4">
      <w:pPr>
        <w:spacing w:before="315" w:after="105" w:line="360" w:lineRule="auto"/>
        <w:ind w:left="-30"/>
        <w:jc w:val="left"/>
      </w:pPr>
      <w:bookmarkStart w:id="112" w:name="关键政策启示"/>
      <w:r>
        <w:rPr>
          <w:rFonts w:ascii="inter" w:hAnsi="inter" w:eastAsia="inter" w:cs="inter"/>
          <w:b/>
          <w:color w:val="000000"/>
          <w:sz w:val="24"/>
        </w:rPr>
        <w:t>关键政策启示</w:t>
      </w:r>
      <w:bookmarkEnd w:id="112"/>
    </w:p>
    <w:p w14:paraId="57CB4D69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中国必须从"数量扩张"向"质量提升"转变：</w:t>
      </w:r>
    </w:p>
    <w:p w14:paraId="2256B43B">
      <w:pPr>
        <w:numPr>
          <w:ilvl w:val="0"/>
          <w:numId w:val="8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不仅要扩大中产规模，更要增强中产的稳定性与安全感</w:t>
      </w:r>
    </w:p>
    <w:p w14:paraId="1A9BA0C5">
      <w:pPr>
        <w:numPr>
          <w:ilvl w:val="0"/>
          <w:numId w:val="8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完善社会保障制度，而非鼓励过度房产投资</w:t>
      </w:r>
    </w:p>
    <w:p w14:paraId="1462167A">
      <w:pPr>
        <w:numPr>
          <w:ilvl w:val="0"/>
          <w:numId w:val="8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促进产业升级与就业优化，创造可持续的中产就业</w:t>
      </w:r>
    </w:p>
    <w:p w14:paraId="6E176B69">
      <w:pPr>
        <w:numPr>
          <w:ilvl w:val="0"/>
          <w:numId w:val="8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平衡"普遍增收"与"差距缩小"，防止相对贫困感上升</w:t>
      </w:r>
    </w:p>
    <w:p w14:paraId="655A20EF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中产的未来，将直接决定中国现代化的成败。当前的"脆弱成长期"需要国家、市场和家庭的三方努力来度过，才能最终实现"共同富裕"的目标。</w:t>
      </w:r>
    </w:p>
    <w:p w14:paraId="73A4B697">
      <w:pPr>
        <w:spacing w:before="210" w:after="0" w:line="360" w:lineRule="auto"/>
      </w:pPr>
      <w:r>
        <w:pict>
          <v:rect id="_x0000_s1036" o:spid="_x0000_s103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3340E92">
      <w:pPr>
        <w:spacing w:before="315" w:after="105" w:line="360" w:lineRule="auto"/>
        <w:ind w:left="-30"/>
        <w:jc w:val="left"/>
      </w:pPr>
      <w:bookmarkStart w:id="113" w:name="参考资源统计"/>
      <w:r>
        <w:rPr>
          <w:rFonts w:ascii="inter" w:hAnsi="inter" w:eastAsia="inter" w:cs="inter"/>
          <w:b/>
          <w:color w:val="000000"/>
          <w:sz w:val="24"/>
        </w:rPr>
        <w:t>参考资源统计</w:t>
      </w:r>
      <w:bookmarkEnd w:id="113"/>
    </w:p>
    <w:p w14:paraId="69B8F3B0">
      <w:pPr>
        <w:spacing w:after="210" w:line="360" w:lineRule="auto"/>
      </w:pPr>
      <w:r>
        <w:rPr>
          <w:rFonts w:ascii="inter" w:hAnsi="inter" w:eastAsia="inter" w:cs="inter"/>
          <w:color w:val="000000"/>
        </w:rPr>
        <w:t>本报告综合分析了100+份学术文献、政府统计数据、机构调查报告与权威数据源，包括：</w:t>
      </w:r>
    </w:p>
    <w:p w14:paraId="69735129">
      <w:pPr>
        <w:numPr>
          <w:ilvl w:val="0"/>
          <w:numId w:val="8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政府统计</w:t>
      </w:r>
      <w:r>
        <w:rPr>
          <w:rFonts w:ascii="inter" w:hAnsi="inter" w:eastAsia="inter" w:cs="inter"/>
          <w:color w:val="000000"/>
          <w:sz w:val="21"/>
        </w:rPr>
        <w:t>：国家统计局2024年统计公报、各省市社保数据</w:t>
      </w:r>
    </w:p>
    <w:p w14:paraId="14470A57">
      <w:pPr>
        <w:numPr>
          <w:ilvl w:val="0"/>
          <w:numId w:val="8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学术研究</w:t>
      </w:r>
      <w:r>
        <w:rPr>
          <w:rFonts w:ascii="inter" w:hAnsi="inter" w:eastAsia="inter" w:cs="inter"/>
          <w:color w:val="000000"/>
          <w:sz w:val="21"/>
        </w:rPr>
        <w:t>：北京工业大学、中国社会科学院、浙江大学等机构研究</w:t>
      </w:r>
    </w:p>
    <w:p w14:paraId="356B4BC4">
      <w:pPr>
        <w:numPr>
          <w:ilvl w:val="0"/>
          <w:numId w:val="8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行业报告</w:t>
      </w:r>
      <w:r>
        <w:rPr>
          <w:rFonts w:ascii="inter" w:hAnsi="inter" w:eastAsia="inter" w:cs="inter"/>
          <w:color w:val="000000"/>
          <w:sz w:val="21"/>
        </w:rPr>
        <w:t>：胡润财富报告、吴晓波频道白皮书、招商银行财富报告</w:t>
      </w:r>
    </w:p>
    <w:p w14:paraId="1F483020">
      <w:pPr>
        <w:numPr>
          <w:ilvl w:val="0"/>
          <w:numId w:val="8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国际对标</w:t>
      </w:r>
      <w:r>
        <w:rPr>
          <w:rFonts w:ascii="inter" w:hAnsi="inter" w:eastAsia="inter" w:cs="inter"/>
          <w:color w:val="000000"/>
          <w:sz w:val="21"/>
        </w:rPr>
        <w:t>：世界银行东亚地区研究、国际比较数据</w:t>
      </w:r>
    </w:p>
    <w:p w14:paraId="75B83F8B">
      <w:pPr>
        <w:numPr>
          <w:ilvl w:val="0"/>
          <w:numId w:val="8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一手调查</w:t>
      </w:r>
      <w:r>
        <w:rPr>
          <w:rFonts w:ascii="inter" w:hAnsi="inter" w:eastAsia="inter" w:cs="inter"/>
          <w:color w:val="000000"/>
          <w:sz w:val="21"/>
        </w:rPr>
        <w:t>：麦肯锡、贝恩、高盛等咨询机构消费与财富调查</w:t>
      </w:r>
    </w:p>
    <w:p w14:paraId="522FEBE5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816A45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报告完成时间</w:t>
      </w:r>
      <w:r>
        <w:rPr>
          <w:rFonts w:ascii="inter" w:hAnsi="inter" w:eastAsia="inter" w:cs="inter"/>
          <w:color w:val="000000"/>
        </w:rPr>
        <w:t>：2026年1月</w:t>
      </w:r>
    </w:p>
    <w:p w14:paraId="5B73BE0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数据基准</w:t>
      </w:r>
      <w:r>
        <w:rPr>
          <w:rFonts w:ascii="inter" w:hAnsi="inter" w:eastAsia="inter" w:cs="inter"/>
          <w:color w:val="000000"/>
        </w:rPr>
        <w:t>：2024年最新公布数据，回溯至2005年历史对比</w:t>
      </w:r>
    </w:p>
    <w:p w14:paraId="55915F8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适用读者</w:t>
      </w:r>
      <w:r>
        <w:rPr>
          <w:rFonts w:ascii="inter" w:hAnsi="inter" w:eastAsia="inter" w:cs="inter"/>
          <w:color w:val="000000"/>
        </w:rPr>
        <w:t>：政策制定者、经济研究者、中产阶层自我认识</w:t>
      </w:r>
      <w:r>
        <w:rPr>
          <w:rFonts w:ascii="inter" w:hAnsi="inter" w:eastAsia="inter" w:cs="inter"/>
          <w:color w:val="000000"/>
        </w:rPr>
        <w:br w:type="textWrapping"/>
      </w:r>
    </w:p>
    <w:p w14:paraId="1CB4D5A8">
      <w:pPr>
        <w:spacing w:line="360" w:lineRule="auto"/>
      </w:pPr>
      <w:r>
        <w:rPr>
          <w:rFonts w:ascii="inter" w:hAnsi="inter" w:eastAsia="inter" w:cs="inter"/>
          <w:color w:val="000000"/>
        </w:rPr>
        <w:t>⁂</w:t>
      </w:r>
    </w:p>
    <w:p w14:paraId="06FED057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234A106">
      <w:pPr>
        <w:numPr>
          <w:ilvl w:val="0"/>
          <w:numId w:val="86"/>
        </w:numPr>
        <w:spacing w:after="210" w:line="360" w:lineRule="auto"/>
      </w:pPr>
      <w:bookmarkStart w:id="114" w:name="fn1"/>
      <w:bookmarkEnd w:id="114"/>
      <w:r>
        <w:fldChar w:fldCharType="begin"/>
      </w:r>
      <w:r>
        <w:instrText xml:space="preserve"> HYPERLINK "https://journal.bjut.edu.cn/bjgydxxbskb/cn/article/pdf/preview/10.12120/bjutskxb202601013.pdf"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https://journal.bjut.edu.cn/bjgydxxbskb/cn/article/pdf/preview/10.12120/bjutskxb202601013.pdf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   </w:t>
      </w:r>
    </w:p>
    <w:p w14:paraId="4EE9BF91">
      <w:pPr>
        <w:numPr>
          <w:ilvl w:val="0"/>
          <w:numId w:val="86"/>
        </w:numPr>
        <w:spacing w:after="210" w:line="360" w:lineRule="auto"/>
      </w:pPr>
      <w:bookmarkStart w:id="115" w:name="fn2"/>
      <w:bookmarkEnd w:id="115"/>
      <w:r>
        <w:fldChar w:fldCharType="begin"/>
      </w:r>
      <w:r>
        <w:instrText xml:space="preserve"> HYPERLINK "https://cj.sina.cn/articles/view/5952915720/162d2490806702ekhg?froms=ggmp"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https://cj.sina.cn/articles/view/5952915720/162d2490806702ekhg?froms=ggmp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117595A8">
      <w:pPr>
        <w:numPr>
          <w:ilvl w:val="0"/>
          <w:numId w:val="86"/>
        </w:numPr>
        <w:spacing w:after="210" w:line="360" w:lineRule="auto"/>
      </w:pPr>
      <w:bookmarkStart w:id="116" w:name="fn3"/>
      <w:bookmarkEnd w:id="116"/>
      <w:r>
        <w:fldChar w:fldCharType="begin"/>
      </w:r>
      <w:r>
        <w:instrText xml:space="preserve"> HYPERLINK "https://www.huxiu.com/article/3357355.html"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https://www.huxiu.com/article/3357355.html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      </w:t>
      </w:r>
    </w:p>
    <w:p w14:paraId="4849760A">
      <w:pPr>
        <w:numPr>
          <w:ilvl w:val="0"/>
          <w:numId w:val="86"/>
        </w:numPr>
        <w:spacing w:after="210" w:line="360" w:lineRule="auto"/>
      </w:pPr>
      <w:bookmarkStart w:id="117" w:name="fn4"/>
      <w:bookmarkEnd w:id="117"/>
      <w:r>
        <w:fldChar w:fldCharType="begin"/>
      </w:r>
      <w:r>
        <w:instrText xml:space="preserve"> HYPERLINK "https://res.hurun.cn/file/20190910/201909101434138176288.pdf"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https://res.hurun.cn/file/20190910/201909101434138176288.pdf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   </w:t>
      </w:r>
    </w:p>
    <w:p w14:paraId="7997B864">
      <w:pPr>
        <w:numPr>
          <w:ilvl w:val="0"/>
          <w:numId w:val="86"/>
        </w:numPr>
        <w:spacing w:after="210" w:line="360" w:lineRule="auto"/>
      </w:pPr>
      <w:bookmarkStart w:id="118" w:name="fn5"/>
      <w:bookmarkEnd w:id="118"/>
      <w:r>
        <w:fldChar w:fldCharType="begin"/>
      </w:r>
      <w:r>
        <w:instrText xml:space="preserve"> HYPERLINK "https://www.163.com/dy/article/KIN15CLQ0556A3TB.html"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https://www.163.com/dy/article/KIN15CLQ0556A3TB.html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57E3E574">
      <w:pPr>
        <w:numPr>
          <w:ilvl w:val="0"/>
          <w:numId w:val="86"/>
        </w:numPr>
        <w:spacing w:after="210" w:line="360" w:lineRule="auto"/>
      </w:pPr>
      <w:bookmarkStart w:id="119" w:name="fn6"/>
      <w:bookmarkEnd w:id="119"/>
      <w:r>
        <w:fldChar w:fldCharType="begin"/>
      </w:r>
      <w:r>
        <w:instrText xml:space="preserve"> HYPERLINK "https://news.qq.com/rain/a/20230618A01R0Z00"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https://news.qq.com/rain/a/20230618A01R0Z00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BD8F257">
      <w:pPr>
        <w:numPr>
          <w:ilvl w:val="0"/>
          <w:numId w:val="86"/>
        </w:numPr>
        <w:spacing w:after="210" w:line="360" w:lineRule="auto"/>
      </w:pPr>
      <w:bookmarkStart w:id="120" w:name="fn7"/>
      <w:bookmarkEnd w:id="120"/>
      <w:r>
        <w:fldChar w:fldCharType="begin"/>
      </w:r>
      <w:r>
        <w:instrText xml:space="preserve"> HYPERLINK "https://www.stats.gov.cn/sj/zxfb/202505/t20250516_1959826.html"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https://www.stats.gov.cn/sj/zxfb/202505/t20250516_1959826.html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E9A31AC">
      <w:pPr>
        <w:numPr>
          <w:ilvl w:val="0"/>
          <w:numId w:val="86"/>
        </w:numPr>
        <w:spacing w:after="210" w:line="360" w:lineRule="auto"/>
      </w:pPr>
      <w:bookmarkStart w:id="121" w:name="fn8"/>
      <w:bookmarkEnd w:id="121"/>
      <w:r>
        <w:fldChar w:fldCharType="begin"/>
      </w:r>
      <w:r>
        <w:instrText xml:space="preserve"> HYPERLINK "https://www.mckinsey.com.cn/2024%E4%B8%AD%E5%9B%BD%E6%B6%88%E8%B4%B9%E8%B6%8B%E5%8A%BF%E8%B0%83%E7%A0%94%EF%BC%9A%E9%A2%84%E6%9C%9F%E8%B0%A8%E6%85%8E-%E5%AD%98%E5%9C%A8%E6%BD%9C%E5%8A%9B/"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https://www.mckinsey.com.cn/2024中国消费趋势调研：预期谨慎-存在潜力/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    </w:t>
      </w:r>
    </w:p>
    <w:p w14:paraId="62D60F54">
      <w:pPr>
        <w:numPr>
          <w:ilvl w:val="0"/>
          <w:numId w:val="86"/>
        </w:numPr>
        <w:spacing w:after="210" w:line="360" w:lineRule="auto"/>
      </w:pPr>
      <w:bookmarkStart w:id="122" w:name="fn9"/>
      <w:bookmarkEnd w:id="122"/>
      <w:r>
        <w:fldChar w:fldCharType="begin"/>
      </w:r>
      <w:r>
        <w:instrText xml:space="preserve"> HYPERLINK "https://www.stats.gov.cn/sj/zxfb/202501/t20250117_1958325.html"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https://www.stats.gov.cn/sj/zxfb/202501/t20250117_1958325.html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3725585">
      <w:pPr>
        <w:numPr>
          <w:ilvl w:val="0"/>
          <w:numId w:val="86"/>
        </w:numPr>
        <w:spacing w:after="210" w:line="360" w:lineRule="auto"/>
      </w:pPr>
      <w:bookmarkStart w:id="123" w:name="fn10"/>
      <w:bookmarkEnd w:id="123"/>
      <w:r>
        <w:fldChar w:fldCharType="begin"/>
      </w:r>
      <w:r>
        <w:instrText xml:space="preserve"> HYPERLINK "https://paper.people.com.cn/zgjjzk/html/2020-05/15/content_1987791.htm"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https://paper.people.com.cn/zgjjzk/html/2020-05/15/content_1987791.htm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7BB8CDAB">
      <w:pPr>
        <w:numPr>
          <w:ilvl w:val="0"/>
          <w:numId w:val="86"/>
        </w:numPr>
        <w:spacing w:after="210" w:line="360" w:lineRule="auto"/>
      </w:pPr>
      <w:bookmarkStart w:id="124" w:name="fn11"/>
      <w:bookmarkEnd w:id="124"/>
      <w:r>
        <w:fldChar w:fldCharType="begin"/>
      </w:r>
      <w:r>
        <w:instrText xml:space="preserve"> HYPERLINK "https://pub-zhtb.hizh.cn/a/202411/30/AP674a5274e4b015e7075ecc78.html"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https://pub-zhtb.hizh.cn/a/202411/30/AP674a5274e4b015e7075ecc78.html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320D4BB7">
      <w:pPr>
        <w:numPr>
          <w:ilvl w:val="0"/>
          <w:numId w:val="86"/>
        </w:numPr>
        <w:spacing w:after="210" w:line="360" w:lineRule="auto"/>
      </w:pPr>
      <w:bookmarkStart w:id="125" w:name="fn12"/>
      <w:bookmarkEnd w:id="125"/>
      <w:r>
        <w:fldChar w:fldCharType="begin"/>
      </w:r>
      <w:r>
        <w:instrText xml:space="preserve"> HYPERLINK "https://res.hurun.net/file/20250103/20250103095634246.pdf"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https://res.hurun.net/file/20250103/20250103095634246.pdf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</w:t>
      </w:r>
    </w:p>
    <w:p w14:paraId="1BE62E17">
      <w:pPr>
        <w:numPr>
          <w:ilvl w:val="0"/>
          <w:numId w:val="86"/>
        </w:numPr>
        <w:spacing w:after="210" w:line="360" w:lineRule="auto"/>
      </w:pPr>
      <w:bookmarkStart w:id="126" w:name="fn13"/>
      <w:bookmarkEnd w:id="126"/>
      <w:r>
        <w:fldChar w:fldCharType="begin"/>
      </w:r>
      <w:r>
        <w:instrText xml:space="preserve"> HYPERLINK "https://pdf.dfcfw.com/pdf/H3_AP201910231369579962_1.pdf?1571929557000.pdf"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https://pdf.dfcfw.com/pdf/H3_AP201910231369579962_1.pdf?1571929557000.pdf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2EBFC02">
      <w:pPr>
        <w:numPr>
          <w:ilvl w:val="0"/>
          <w:numId w:val="86"/>
        </w:numPr>
        <w:spacing w:after="210" w:line="360" w:lineRule="auto"/>
      </w:pPr>
      <w:bookmarkStart w:id="127" w:name="fn14"/>
      <w:bookmarkEnd w:id="127"/>
      <w:r>
        <w:fldChar w:fldCharType="begin"/>
      </w:r>
      <w:r>
        <w:instrText xml:space="preserve"> HYPERLINK "http://www.prrfe.com/web/2025/0630/6145.html"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http://www.prrfe.com/web/2025/0630/6145.html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5014AD07">
      <w:pPr>
        <w:numPr>
          <w:ilvl w:val="0"/>
          <w:numId w:val="86"/>
        </w:numPr>
        <w:spacing w:after="210" w:line="360" w:lineRule="auto"/>
      </w:pPr>
      <w:bookmarkStart w:id="128" w:name="fn15"/>
      <w:bookmarkEnd w:id="128"/>
      <w:r>
        <w:fldChar w:fldCharType="begin"/>
      </w:r>
      <w:r>
        <w:instrText xml:space="preserve"> HYPERLINK "https://www.voachinese.com/a/china-middle-class-emigration-wave/7659492.html"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https://www.voachinese.com/a/china-middle-class-emigration-wave/7659492.html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</w:t>
      </w:r>
    </w:p>
    <w:p w14:paraId="7FEDDB6F">
      <w:pPr>
        <w:numPr>
          <w:ilvl w:val="0"/>
          <w:numId w:val="86"/>
        </w:numPr>
        <w:spacing w:after="210" w:line="360" w:lineRule="auto"/>
      </w:pPr>
      <w:bookmarkStart w:id="129" w:name="fn16"/>
      <w:bookmarkEnd w:id="129"/>
      <w:r>
        <w:fldChar w:fldCharType="begin"/>
      </w:r>
      <w:r>
        <w:instrText xml:space="preserve"> HYPERLINK "https://news.qq.com/rain/a/20250228A045HR00"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https://news.qq.com/rain/a/20250228A045HR00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E535D14">
      <w:pPr>
        <w:numPr>
          <w:ilvl w:val="0"/>
          <w:numId w:val="86"/>
        </w:numPr>
        <w:spacing w:after="210" w:line="360" w:lineRule="auto"/>
      </w:pPr>
      <w:bookmarkStart w:id="130" w:name="fn17"/>
      <w:bookmarkEnd w:id="130"/>
      <w:r>
        <w:fldChar w:fldCharType="begin"/>
      </w:r>
      <w:r>
        <w:instrText xml:space="preserve"> HYPERLINK "https://www.huxiu.com/article/4825436.html"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https://www.huxiu.com/article/4825436.html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1D5770B">
      <w:pPr>
        <w:numPr>
          <w:ilvl w:val="0"/>
          <w:numId w:val="86"/>
        </w:numPr>
        <w:spacing w:after="210" w:line="360" w:lineRule="auto"/>
      </w:pPr>
      <w:bookmarkStart w:id="131" w:name="fn18"/>
      <w:bookmarkEnd w:id="131"/>
      <w:r>
        <w:fldChar w:fldCharType="begin"/>
      </w:r>
      <w:r>
        <w:instrText xml:space="preserve"> HYPERLINK "https://www.aboluowang.com/2026/0117/2335834.html"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https://www.aboluowang.com/2026/0117/2335834.html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926897F">
      <w:pPr>
        <w:numPr>
          <w:ilvl w:val="0"/>
          <w:numId w:val="86"/>
        </w:numPr>
        <w:spacing w:after="210" w:line="360" w:lineRule="auto"/>
      </w:pPr>
      <w:bookmarkStart w:id="132" w:name="fn19"/>
      <w:bookmarkEnd w:id="132"/>
      <w:r>
        <w:fldChar w:fldCharType="begin"/>
      </w:r>
      <w:r>
        <w:instrText xml:space="preserve"> HYPERLINK "https://www.sznews.com/news/content/mb/2025-02/27/content_31475592.htm"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https://www.sznews.com/news/content/mb/2025-02/27/content_31475592.htm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3E198983">
      <w:pPr>
        <w:numPr>
          <w:ilvl w:val="0"/>
          <w:numId w:val="86"/>
        </w:numPr>
        <w:spacing w:after="210" w:line="360" w:lineRule="auto"/>
      </w:pPr>
      <w:bookmarkStart w:id="133" w:name="fn20"/>
      <w:bookmarkEnd w:id="133"/>
      <w:r>
        <w:fldChar w:fldCharType="begin"/>
      </w:r>
      <w:r>
        <w:instrText xml:space="preserve"> HYPERLINK "https://www.hurun.net/zh-cn/info/detail?num=WH4FGWHNVOMT"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https://www.hurun.net/zh-cn/info/detail?num=WH4FGWHNVOMT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2AD5F8F3">
      <w:pPr>
        <w:numPr>
          <w:ilvl w:val="0"/>
          <w:numId w:val="86"/>
        </w:numPr>
        <w:spacing w:after="210" w:line="360" w:lineRule="auto"/>
      </w:pPr>
      <w:bookmarkStart w:id="134" w:name="fn21"/>
      <w:bookmarkEnd w:id="134"/>
      <w:r>
        <w:fldChar w:fldCharType="begin"/>
      </w:r>
      <w:r>
        <w:instrText xml:space="preserve"> HYPERLINK "https://pdf.dfcfw.com/pdf/H3_AP202311211611778979_1.pdf"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https://pdf.dfcfw.com/pdf/H3_AP202311211611778979_1.pdf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3C8A5F29">
      <w:pPr>
        <w:numPr>
          <w:ilvl w:val="0"/>
          <w:numId w:val="86"/>
        </w:numPr>
        <w:spacing w:after="210" w:line="360" w:lineRule="auto"/>
      </w:pPr>
      <w:bookmarkStart w:id="135" w:name="fn22"/>
      <w:bookmarkEnd w:id="135"/>
      <w:r>
        <w:fldChar w:fldCharType="begin"/>
      </w:r>
      <w:r>
        <w:instrText xml:space="preserve"> HYPERLINK "https://news.qq.com/rain/a/20250303A07LR400"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https://news.qq.com/rain/a/20250303A07LR400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7BA0A58">
      <w:pPr>
        <w:numPr>
          <w:ilvl w:val="0"/>
          <w:numId w:val="86"/>
        </w:numPr>
        <w:spacing w:after="210" w:line="360" w:lineRule="auto"/>
      </w:pPr>
      <w:bookmarkStart w:id="136" w:name="fn23"/>
      <w:bookmarkEnd w:id="136"/>
      <w:r>
        <w:fldChar w:fldCharType="begin"/>
      </w:r>
      <w:r>
        <w:instrText xml:space="preserve"> HYPERLINK "https://news.qq.com/rain/a/20250320A08MPD00"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https://news.qq.com/rain/a/20250320A08MPD00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ADC2FD4">
      <w:pPr>
        <w:numPr>
          <w:ilvl w:val="0"/>
          <w:numId w:val="86"/>
        </w:numPr>
        <w:spacing w:after="210" w:line="360" w:lineRule="auto"/>
      </w:pPr>
      <w:bookmarkStart w:id="137" w:name="fn24"/>
      <w:bookmarkEnd w:id="137"/>
      <w:r>
        <w:fldChar w:fldCharType="begin"/>
      </w:r>
      <w:r>
        <w:instrText xml:space="preserve"> HYPERLINK "http://kjt.hunan.gov.cn/zxgz/zkjj/xmgljcx/202108/20367668/files/f72087348de44bd1a9ea2ffac23d2862.pdf"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http://kjt.hunan.gov.cn/zxgz/zkjj/xmgljcx/202108/20367668/files/f72087348de44bd1a9ea2ffac23d2862.pdf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649EA59">
      <w:pPr>
        <w:numPr>
          <w:ilvl w:val="0"/>
          <w:numId w:val="86"/>
        </w:numPr>
        <w:spacing w:after="210" w:line="360" w:lineRule="auto"/>
      </w:pPr>
      <w:bookmarkStart w:id="138" w:name="fn25"/>
      <w:bookmarkEnd w:id="138"/>
      <w:r>
        <w:fldChar w:fldCharType="begin"/>
      </w:r>
      <w:r>
        <w:instrText xml:space="preserve"> HYPERLINK "https://www.stats.gov.cn/sj/zxfb/202407/t20240715_1955615.html"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https://www.stats.gov.cn/sj/zxfb/202407/t20240715_1955615.html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3B99007">
      <w:pPr>
        <w:numPr>
          <w:ilvl w:val="0"/>
          <w:numId w:val="86"/>
        </w:numPr>
        <w:spacing w:after="210" w:line="360" w:lineRule="auto"/>
      </w:pPr>
      <w:bookmarkStart w:id="139" w:name="fn26"/>
      <w:bookmarkEnd w:id="139"/>
      <w:r>
        <w:fldChar w:fldCharType="begin"/>
      </w:r>
      <w:r>
        <w:instrText xml:space="preserve"> HYPERLINK "https://thedocs.worldbank.org/en/doc/74224a633c0e5acf24c083967f522943-0070012024/original/CEU-December-2024-CN-Final.pdf"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https://thedocs.worldbank.org/en/doc/74224a633c0e5acf24c083967f522943-0070012024/original/CEU-December-2024-CN-Final.pdf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36D00CD">
      <w:pPr>
        <w:numPr>
          <w:ilvl w:val="0"/>
          <w:numId w:val="86"/>
        </w:numPr>
        <w:spacing w:after="210" w:line="360" w:lineRule="auto"/>
      </w:pPr>
      <w:bookmarkStart w:id="140" w:name="fn27"/>
      <w:bookmarkEnd w:id="140"/>
      <w:r>
        <w:fldChar w:fldCharType="begin"/>
      </w:r>
      <w:r>
        <w:instrText xml:space="preserve"> HYPERLINK "https://www.scribd.com/document/810700954/%E4%B8%AD%E5%9B%BD%E5%90%84%E9%98%B6%E7%BA%A7%E6%94%B6%E5%85%A5%E7%BB%9F%E8%AE%A1%E8%A1%A8"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https://www.scribd.com/document/810700954/中国各阶级收入统计表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237D588">
      <w:pPr>
        <w:numPr>
          <w:ilvl w:val="0"/>
          <w:numId w:val="86"/>
        </w:numPr>
        <w:spacing w:after="210" w:line="360" w:lineRule="auto"/>
      </w:pPr>
      <w:bookmarkStart w:id="141" w:name="fn28"/>
      <w:bookmarkEnd w:id="141"/>
      <w:r>
        <w:fldChar w:fldCharType="begin"/>
      </w:r>
      <w:r>
        <w:instrText xml:space="preserve"> HYPERLINK "https://zhenhuo.weebly.com/uploads/2/6/4/8/26480716/wealth_distribution.pdf"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https://zhenhuo.weebly.com/uploads/2/6/4/8/26480716/wealth_distribution.pdf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6EF0AAD">
      <w:pPr>
        <w:numPr>
          <w:ilvl w:val="0"/>
          <w:numId w:val="86"/>
        </w:numPr>
        <w:spacing w:after="210" w:line="360" w:lineRule="auto"/>
      </w:pPr>
      <w:bookmarkStart w:id="142" w:name="fn29"/>
      <w:bookmarkEnd w:id="142"/>
      <w:r>
        <w:fldChar w:fldCharType="begin"/>
      </w:r>
      <w:r>
        <w:instrText xml:space="preserve"> HYPERLINK "https://www.163.com/dy/article/IRLO1AVV0549R6EJ.html"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https://www.163.com/dy/article/IRLO1AVV0549R6EJ.html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A55848A">
      <w:pPr>
        <w:numPr>
          <w:ilvl w:val="0"/>
          <w:numId w:val="86"/>
        </w:numPr>
        <w:spacing w:after="210" w:line="360" w:lineRule="auto"/>
      </w:pPr>
      <w:bookmarkStart w:id="143" w:name="fn30"/>
      <w:bookmarkEnd w:id="143"/>
      <w:r>
        <w:fldChar w:fldCharType="begin"/>
      </w:r>
      <w:r>
        <w:instrText xml:space="preserve"> HYPERLINK "https://www.dw.com/zh/%E5%AE%98%E6%96%B9%E7%A7%B0%E4%B8%AD%E7%AD%89%E6%94%B6%E5%85%A5%E7%BE%A4%E4%BD%93%E8%BE%BE%E5%9B%9B%E4%BA%BF-%E4%B8%AD%E5%9B%BD%E4%BA%BA%E6%94%B6%E5%85%A5%E6%9C%89%E5%A4%9A%E5%B0%91/a-67928907"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https://www.dw.com/zh/官方称中等收入群体达四亿-中国人收入有多少/a-67928907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1F5B8C8">
      <w:pPr>
        <w:numPr>
          <w:ilvl w:val="0"/>
          <w:numId w:val="86"/>
        </w:numPr>
        <w:spacing w:after="210" w:line="360" w:lineRule="auto"/>
      </w:pPr>
      <w:bookmarkStart w:id="144" w:name="fn31"/>
      <w:bookmarkEnd w:id="144"/>
      <w:r>
        <w:fldChar w:fldCharType="begin"/>
      </w:r>
      <w:r>
        <w:instrText xml:space="preserve"> HYPERLINK "https://chfs.swufe.edu.cn/__local/1/4B/0D/1205E9EED7140E549FCC440CE5B_46F704E2_BDD654.pdf?e=.pdf"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https://chfs.swufe.edu.cn/__local/1/4B/0D/1205E9EED7140E549FCC440CE5B_46F704E2_BDD654.pdf?e=.pdf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0B86E0B">
      <w:pPr>
        <w:numPr>
          <w:ilvl w:val="0"/>
          <w:numId w:val="86"/>
        </w:numPr>
        <w:spacing w:after="210" w:line="360" w:lineRule="auto"/>
      </w:pPr>
      <w:bookmarkStart w:id="145" w:name="fn32"/>
      <w:bookmarkEnd w:id="145"/>
      <w:r>
        <w:fldChar w:fldCharType="begin"/>
      </w:r>
      <w:r>
        <w:instrText xml:space="preserve"> HYPERLINK "http://rdi.cass.cn/xskw/zgncjj/qkmlyzw/2023n/202409/P020240926589801763249.pdf"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http://rdi.cass.cn/xskw/zgncjj/qkmlyzw/2023n/202409/P020240926589801763249.pdf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8A22DB0">
      <w:pPr>
        <w:numPr>
          <w:ilvl w:val="0"/>
          <w:numId w:val="86"/>
        </w:numPr>
        <w:spacing w:after="210" w:line="360" w:lineRule="auto"/>
      </w:pPr>
      <w:bookmarkStart w:id="146" w:name="fn33"/>
      <w:bookmarkEnd w:id="146"/>
      <w:r>
        <w:fldChar w:fldCharType="begin"/>
      </w:r>
      <w:r>
        <w:instrText xml:space="preserve"> HYPERLINK "https://cicpa.org.cn/ztzl1/zgzckjs/zazhi2023/202306/P020230612316218593929.pdf"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https://cicpa.org.cn/ztzl1/zgzckjs/zazhi2023/202306/P020230612316218593929.pdf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84F3384">
      <w:pPr>
        <w:numPr>
          <w:ilvl w:val="0"/>
          <w:numId w:val="86"/>
        </w:numPr>
        <w:spacing w:after="210" w:line="360" w:lineRule="auto"/>
      </w:pPr>
      <w:bookmarkStart w:id="147" w:name="fn34"/>
      <w:bookmarkEnd w:id="147"/>
      <w:r>
        <w:fldChar w:fldCharType="begin"/>
      </w:r>
      <w:r>
        <w:instrText xml:space="preserve"> HYPERLINK "http://www.ihss.pku.edu.cn/templates/xw/index.aspx?nodeid=242&amp;page=ContentPage&amp;contentid=3880"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http://www.ihss.pku.edu.cn/templates/xw/index.aspx?nodeid=242&amp;page=ContentPage&amp;contentid=3880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18207DE">
      <w:pPr>
        <w:numPr>
          <w:ilvl w:val="0"/>
          <w:numId w:val="86"/>
        </w:numPr>
        <w:spacing w:after="210" w:line="360" w:lineRule="auto"/>
      </w:pPr>
      <w:bookmarkStart w:id="148" w:name="fn35"/>
      <w:bookmarkEnd w:id="148"/>
      <w:r>
        <w:fldChar w:fldCharType="begin"/>
      </w:r>
      <w:r>
        <w:instrText xml:space="preserve"> HYPERLINK "http://finance.people.com.cn/n1/2016/1115/c1004-28860912.html"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http://finance.people.com.cn/n1/2016/1115/c1004-28860912.html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FE7C7BD">
      <w:pPr>
        <w:numPr>
          <w:ilvl w:val="0"/>
          <w:numId w:val="86"/>
        </w:numPr>
        <w:spacing w:after="210" w:line="360" w:lineRule="auto"/>
      </w:pPr>
      <w:bookmarkStart w:id="149" w:name="fn36"/>
      <w:bookmarkEnd w:id="149"/>
      <w:r>
        <w:fldChar w:fldCharType="begin"/>
      </w:r>
      <w:r>
        <w:instrText xml:space="preserve"> HYPERLINK "https://www.sohu.com/a/915421843_121609438"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https://www.sohu.com/a/915421843_121609438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9254AA5">
      <w:pPr>
        <w:numPr>
          <w:ilvl w:val="0"/>
          <w:numId w:val="86"/>
        </w:numPr>
        <w:spacing w:after="210" w:line="360" w:lineRule="auto"/>
      </w:pPr>
      <w:bookmarkStart w:id="150" w:name="fn37"/>
      <w:bookmarkEnd w:id="150"/>
      <w:r>
        <w:fldChar w:fldCharType="begin"/>
      </w:r>
      <w:r>
        <w:instrText xml:space="preserve"> HYPERLINK "https://shxy.nankai.edu.cn/faculty/sociology/lcl.htm"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https://shxy.nankai.edu.cn/faculty/sociology/lcl.htm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9CD8CE3">
      <w:pPr>
        <w:numPr>
          <w:ilvl w:val="0"/>
          <w:numId w:val="86"/>
        </w:numPr>
        <w:spacing w:after="210" w:line="360" w:lineRule="auto"/>
      </w:pPr>
      <w:bookmarkStart w:id="151" w:name="fn38"/>
      <w:bookmarkEnd w:id="151"/>
      <w:r>
        <w:fldChar w:fldCharType="begin"/>
      </w:r>
      <w:r>
        <w:instrText xml:space="preserve"> HYPERLINK "https://wallstreetcn.com/articles/3614808"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https://wallstreetcn.com/articles/3614808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AA8E347">
      <w:pPr>
        <w:numPr>
          <w:ilvl w:val="0"/>
          <w:numId w:val="86"/>
        </w:numPr>
        <w:spacing w:after="210" w:line="360" w:lineRule="auto"/>
      </w:pPr>
      <w:bookmarkStart w:id="152" w:name="fn39"/>
      <w:bookmarkEnd w:id="152"/>
      <w:r>
        <w:fldChar w:fldCharType="begin"/>
      </w:r>
      <w:r>
        <w:instrText xml:space="preserve"> HYPERLINK "https://cj.sina.cn/articles/view/5952915720/162d24908067022w70?froms=ggmp"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https://cj.sina.cn/articles/view/5952915720/162d24908067022w70?froms=ggmp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D88F723">
      <w:pPr>
        <w:numPr>
          <w:ilvl w:val="0"/>
          <w:numId w:val="86"/>
        </w:numPr>
        <w:spacing w:after="210" w:line="360" w:lineRule="auto"/>
      </w:pPr>
      <w:bookmarkStart w:id="153" w:name="fn40"/>
      <w:bookmarkEnd w:id="153"/>
      <w:r>
        <w:fldChar w:fldCharType="begin"/>
      </w:r>
      <w:r>
        <w:instrText xml:space="preserve"> HYPERLINK "https://www-file.huawei.com/minisite/media/annual_report/annual_report_2023_cn.pdf"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https://www-file.huawei.com/minisite/media/annual_report/annual_report_2023_cn.pdf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FCD9AC9">
      <w:pPr>
        <w:numPr>
          <w:ilvl w:val="0"/>
          <w:numId w:val="86"/>
        </w:numPr>
        <w:spacing w:after="210" w:line="360" w:lineRule="auto"/>
      </w:pPr>
      <w:bookmarkStart w:id="154" w:name="fn41"/>
      <w:bookmarkEnd w:id="154"/>
      <w:r>
        <w:fldChar w:fldCharType="begin"/>
      </w:r>
      <w:r>
        <w:instrText xml:space="preserve"> HYPERLINK "https://wap.icbc.com.cn/icbc/%E6%8A%95%E8%B5%84%E8%B5%84%E8%AE%AF/%E7%90%86%E8%B4%A2/%E6%96%B0%E4%B8%AD%E4%BA%A7%E4%B8%8E%E8%B4%A2%E5%AF%8C%E6%A2%A6%E6%83%B3.htm"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https://wap.icbc.com.cn/icbc/投资资讯/理财/新中产与财富梦想.htm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8E4FADF">
      <w:pPr>
        <w:numPr>
          <w:ilvl w:val="0"/>
          <w:numId w:val="86"/>
        </w:numPr>
        <w:spacing w:after="210" w:line="360" w:lineRule="auto"/>
      </w:pPr>
      <w:bookmarkStart w:id="155" w:name="fn42"/>
      <w:bookmarkEnd w:id="155"/>
      <w:r>
        <w:fldChar w:fldCharType="begin"/>
      </w:r>
      <w:r>
        <w:instrText xml:space="preserve"> HYPERLINK "https://documents1.worldbank.org/curated/en/729151505383068191/txt/22663-CHINESE-PUBLIC-DOC-DATE-9-10-16.txt"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https://documents1.worldbank.org/curated/en/729151505383068191/txt/22663-CHINESE-PUBLIC-DOC-DATE-9-10-16.txt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8F1490F">
      <w:pPr>
        <w:numPr>
          <w:ilvl w:val="0"/>
          <w:numId w:val="86"/>
        </w:numPr>
        <w:spacing w:after="210" w:line="360" w:lineRule="auto"/>
      </w:pPr>
      <w:bookmarkStart w:id="156" w:name="fn43"/>
      <w:bookmarkEnd w:id="156"/>
      <w:r>
        <w:fldChar w:fldCharType="begin"/>
      </w:r>
      <w:r>
        <w:instrText xml:space="preserve"> HYPERLINK "https://www.cncic.org/?p=6359"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https://www.cncic.org/?p=6359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512C1AF">
      <w:pPr>
        <w:numPr>
          <w:ilvl w:val="0"/>
          <w:numId w:val="86"/>
        </w:numPr>
        <w:spacing w:after="210" w:line="360" w:lineRule="auto"/>
      </w:pPr>
      <w:bookmarkStart w:id="157" w:name="fn44"/>
      <w:bookmarkEnd w:id="157"/>
      <w:r>
        <w:fldChar w:fldCharType="begin"/>
      </w:r>
      <w:r>
        <w:instrText xml:space="preserve"> HYPERLINK "http://admin.fangchan.com/uploadfile/uploadfile/annex/2/1183/5db147c77a128.PDF"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http://admin.fangchan.com/uploadfile/uploadfile/annex/2/1183/5db147c77a128.PDF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1D6EDDF">
      <w:pPr>
        <w:numPr>
          <w:ilvl w:val="0"/>
          <w:numId w:val="86"/>
        </w:numPr>
        <w:spacing w:after="210" w:line="360" w:lineRule="auto"/>
      </w:pPr>
      <w:bookmarkStart w:id="158" w:name="fn45"/>
      <w:bookmarkEnd w:id="158"/>
      <w:r>
        <w:fldChar w:fldCharType="begin"/>
      </w:r>
      <w:r>
        <w:instrText xml:space="preserve"> HYPERLINK "https://www.sciclone.com/download/2021021900088_c.pdf"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https://www.sciclone.com/download/2021021900088_c.pdf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3D07F45">
      <w:pPr>
        <w:numPr>
          <w:ilvl w:val="0"/>
          <w:numId w:val="86"/>
        </w:numPr>
        <w:spacing w:after="210" w:line="360" w:lineRule="auto"/>
      </w:pPr>
      <w:bookmarkStart w:id="159" w:name="fn46"/>
      <w:bookmarkEnd w:id="159"/>
      <w:r>
        <w:fldChar w:fldCharType="begin"/>
      </w:r>
      <w:r>
        <w:instrText xml:space="preserve"> HYPERLINK "https://ca-sme.org/content/Content/index/id/90584"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https://ca-sme.org/content/Content/index/id/90584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A16E3BE">
      <w:pPr>
        <w:numPr>
          <w:ilvl w:val="0"/>
          <w:numId w:val="86"/>
        </w:numPr>
        <w:spacing w:after="210" w:line="360" w:lineRule="auto"/>
      </w:pPr>
      <w:bookmarkStart w:id="160" w:name="fn47"/>
      <w:bookmarkEnd w:id="160"/>
      <w:r>
        <w:fldChar w:fldCharType="begin"/>
      </w:r>
      <w:r>
        <w:instrText xml:space="preserve"> HYPERLINK "http://news.cctv.com/2019/10/31/ARTIRrY1fTn27PCQFBIeAheA191031.shtml"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http://news.cctv.com/2019/10/31/ARTIRrY1fTn27PCQFBIeAheA191031.shtml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D6B11B3">
      <w:pPr>
        <w:numPr>
          <w:ilvl w:val="0"/>
          <w:numId w:val="86"/>
        </w:numPr>
        <w:spacing w:after="210" w:line="360" w:lineRule="auto"/>
      </w:pPr>
      <w:bookmarkStart w:id="161" w:name="fn48"/>
      <w:bookmarkEnd w:id="161"/>
      <w:r>
        <w:fldChar w:fldCharType="begin"/>
      </w:r>
      <w:r>
        <w:instrText xml:space="preserve"> HYPERLINK "https://asiasociety.org/files/uploads/66files/Breaking%20Ground%20CHN%20Online.pdf"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https://asiasociety.org/files/uploads/66files/Breaking Ground CHN Online.pdf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31774A0">
      <w:pPr>
        <w:numPr>
          <w:ilvl w:val="0"/>
          <w:numId w:val="86"/>
        </w:numPr>
        <w:spacing w:after="210" w:line="360" w:lineRule="auto"/>
      </w:pPr>
      <w:bookmarkStart w:id="162" w:name="fn49"/>
      <w:bookmarkEnd w:id="162"/>
      <w:r>
        <w:fldChar w:fldCharType="begin"/>
      </w:r>
      <w:r>
        <w:instrText xml:space="preserve"> HYPERLINK "https://article.xuexi.cn/articles/index.html?art_id=18297453998331683098&amp;item_id=18297453998331683098&amp;study_style_id=feeds_opaque&amp;t=1709696938367&amp;showmenu=false&amp;pid=&amp;ptype=-1&amp;share_to=wx_single"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https://article.xuexi.cn/articles/index.html?art_id=18297453998331683098&amp;item_id=18297453998331683098&amp;study_style_id=feeds_opaque&amp;t=1709696938367&amp;showmenu=false&amp;pid=&amp;ptype=-1&amp;share_to=wx_single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720AB90">
      <w:pPr>
        <w:numPr>
          <w:ilvl w:val="0"/>
          <w:numId w:val="86"/>
        </w:numPr>
        <w:spacing w:after="210" w:line="360" w:lineRule="auto"/>
      </w:pPr>
      <w:bookmarkStart w:id="163" w:name="fn50"/>
      <w:bookmarkEnd w:id="163"/>
      <w:r>
        <w:fldChar w:fldCharType="begin"/>
      </w:r>
      <w:r>
        <w:instrText xml:space="preserve"> HYPERLINK "https://finance.sina.cn/money/lczx/2020-04-24/detail-iirczymi8099086.d.html"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https://finance.sina.cn/money/lczx/2020-04-24/detail-iirczymi8099086.d.html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A636CB6">
      <w:pPr>
        <w:numPr>
          <w:ilvl w:val="0"/>
          <w:numId w:val="86"/>
        </w:numPr>
        <w:spacing w:after="210" w:line="360" w:lineRule="auto"/>
      </w:pPr>
      <w:bookmarkStart w:id="164" w:name="fn51"/>
      <w:bookmarkEnd w:id="164"/>
      <w:r>
        <w:fldChar w:fldCharType="begin"/>
      </w:r>
      <w:r>
        <w:instrText xml:space="preserve"> HYPERLINK "http://money.finance.sina.com.cn/corp/view/vCB_AllBulletinDetail.php?stockid=300591&amp;id=10142005"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http://money.finance.sina.com.cn/corp/view/vCB_AllBulletinDetail.php?stockid=300591&amp;id=10142005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79E83C8">
      <w:pPr>
        <w:numPr>
          <w:ilvl w:val="0"/>
          <w:numId w:val="86"/>
        </w:numPr>
        <w:spacing w:after="210" w:line="360" w:lineRule="auto"/>
      </w:pPr>
      <w:bookmarkStart w:id="165" w:name="fn52"/>
      <w:bookmarkEnd w:id="165"/>
      <w:r>
        <w:fldChar w:fldCharType="begin"/>
      </w:r>
      <w:r>
        <w:instrText xml:space="preserve"> HYPERLINK "https://www.reddit.com/r/PoliticalDiscussion/comments/1ju4z4h/will_china_become_the_world_dominant_superpower/"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https://www.reddit.com/r/PoliticalDiscussion/comments/1ju4z4h/will_china_become_the_world_dominant_superpower/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6AFFBCC">
      <w:pPr>
        <w:numPr>
          <w:ilvl w:val="0"/>
          <w:numId w:val="86"/>
        </w:numPr>
        <w:spacing w:after="210" w:line="360" w:lineRule="auto"/>
      </w:pPr>
      <w:bookmarkStart w:id="166" w:name="fn53"/>
      <w:bookmarkEnd w:id="166"/>
      <w:r>
        <w:fldChar w:fldCharType="begin"/>
      </w:r>
      <w:r>
        <w:instrText xml:space="preserve"> HYPERLINK "http://ipft.ruc.edu.cn/yjcg/sdpl/0e96c2868c8946dea4f46bfe238eb2a0.htm"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http://ipft.ruc.edu.cn/yjcg/sdpl/0e96c2868c8946dea4f46bfe238eb2a0.htm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F0B89FA">
      <w:pPr>
        <w:numPr>
          <w:ilvl w:val="0"/>
          <w:numId w:val="86"/>
        </w:numPr>
        <w:spacing w:after="210" w:line="360" w:lineRule="auto"/>
      </w:pPr>
      <w:bookmarkStart w:id="167" w:name="fn54"/>
      <w:bookmarkEnd w:id="167"/>
      <w:r>
        <w:fldChar w:fldCharType="begin"/>
      </w:r>
      <w:r>
        <w:instrText xml:space="preserve"> HYPERLINK "http://opinion.cctv.com/special/2016lianghui/shouye/index.shtml"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http://opinion.cctv.com/special/2016lianghui/shouye/index.shtml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3D37C73">
      <w:pPr>
        <w:numPr>
          <w:ilvl w:val="0"/>
          <w:numId w:val="86"/>
        </w:numPr>
        <w:spacing w:after="210" w:line="360" w:lineRule="auto"/>
      </w:pPr>
      <w:bookmarkStart w:id="168" w:name="fn55"/>
      <w:bookmarkEnd w:id="168"/>
      <w:r>
        <w:fldChar w:fldCharType="begin"/>
      </w:r>
      <w:r>
        <w:instrText xml:space="preserve"> HYPERLINK "https://pdf.dfcfw.com/pdf/H3_AP202110111522018196_1.pdf?1633978450000.pdf"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https://pdf.dfcfw.com/pdf/H3_AP202110111522018196_1.pdf?1633978450000.pdf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A07729F">
      <w:pPr>
        <w:numPr>
          <w:ilvl w:val="0"/>
          <w:numId w:val="86"/>
        </w:numPr>
        <w:spacing w:after="210" w:line="360" w:lineRule="auto"/>
      </w:pPr>
      <w:bookmarkStart w:id="169" w:name="fn56"/>
      <w:bookmarkEnd w:id="169"/>
      <w:r>
        <w:fldChar w:fldCharType="begin"/>
      </w:r>
      <w:r>
        <w:instrText xml:space="preserve"> HYPERLINK "https://assets.kpmg.com/content/dam/kpmg/pdf/2015/12/China-Connected-Consumers-201510-c.pdf"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https://assets.kpmg.com/content/dam/kpmg/pdf/2015/12/China-Connected-Consumers-201510-c.pdf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F22F6BA">
      <w:pPr>
        <w:numPr>
          <w:ilvl w:val="0"/>
          <w:numId w:val="86"/>
        </w:numPr>
        <w:spacing w:after="210" w:line="360" w:lineRule="auto"/>
      </w:pPr>
      <w:bookmarkStart w:id="170" w:name="fn57"/>
      <w:bookmarkEnd w:id="170"/>
      <w:r>
        <w:fldChar w:fldCharType="begin"/>
      </w:r>
      <w:r>
        <w:instrText xml:space="preserve"> HYPERLINK "https://m.cyzone.cn/article/747589"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https://m.cyzone.cn/article/747589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174C84E">
      <w:pPr>
        <w:numPr>
          <w:ilvl w:val="0"/>
          <w:numId w:val="86"/>
        </w:numPr>
        <w:spacing w:after="210" w:line="360" w:lineRule="auto"/>
      </w:pPr>
      <w:bookmarkStart w:id="171" w:name="fn58"/>
      <w:bookmarkEnd w:id="171"/>
      <w:r>
        <w:fldChar w:fldCharType="begin"/>
      </w:r>
      <w:r>
        <w:instrText xml:space="preserve"> HYPERLINK "https://impacts.savills.com/wp-content/uploads/CN-Impacts-ld.pdf"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https://impacts.savills.com/wp-content/uploads/CN-Impacts-ld.pdf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417FA46">
      <w:pPr>
        <w:numPr>
          <w:ilvl w:val="0"/>
          <w:numId w:val="86"/>
        </w:numPr>
        <w:spacing w:after="210" w:line="360" w:lineRule="auto"/>
      </w:pPr>
      <w:bookmarkStart w:id="172" w:name="fn59"/>
      <w:bookmarkEnd w:id="172"/>
      <w:r>
        <w:fldChar w:fldCharType="begin"/>
      </w:r>
      <w:r>
        <w:instrText xml:space="preserve"> HYPERLINK "https://wuxiaobo.blog.caixin.com/archives/272325"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https://wuxiaobo.blog.caixin.com/archives/272325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4F2C411">
      <w:pPr>
        <w:numPr>
          <w:ilvl w:val="0"/>
          <w:numId w:val="86"/>
        </w:numPr>
        <w:spacing w:after="210" w:line="360" w:lineRule="auto"/>
      </w:pPr>
      <w:bookmarkStart w:id="173" w:name="fn60"/>
      <w:bookmarkEnd w:id="173"/>
      <w:r>
        <w:fldChar w:fldCharType="begin"/>
      </w:r>
      <w:r>
        <w:instrText xml:space="preserve"> HYPERLINK "https://www.reddit.com/r/TwinCities/comments/1biy5sx/is_eaglebrook_church_bad/"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https://www.reddit.com/r/TwinCities/comments/1biy5sx/is_eaglebrook_church_bad/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D10FE88">
      <w:pPr>
        <w:numPr>
          <w:ilvl w:val="0"/>
          <w:numId w:val="86"/>
        </w:numPr>
        <w:spacing w:after="210" w:line="360" w:lineRule="auto"/>
      </w:pPr>
      <w:bookmarkStart w:id="174" w:name="fn61"/>
      <w:bookmarkEnd w:id="174"/>
      <w:r>
        <w:fldChar w:fldCharType="begin"/>
      </w:r>
      <w:r>
        <w:instrText xml:space="preserve"> HYPERLINK "https://www.163.com/dy/article/IPJTAC7805199A0B.html"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https://www.163.com/dy/article/IPJTAC7805199A0B.html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CC3533E">
      <w:pPr>
        <w:numPr>
          <w:ilvl w:val="0"/>
          <w:numId w:val="86"/>
        </w:numPr>
        <w:spacing w:after="210" w:line="360" w:lineRule="auto"/>
      </w:pPr>
      <w:bookmarkStart w:id="175" w:name="fn62"/>
      <w:bookmarkEnd w:id="175"/>
      <w:r>
        <w:fldChar w:fldCharType="begin"/>
      </w:r>
      <w:r>
        <w:instrText xml:space="preserve"> HYPERLINK "https://www.ifc.org/content/dam/ifc/doc/2010/ifc-ar19-full-report-chinese.pdf"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https://www.ifc.org/content/dam/ifc/doc/2010/ifc-ar19-full-report-chinese.pdf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62F0889">
      <w:pPr>
        <w:numPr>
          <w:ilvl w:val="0"/>
          <w:numId w:val="86"/>
        </w:numPr>
        <w:spacing w:after="210" w:line="360" w:lineRule="auto"/>
      </w:pPr>
      <w:bookmarkStart w:id="176" w:name="fn63"/>
      <w:bookmarkEnd w:id="176"/>
      <w:r>
        <w:fldChar w:fldCharType="begin"/>
      </w:r>
      <w:r>
        <w:instrText xml:space="preserve"> HYPERLINK "https://vocus.cc/article/696638aefd89780001253608"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https://vocus.cc/article/696638aefd89780001253608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905D8CC">
      <w:pPr>
        <w:numPr>
          <w:ilvl w:val="0"/>
          <w:numId w:val="86"/>
        </w:numPr>
        <w:spacing w:after="210" w:line="360" w:lineRule="auto"/>
      </w:pPr>
      <w:bookmarkStart w:id="177" w:name="fn64"/>
      <w:bookmarkEnd w:id="177"/>
      <w:r>
        <w:fldChar w:fldCharType="begin"/>
      </w:r>
      <w:r>
        <w:instrText xml:space="preserve"> HYPERLINK "https://ir.lib.nycu.edu.tw/bitstream/11536/77473/1/950101.pdf"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https://ir.lib.nycu.edu.tw/bitstream/11536/77473/1/950101.pdf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57B5476">
      <w:pPr>
        <w:numPr>
          <w:ilvl w:val="0"/>
          <w:numId w:val="86"/>
        </w:numPr>
        <w:spacing w:after="210" w:line="360" w:lineRule="auto"/>
      </w:pPr>
      <w:bookmarkStart w:id="178" w:name="fn65"/>
      <w:bookmarkEnd w:id="178"/>
      <w:r>
        <w:fldChar w:fldCharType="begin"/>
      </w:r>
      <w:r>
        <w:instrText xml:space="preserve"> HYPERLINK "http://static.sse.com.cn/stock/disclosure/announcement/c/202011/000463_20201124_BZYT.pdf"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http://static.sse.com.cn/stock/disclosure/announcement/c/202011/000463_20201124_BZYT.pdf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0D8D75A">
      <w:pPr>
        <w:numPr>
          <w:ilvl w:val="0"/>
          <w:numId w:val="86"/>
        </w:numPr>
        <w:spacing w:after="210" w:line="360" w:lineRule="auto"/>
      </w:pPr>
      <w:bookmarkStart w:id="179" w:name="fn66"/>
      <w:bookmarkEnd w:id="179"/>
      <w:r>
        <w:fldChar w:fldCharType="begin"/>
      </w:r>
      <w:r>
        <w:instrText xml:space="preserve"> HYPERLINK "https://m12333.cn/policy/mfray.html"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https://m12333.cn/policy/mfray.html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1A614AB">
      <w:pPr>
        <w:numPr>
          <w:ilvl w:val="0"/>
          <w:numId w:val="86"/>
        </w:numPr>
        <w:spacing w:after="210" w:line="360" w:lineRule="auto"/>
      </w:pPr>
      <w:bookmarkStart w:id="180" w:name="fn67"/>
      <w:bookmarkEnd w:id="180"/>
      <w:r>
        <w:fldChar w:fldCharType="begin"/>
      </w:r>
      <w:r>
        <w:instrText xml:space="preserve"> HYPERLINK "https://www.mjib.gov.tw/FileUploads/eBooks/4e3103b3b27641e9bf01e59851602e05/Book_file/1352747ca34842b1bf828f144d09d87c.pdf"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https://www.mjib.gov.tw/FileUploads/eBooks/4e3103b3b27641e9bf01e59851602e05/Book_file/1352747ca34842b1bf828f144d09d87c.pdf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D855176">
      <w:pPr>
        <w:numPr>
          <w:ilvl w:val="0"/>
          <w:numId w:val="86"/>
        </w:numPr>
        <w:spacing w:after="210" w:line="360" w:lineRule="auto"/>
      </w:pPr>
      <w:bookmarkStart w:id="181" w:name="fn68"/>
      <w:bookmarkEnd w:id="181"/>
      <w:r>
        <w:fldChar w:fldCharType="begin"/>
      </w:r>
      <w:r>
        <w:instrText xml:space="preserve"> HYPERLINK "http://money.finance.sina.com.cn/corp/view/vCB_AllBulletinDetail.php?stockid=301173&amp;id=10758516"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http://money.finance.sina.com.cn/corp/view/vCB_AllBulletinDetail.php?stockid=301173&amp;id=10758516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F6E5865">
      <w:pPr>
        <w:numPr>
          <w:ilvl w:val="0"/>
          <w:numId w:val="86"/>
        </w:numPr>
        <w:spacing w:after="210" w:line="360" w:lineRule="auto"/>
      </w:pPr>
      <w:bookmarkStart w:id="182" w:name="fn69"/>
      <w:bookmarkEnd w:id="182"/>
      <w:r>
        <w:fldChar w:fldCharType="begin"/>
      </w:r>
      <w:r>
        <w:instrText xml:space="preserve"> HYPERLINK "https://m12333.cn/policy/pbpiz.html"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https://m12333.cn/policy/pbpiz.html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41F2915">
      <w:pPr>
        <w:numPr>
          <w:ilvl w:val="0"/>
          <w:numId w:val="86"/>
        </w:numPr>
        <w:spacing w:after="210" w:line="360" w:lineRule="auto"/>
      </w:pPr>
      <w:bookmarkStart w:id="183" w:name="fn70"/>
      <w:bookmarkEnd w:id="183"/>
      <w:r>
        <w:fldChar w:fldCharType="begin"/>
      </w:r>
      <w:r>
        <w:instrText xml:space="preserve"> HYPERLINK "http://www.wiepking.com/papers/Bekkers_Wiepking_EightMechanismsinChinese_2020.pdf"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http://www.wiepking.com/papers/Bekkers_Wiepking_EightMechanismsinChinese_2020.pdf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903D2BC">
      <w:pPr>
        <w:numPr>
          <w:ilvl w:val="0"/>
          <w:numId w:val="86"/>
        </w:numPr>
        <w:spacing w:after="210" w:line="360" w:lineRule="auto"/>
      </w:pPr>
      <w:bookmarkStart w:id="184" w:name="fn71"/>
      <w:bookmarkEnd w:id="184"/>
      <w:r>
        <w:fldChar w:fldCharType="begin"/>
      </w:r>
      <w:r>
        <w:instrText xml:space="preserve"> HYPERLINK "https://cenertech.cnooc.com.cn/tzzgx/fxxx/202405/P020240520423145420990.pdf"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https://cenertech.cnooc.com.cn/tzzgx/fxxx/202405/P020240520423145420990.pdf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9E35980">
      <w:pPr>
        <w:numPr>
          <w:ilvl w:val="0"/>
          <w:numId w:val="86"/>
        </w:numPr>
        <w:spacing w:after="210" w:line="360" w:lineRule="auto"/>
      </w:pPr>
      <w:bookmarkStart w:id="185" w:name="fn72"/>
      <w:bookmarkEnd w:id="185"/>
      <w:r>
        <w:fldChar w:fldCharType="begin"/>
      </w:r>
      <w:r>
        <w:instrText xml:space="preserve"> HYPERLINK "http://114.255.111.180/SYrlzyhshbzb/zwgk/szrs/tjsj/202405/W020240527363963541406.pdf"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http://114.255.111.180/SYrlzyhshbzb/zwgk/szrs/tjsj/202405/W020240527363963541406.pdf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5C20F9A">
      <w:pPr>
        <w:numPr>
          <w:ilvl w:val="0"/>
          <w:numId w:val="86"/>
        </w:numPr>
        <w:spacing w:after="210" w:line="360" w:lineRule="auto"/>
      </w:pPr>
      <w:bookmarkStart w:id="186" w:name="fn73"/>
      <w:bookmarkEnd w:id="186"/>
      <w:r>
        <w:fldChar w:fldCharType="begin"/>
      </w:r>
      <w:r>
        <w:instrText xml:space="preserve"> HYPERLINK "https://www.eeas.europa.eu/sites/default/files/documents/2025/Dictionary%20of%20Misunderstandings_CN.pdf"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https://www.eeas.europa.eu/sites/default/files/documents/2025/Dictionary of Misunderstandings_CN.pdf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6B97988">
      <w:pPr>
        <w:numPr>
          <w:ilvl w:val="0"/>
          <w:numId w:val="86"/>
        </w:numPr>
        <w:spacing w:after="210" w:line="360" w:lineRule="auto"/>
      </w:pPr>
      <w:bookmarkStart w:id="187" w:name="fn74"/>
      <w:bookmarkEnd w:id="187"/>
      <w:r>
        <w:fldChar w:fldCharType="begin"/>
      </w:r>
      <w:r>
        <w:instrText xml:space="preserve"> HYPERLINK "https://www1.hkexnews.hk/listedco/listconews/gem/2024/0826/2024082600046_c.pdf"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https://www1.hkexnews.hk/listedco/listconews/gem/2024/0826/2024082600046_c.pdf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DB1F045">
      <w:pPr>
        <w:numPr>
          <w:ilvl w:val="0"/>
          <w:numId w:val="86"/>
        </w:numPr>
        <w:spacing w:after="210" w:line="360" w:lineRule="auto"/>
      </w:pPr>
      <w:bookmarkStart w:id="188" w:name="fn75"/>
      <w:bookmarkEnd w:id="188"/>
      <w:r>
        <w:fldChar w:fldCharType="begin"/>
      </w:r>
      <w:r>
        <w:instrText xml:space="preserve"> HYPERLINK "https://www.aap.org/en/search/?time=1682789889285&amp;k=Tuvalor+Exchange+B1+Reviews"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https://www.aap.org/en/search/?time=1682789889285&amp;k=Tuvalor+Exchange+B1+Reviews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9D52545">
      <w:pPr>
        <w:numPr>
          <w:ilvl w:val="0"/>
          <w:numId w:val="86"/>
        </w:numPr>
        <w:spacing w:after="210" w:line="360" w:lineRule="auto"/>
      </w:pPr>
      <w:bookmarkStart w:id="189" w:name="fn76"/>
      <w:bookmarkEnd w:id="189"/>
      <w:r>
        <w:fldChar w:fldCharType="begin"/>
      </w:r>
      <w:r>
        <w:instrText xml:space="preserve"> HYPERLINK "https://www.ciis.org.cn/gjwtyj/qkml/202403/P020240312360819300294.pdf"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https://www.ciis.org.cn/gjwtyj/qkml/202403/P020240312360819300294.pdf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82E452B">
      <w:pPr>
        <w:numPr>
          <w:ilvl w:val="0"/>
          <w:numId w:val="86"/>
        </w:numPr>
        <w:spacing w:after="210" w:line="360" w:lineRule="auto"/>
      </w:pPr>
      <w:bookmarkStart w:id="190" w:name="fn77"/>
      <w:bookmarkEnd w:id="190"/>
      <w:r>
        <w:fldChar w:fldCharType="begin"/>
      </w:r>
      <w:r>
        <w:instrText xml:space="preserve"> HYPERLINK "https://doc.irasia.com/listco/hk/lining/annual/ar314671-cw_02331ar_29042025.pdf"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https://doc.irasia.com/listco/hk/lining/annual/ar314671-cw_02331ar_29042025.pdf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8F322DC">
      <w:pPr>
        <w:numPr>
          <w:ilvl w:val="0"/>
          <w:numId w:val="86"/>
        </w:numPr>
        <w:spacing w:after="210" w:line="360" w:lineRule="auto"/>
      </w:pPr>
      <w:bookmarkStart w:id="191" w:name="fn78"/>
      <w:bookmarkEnd w:id="191"/>
      <w:r>
        <w:fldChar w:fldCharType="begin"/>
      </w:r>
      <w:r>
        <w:instrText xml:space="preserve"> HYPERLINK "https://zjjcmspublic.oss-cn-hangzhou-zwynet-d01-a.internet.cloud.zj.gov.cn/jcms_files/jcms1/web3000/site/attach/0/f3ee2b8a49014b56acd2ec3f6abc49a0.pdf"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https://zjjcmspublic.oss-cn-hangzhou-zwynet-d01-a.internet.cloud.zj.gov.cn/jcms_files/jcms1/web3000/site/attach/0/f3ee2b8a49014b56acd2ec3f6abc49a0.pdf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72DBD93">
      <w:pPr>
        <w:numPr>
          <w:ilvl w:val="0"/>
          <w:numId w:val="86"/>
        </w:numPr>
        <w:spacing w:after="210" w:line="360" w:lineRule="auto"/>
      </w:pPr>
      <w:bookmarkStart w:id="192" w:name="fn79"/>
      <w:bookmarkEnd w:id="192"/>
      <w:r>
        <w:fldChar w:fldCharType="begin"/>
      </w:r>
      <w:r>
        <w:instrText xml:space="preserve"> HYPERLINK "https://iesr.jnu.edu.cn/_upload/article/files/fe/0d/ea44efd345e5aa265dd4fa5b3705/b4e17b79-56e4-4678-823b-9ae19907a515.pdf"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https://iesr.jnu.edu.cn/_upload/article/files/fe/0d/ea44efd345e5aa265dd4fa5b3705/b4e17b79-56e4-4678-823b-9ae19907a515.pdf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3698E25">
      <w:pPr>
        <w:numPr>
          <w:ilvl w:val="0"/>
          <w:numId w:val="86"/>
        </w:numPr>
        <w:spacing w:after="210" w:line="360" w:lineRule="auto"/>
      </w:pPr>
      <w:bookmarkStart w:id="193" w:name="fn80"/>
      <w:bookmarkEnd w:id="193"/>
      <w:r>
        <w:fldChar w:fldCharType="begin"/>
      </w:r>
      <w:r>
        <w:instrText xml:space="preserve"> HYPERLINK "https://www.163.com/dy/article/KJG17BE70556BYTQ.html"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https://www.163.com/dy/article/KJG17BE70556BYTQ.html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B423F6B">
      <w:pPr>
        <w:numPr>
          <w:ilvl w:val="0"/>
          <w:numId w:val="86"/>
        </w:numPr>
        <w:spacing w:after="210" w:line="360" w:lineRule="auto"/>
      </w:pPr>
      <w:bookmarkStart w:id="194" w:name="fn81"/>
      <w:bookmarkEnd w:id="194"/>
      <w:r>
        <w:fldChar w:fldCharType="begin"/>
      </w:r>
      <w:r>
        <w:instrText xml:space="preserve"> HYPERLINK "https://www.scribd.com/document/703192788/%E8%97%8F%E5%9C%A8%E6%95%85%E5%AE%AB%E9%87%8C%E7%9A%84%E4%B8%AD%E5%9B%BD%E5%8F%B2-%E5%BC%A0%E7%A8%8B-%E6%96%87%E5%AD%97%E7%89%88-PDF%E7%94%B5%E5%AD%90%E4%B9%A6-%E9%9B%85%E4%B9%A6"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https://www.scribd.com/document/703192788/藏在故宫里的中国史-张程-文字版-PDF电子书-雅书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8B95E3D">
      <w:pPr>
        <w:numPr>
          <w:ilvl w:val="0"/>
          <w:numId w:val="86"/>
        </w:numPr>
        <w:spacing w:after="210" w:line="360" w:lineRule="auto"/>
      </w:pPr>
      <w:bookmarkStart w:id="195" w:name="fn82"/>
      <w:bookmarkEnd w:id="195"/>
      <w:r>
        <w:fldChar w:fldCharType="begin"/>
      </w:r>
      <w:r>
        <w:instrText xml:space="preserve"> HYPERLINK "https://www.caixin.com/topnews/index-368.html"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https://www.caixin.com/topnews/index-368.html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E9C9C06">
      <w:pPr>
        <w:numPr>
          <w:ilvl w:val="0"/>
          <w:numId w:val="86"/>
        </w:numPr>
        <w:spacing w:after="210" w:line="360" w:lineRule="auto"/>
      </w:pPr>
      <w:bookmarkStart w:id="196" w:name="fn83"/>
      <w:bookmarkEnd w:id="196"/>
      <w:r>
        <w:fldChar w:fldCharType="begin"/>
      </w:r>
      <w:r>
        <w:instrText xml:space="preserve"> HYPERLINK "https://www.youtube.com/watch?v=khMldDtPaQQ"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https://www.youtube.com/watch?v=khMldDtPaQQ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D2AF578">
      <w:pPr>
        <w:numPr>
          <w:ilvl w:val="0"/>
          <w:numId w:val="86"/>
        </w:numPr>
        <w:spacing w:after="210" w:line="360" w:lineRule="auto"/>
      </w:pPr>
      <w:bookmarkStart w:id="197" w:name="fn84"/>
      <w:bookmarkEnd w:id="197"/>
      <w:r>
        <w:fldChar w:fldCharType="begin"/>
      </w:r>
      <w:r>
        <w:instrText xml:space="preserve"> HYPERLINK "https://www.qigushi.com/qi/1670899960276583.html"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https://www.qigushi.com/qi/1670899960276583.html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FD15F8F">
      <w:pPr>
        <w:numPr>
          <w:ilvl w:val="0"/>
          <w:numId w:val="86"/>
        </w:numPr>
        <w:spacing w:after="210" w:line="360" w:lineRule="auto"/>
      </w:pPr>
      <w:bookmarkStart w:id="198" w:name="fn85"/>
      <w:bookmarkEnd w:id="198"/>
      <w:r>
        <w:fldChar w:fldCharType="begin"/>
      </w:r>
      <w:r>
        <w:instrText xml:space="preserve"> HYPERLINK "https://www.wgp.com.tw/news/detail/31"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https://www.wgp.com.tw/news/detail/31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296180A">
      <w:pPr>
        <w:numPr>
          <w:ilvl w:val="0"/>
          <w:numId w:val="86"/>
        </w:numPr>
        <w:spacing w:after="210" w:line="360" w:lineRule="auto"/>
      </w:pPr>
      <w:bookmarkStart w:id="199" w:name="fn86"/>
      <w:bookmarkEnd w:id="199"/>
      <w:r>
        <w:fldChar w:fldCharType="begin"/>
      </w:r>
      <w:r>
        <w:instrText xml:space="preserve"> HYPERLINK "https://live.euronext.com/nl/search_instruments/Jefferson%20Miller%20B1%20Reviews"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https://live.euronext.com/nl/search_instruments/Jefferson Miller B1 Reviews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6B745A7">
      <w:pPr>
        <w:numPr>
          <w:ilvl w:val="0"/>
          <w:numId w:val="86"/>
        </w:numPr>
        <w:spacing w:after="210" w:line="360" w:lineRule="auto"/>
      </w:pPr>
      <w:bookmarkStart w:id="200" w:name="fn87"/>
      <w:bookmarkEnd w:id="200"/>
      <w:r>
        <w:fldChar w:fldCharType="begin"/>
      </w:r>
      <w:r>
        <w:instrText xml:space="preserve"> HYPERLINK "http://pkg.cs.ovgu.de/LNF/i386/5.10/LNFgate/reloc/gate-3.1b2270/plugins/ANNIE/resources/tokeniser/chinesetokeniser/tradlexu8.txt"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http://pkg.cs.ovgu.de/LNF/i386/5.10/LNFgate/reloc/gate-3.1b2270/plugins/ANNIE/resources/tokeniser/chinesetokeniser/tradlexu8.txt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D535DA4">
      <w:pPr>
        <w:numPr>
          <w:ilvl w:val="0"/>
          <w:numId w:val="86"/>
        </w:numPr>
        <w:spacing w:after="210" w:line="360" w:lineRule="auto"/>
      </w:pPr>
      <w:bookmarkStart w:id="201" w:name="fn88"/>
      <w:bookmarkEnd w:id="201"/>
      <w:r>
        <w:fldChar w:fldCharType="begin"/>
      </w:r>
      <w:r>
        <w:instrText xml:space="preserve"> HYPERLINK "https://creators.spotify.com/pod/profile/xiaoshuai/episodes/S5E5-e2ddcin"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https://creators.spotify.com/pod/profile/xiaoshuai/episodes/S5E5-e2ddcin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E9FD85D">
      <w:pPr>
        <w:numPr>
          <w:ilvl w:val="0"/>
          <w:numId w:val="86"/>
        </w:numPr>
        <w:spacing w:after="210" w:line="360" w:lineRule="auto"/>
      </w:pPr>
      <w:bookmarkStart w:id="202" w:name="fn89"/>
      <w:bookmarkEnd w:id="202"/>
      <w:r>
        <w:fldChar w:fldCharType="begin"/>
      </w:r>
      <w:r>
        <w:instrText xml:space="preserve"> HYPERLINK "https://www.tarleton.edu/home?s=Augustus+Sinclair+B1+Reviews"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https://www.tarleton.edu/home?s=Augustus+Sinclair+B1+Reviews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CD68CEC">
      <w:pPr>
        <w:numPr>
          <w:ilvl w:val="0"/>
          <w:numId w:val="86"/>
        </w:numPr>
        <w:spacing w:after="210" w:line="360" w:lineRule="auto"/>
      </w:pPr>
      <w:bookmarkStart w:id="203" w:name="fn90"/>
      <w:bookmarkEnd w:id="203"/>
      <w:r>
        <w:fldChar w:fldCharType="begin"/>
      </w:r>
      <w:r>
        <w:instrText xml:space="preserve"> HYPERLINK "https://archive.org/stream/03044_201909/%E6%B0%91%E5%9B%BD%E4%B8%9B%E4%B9%A6%E7%AC%AC%E4%B8%89%E7%BC%9603100-%E5%85%A8%E5%9B%BD%E6%80%BB%E4%B9%A6%E7%9B%AE%20%E5%B9%B3%E5%BF%83_djvu.txt"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https://archive.org/stream/03044_201909/民国丛书第三编03100-全国总书目 平心_djvu.txt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A193A05">
      <w:pPr>
        <w:numPr>
          <w:ilvl w:val="0"/>
          <w:numId w:val="86"/>
        </w:numPr>
        <w:spacing w:after="210" w:line="360" w:lineRule="auto"/>
      </w:pPr>
      <w:bookmarkStart w:id="204" w:name="fn91"/>
      <w:bookmarkEnd w:id="204"/>
      <w:r>
        <w:fldChar w:fldCharType="begin"/>
      </w:r>
      <w:r>
        <w:instrText xml:space="preserve"> HYPERLINK "https://cons.judicial.gov.tw/docdata.aspx?fid=5304&amp;id=309955"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https://cons.judicial.gov.tw/docdata.aspx?fid=5304&amp;id=309955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A870FF0">
      <w:pPr>
        <w:numPr>
          <w:ilvl w:val="0"/>
          <w:numId w:val="86"/>
        </w:numPr>
        <w:spacing w:after="210" w:line="360" w:lineRule="auto"/>
      </w:pPr>
      <w:bookmarkStart w:id="205" w:name="fn92"/>
      <w:bookmarkEnd w:id="205"/>
      <w:r>
        <w:fldChar w:fldCharType="begin"/>
      </w:r>
      <w:r>
        <w:instrText xml:space="preserve"> HYPERLINK "https://www.zjszdsys.com/uploadpic/file/20260117/20260117194881648164.htm"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https://www.zjszdsys.com/uploadpic/file/20260117/20260117194881648164.htm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6D0BE78">
      <w:pPr>
        <w:numPr>
          <w:ilvl w:val="0"/>
          <w:numId w:val="86"/>
        </w:numPr>
        <w:spacing w:after="210" w:line="360" w:lineRule="auto"/>
      </w:pPr>
      <w:bookmarkStart w:id="206" w:name="fn93"/>
      <w:bookmarkEnd w:id="206"/>
      <w:r>
        <w:fldChar w:fldCharType="begin"/>
      </w:r>
      <w:r>
        <w:instrText xml:space="preserve"> HYPERLINK "http://www.iphone.org.hk/attach/10078-31508Plus3578924211.txt"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http://www.iphone.org.hk/attach/10078-31508Plus3578924211.txt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FFB5B0C">
      <w:pPr>
        <w:numPr>
          <w:ilvl w:val="0"/>
          <w:numId w:val="86"/>
        </w:numPr>
        <w:spacing w:after="210" w:line="360" w:lineRule="auto"/>
      </w:pPr>
      <w:bookmarkStart w:id="207" w:name="fn94"/>
      <w:bookmarkEnd w:id="207"/>
      <w:r>
        <w:fldChar w:fldCharType="begin"/>
      </w:r>
      <w:r>
        <w:instrText xml:space="preserve"> HYPERLINK "http://www.scgti.org/ccg_new_books/%E7%BC%A4%E7%BA%B7%E6%B5%B7%E5%BD%92.pdf"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http://www.scgti.org/ccg_new_books/缤纷海归.pdf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3F82467">
      <w:pPr>
        <w:numPr>
          <w:ilvl w:val="0"/>
          <w:numId w:val="86"/>
        </w:numPr>
        <w:spacing w:after="210" w:line="360" w:lineRule="auto"/>
      </w:pPr>
      <w:bookmarkStart w:id="208" w:name="fn95"/>
      <w:bookmarkEnd w:id="208"/>
      <w:r>
        <w:fldChar w:fldCharType="begin"/>
      </w:r>
      <w:r>
        <w:instrText xml:space="preserve"> HYPERLINK "https://dl.ziliaozhan.win/%E4%B9%A6%E7%B1%8D/pdf/%E5%8E%86%E5%8F%B2/%E7%A9%86%E5%90%AF%E8%92%99%EF%BC%9A%E5%A4%A9%E4%B8%BB%E6%95%99%E5%8F%B2/%E5%A4%A9%E4%B8%BB%E6%95%99%E5%8F%B2%20%E5%8D%B74.pdf"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https://dl.ziliaozhan.win/书籍/pdf/历史/穆启蒙：天主教史/天主教史 卷4.pdf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82F501B">
      <w:pPr>
        <w:numPr>
          <w:ilvl w:val="0"/>
          <w:numId w:val="86"/>
        </w:numPr>
        <w:spacing w:after="210" w:line="360" w:lineRule="auto"/>
      </w:pPr>
      <w:bookmarkStart w:id="209" w:name="fn96"/>
      <w:bookmarkEnd w:id="209"/>
      <w:r>
        <w:fldChar w:fldCharType="begin"/>
      </w:r>
      <w:r>
        <w:instrText xml:space="preserve"> HYPERLINK "https://jingji.cctv.com/2024/03/15/ARTINwhVSZR5NWDZG9InFDV0240315.shtml"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https://jingji.cctv.com/2024/03/15/ARTINwhVSZR5NWDZG9InFDV0240315.shtml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2F59937">
      <w:pPr>
        <w:numPr>
          <w:ilvl w:val="0"/>
          <w:numId w:val="86"/>
        </w:numPr>
        <w:spacing w:after="210" w:line="360" w:lineRule="auto"/>
      </w:pPr>
      <w:bookmarkStart w:id="210" w:name="fn97"/>
      <w:bookmarkEnd w:id="210"/>
      <w:r>
        <w:fldChar w:fldCharType="begin"/>
      </w:r>
      <w:r>
        <w:instrText xml:space="preserve"> HYPERLINK "https://upload.wikimedia.org/wikipedia/commons/3/35/NLC511-023031103010001-77400_%E7%9B%9B%E4%BA%AC%E6%99%82%E5%A0%B1_%E7%AC%AC444%E5%8D%B7.pdf"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https://upload.wikimedia.org/wikipedia/commons/3/35/NLC511-023031103010001-77400_盛京時報_第444卷.pdf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F44A6F6">
      <w:pPr>
        <w:numPr>
          <w:ilvl w:val="0"/>
          <w:numId w:val="86"/>
        </w:numPr>
        <w:spacing w:after="210" w:line="360" w:lineRule="auto"/>
      </w:pPr>
      <w:bookmarkStart w:id="211" w:name="fn98"/>
      <w:bookmarkEnd w:id="211"/>
      <w:r>
        <w:fldChar w:fldCharType="begin"/>
      </w:r>
      <w:r>
        <w:instrText xml:space="preserve"> HYPERLINK "https://m.36kr.com/p/3501325312580738"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https://m.36kr.com/p/3501325312580738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119F6EB">
      <w:pPr>
        <w:numPr>
          <w:ilvl w:val="0"/>
          <w:numId w:val="86"/>
        </w:numPr>
        <w:spacing w:after="210" w:line="360" w:lineRule="auto"/>
      </w:pPr>
      <w:bookmarkStart w:id="212" w:name="fn99"/>
      <w:bookmarkEnd w:id="212"/>
      <w:r>
        <w:fldChar w:fldCharType="begin"/>
      </w:r>
      <w:r>
        <w:instrText xml:space="preserve"> HYPERLINK "https://huggingface.co/espnet/owsm_v2_ebranchformer"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https://huggingface.co/espnet/owsm_v2_ebranchformer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1B16739">
      <w:pPr>
        <w:numPr>
          <w:ilvl w:val="0"/>
          <w:numId w:val="86"/>
        </w:numPr>
        <w:spacing w:after="210" w:line="360" w:lineRule="auto"/>
      </w:pPr>
      <w:bookmarkStart w:id="213" w:name="fn100"/>
      <w:bookmarkEnd w:id="213"/>
      <w:r>
        <w:fldChar w:fldCharType="begin"/>
      </w:r>
      <w:r>
        <w:instrText xml:space="preserve"> HYPERLINK "https://zh.wikisource.org/zh-hans/%E6%B1%A0%E5%8C%97%E5%81%B6%E8%AB%87_(%E5%9B%9B%E5%BA%AB%E5%85%A8%E6%9B%B8%E6%9C%AC)/%E5%85%A8%E8%A6%BD"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https://zh.wikisource.org/zh-hans/池北偶談_(四庫全書本)/全覽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EA1E887">
      <w:pPr>
        <w:numPr>
          <w:ilvl w:val="0"/>
          <w:numId w:val="86"/>
        </w:numPr>
        <w:spacing w:after="210" w:line="360" w:lineRule="auto"/>
      </w:pPr>
      <w:bookmarkStart w:id="214" w:name="fn101"/>
      <w:bookmarkEnd w:id="214"/>
      <w:r>
        <w:fldChar w:fldCharType="begin"/>
      </w:r>
      <w:r>
        <w:instrText xml:space="preserve"> HYPERLINK "https://lib.ntua.edu.tw/wSite/public/Data/f1717050397889.pdf"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https://lib.ntua.edu.tw/wSite/public/Data/f1717050397889.pdf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">
    <w:nsid w:val="845B5372"/>
    <w:multiLevelType w:val="singleLevel"/>
    <w:tmpl w:val="845B537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">
    <w:nsid w:val="91995D4F"/>
    <w:multiLevelType w:val="singleLevel"/>
    <w:tmpl w:val="91995D4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">
    <w:nsid w:val="9288B902"/>
    <w:multiLevelType w:val="singleLevel"/>
    <w:tmpl w:val="9288B90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">
    <w:nsid w:val="9ACF65A0"/>
    <w:multiLevelType w:val="singleLevel"/>
    <w:tmpl w:val="9ACF65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8">
    <w:nsid w:val="9C8AC8EF"/>
    <w:multiLevelType w:val="singleLevel"/>
    <w:tmpl w:val="9C8AC8E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9">
    <w:nsid w:val="A0C93552"/>
    <w:multiLevelType w:val="singleLevel"/>
    <w:tmpl w:val="A0C9355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0">
    <w:nsid w:val="A0F05207"/>
    <w:multiLevelType w:val="singleLevel"/>
    <w:tmpl w:val="A0F0520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1">
    <w:nsid w:val="B0ED9BEA"/>
    <w:multiLevelType w:val="singleLevel"/>
    <w:tmpl w:val="B0ED9BE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2">
    <w:nsid w:val="B0F1ACD9"/>
    <w:multiLevelType w:val="singleLevel"/>
    <w:tmpl w:val="B0F1ACD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3">
    <w:nsid w:val="B23A94A9"/>
    <w:multiLevelType w:val="singleLevel"/>
    <w:tmpl w:val="B23A94A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4">
    <w:nsid w:val="B53F3350"/>
    <w:multiLevelType w:val="singleLevel"/>
    <w:tmpl w:val="B53F335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5">
    <w:nsid w:val="B5E306ED"/>
    <w:multiLevelType w:val="singleLevel"/>
    <w:tmpl w:val="B5E306E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6">
    <w:nsid w:val="B88D21A8"/>
    <w:multiLevelType w:val="multilevel"/>
    <w:tmpl w:val="B88D21A8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17">
    <w:nsid w:val="B8CEF35B"/>
    <w:multiLevelType w:val="singleLevel"/>
    <w:tmpl w:val="B8CEF35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8">
    <w:nsid w:val="BB64CFA9"/>
    <w:multiLevelType w:val="singleLevel"/>
    <w:tmpl w:val="BB64CFA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9">
    <w:nsid w:val="BDA1395C"/>
    <w:multiLevelType w:val="singleLevel"/>
    <w:tmpl w:val="BDA1395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0">
    <w:nsid w:val="BE923771"/>
    <w:multiLevelType w:val="singleLevel"/>
    <w:tmpl w:val="BE92377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1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2">
    <w:nsid w:val="C0915F4F"/>
    <w:multiLevelType w:val="singleLevel"/>
    <w:tmpl w:val="C0915F4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3">
    <w:nsid w:val="C4E0D24A"/>
    <w:multiLevelType w:val="singleLevel"/>
    <w:tmpl w:val="C4E0D24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4">
    <w:nsid w:val="C8879AEF"/>
    <w:multiLevelType w:val="singleLevel"/>
    <w:tmpl w:val="C8879AE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5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6">
    <w:nsid w:val="D7D140E4"/>
    <w:multiLevelType w:val="singleLevel"/>
    <w:tmpl w:val="D7D140E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7">
    <w:nsid w:val="D7F9FE59"/>
    <w:multiLevelType w:val="singleLevel"/>
    <w:tmpl w:val="D7F9FE5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8">
    <w:nsid w:val="DAD3A854"/>
    <w:multiLevelType w:val="singleLevel"/>
    <w:tmpl w:val="DAD3A85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9">
    <w:nsid w:val="DCBA6B53"/>
    <w:multiLevelType w:val="singleLevel"/>
    <w:tmpl w:val="DCBA6B5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0">
    <w:nsid w:val="E093A4B0"/>
    <w:multiLevelType w:val="singleLevel"/>
    <w:tmpl w:val="E093A4B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1">
    <w:nsid w:val="E504947C"/>
    <w:multiLevelType w:val="singleLevel"/>
    <w:tmpl w:val="E504947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2">
    <w:nsid w:val="E7B27C5B"/>
    <w:multiLevelType w:val="multilevel"/>
    <w:tmpl w:val="E7B27C5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33">
    <w:nsid w:val="F0E89278"/>
    <w:multiLevelType w:val="singleLevel"/>
    <w:tmpl w:val="F0E8927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4">
    <w:nsid w:val="F4B5D9F5"/>
    <w:multiLevelType w:val="singleLevel"/>
    <w:tmpl w:val="F4B5D9F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5">
    <w:nsid w:val="F689643B"/>
    <w:multiLevelType w:val="singleLevel"/>
    <w:tmpl w:val="F689643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6">
    <w:nsid w:val="F7735DC9"/>
    <w:multiLevelType w:val="singleLevel"/>
    <w:tmpl w:val="F7735DC9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7">
    <w:nsid w:val="FEC2EA36"/>
    <w:multiLevelType w:val="singleLevel"/>
    <w:tmpl w:val="FEC2EA3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8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9">
    <w:nsid w:val="0248C179"/>
    <w:multiLevelType w:val="singleLevel"/>
    <w:tmpl w:val="0248C1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0">
    <w:nsid w:val="03A63A41"/>
    <w:multiLevelType w:val="singleLevel"/>
    <w:tmpl w:val="03A63A4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1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2">
    <w:nsid w:val="0709FD3E"/>
    <w:multiLevelType w:val="singleLevel"/>
    <w:tmpl w:val="0709FD3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3">
    <w:nsid w:val="0CEF100B"/>
    <w:multiLevelType w:val="singleLevel"/>
    <w:tmpl w:val="0CEF100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4">
    <w:nsid w:val="0E640482"/>
    <w:multiLevelType w:val="singleLevel"/>
    <w:tmpl w:val="0E64048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5">
    <w:nsid w:val="0F9F9CCA"/>
    <w:multiLevelType w:val="singleLevel"/>
    <w:tmpl w:val="0F9F9CC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6">
    <w:nsid w:val="12EADF99"/>
    <w:multiLevelType w:val="singleLevel"/>
    <w:tmpl w:val="12EADF9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7">
    <w:nsid w:val="18F74015"/>
    <w:multiLevelType w:val="singleLevel"/>
    <w:tmpl w:val="18F7401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8">
    <w:nsid w:val="1ACDE60F"/>
    <w:multiLevelType w:val="singleLevel"/>
    <w:tmpl w:val="1ACDE6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9">
    <w:nsid w:val="1C257C7B"/>
    <w:multiLevelType w:val="singleLevel"/>
    <w:tmpl w:val="1C257C7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0">
    <w:nsid w:val="23E97754"/>
    <w:multiLevelType w:val="singleLevel"/>
    <w:tmpl w:val="23E9775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1">
    <w:nsid w:val="243FCF68"/>
    <w:multiLevelType w:val="singleLevel"/>
    <w:tmpl w:val="243FCF6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2">
    <w:nsid w:val="2470EC97"/>
    <w:multiLevelType w:val="singleLevel"/>
    <w:tmpl w:val="2470EC9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3">
    <w:nsid w:val="25B654F3"/>
    <w:multiLevelType w:val="singleLevel"/>
    <w:tmpl w:val="25B654F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4">
    <w:nsid w:val="2A8F537B"/>
    <w:multiLevelType w:val="singleLevel"/>
    <w:tmpl w:val="2A8F537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5">
    <w:nsid w:val="2F2D79CE"/>
    <w:multiLevelType w:val="multilevel"/>
    <w:tmpl w:val="2F2D79CE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56">
    <w:nsid w:val="30A0AC00"/>
    <w:multiLevelType w:val="singleLevel"/>
    <w:tmpl w:val="30A0AC0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7">
    <w:nsid w:val="30FC5B15"/>
    <w:multiLevelType w:val="singleLevel"/>
    <w:tmpl w:val="30FC5B1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8">
    <w:nsid w:val="322D85CA"/>
    <w:multiLevelType w:val="singleLevel"/>
    <w:tmpl w:val="322D85C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9">
    <w:nsid w:val="32A7AF2D"/>
    <w:multiLevelType w:val="singleLevel"/>
    <w:tmpl w:val="32A7AF2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0">
    <w:nsid w:val="35E83B33"/>
    <w:multiLevelType w:val="singleLevel"/>
    <w:tmpl w:val="35E83B3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1">
    <w:nsid w:val="39A0D9AC"/>
    <w:multiLevelType w:val="singleLevel"/>
    <w:tmpl w:val="39A0D9A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2">
    <w:nsid w:val="3B8127DF"/>
    <w:multiLevelType w:val="singleLevel"/>
    <w:tmpl w:val="3B8127D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3">
    <w:nsid w:val="40B249F9"/>
    <w:multiLevelType w:val="singleLevel"/>
    <w:tmpl w:val="40B249F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4">
    <w:nsid w:val="46A08BB8"/>
    <w:multiLevelType w:val="singleLevel"/>
    <w:tmpl w:val="46A08BB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5">
    <w:nsid w:val="4C1BAE26"/>
    <w:multiLevelType w:val="singleLevel"/>
    <w:tmpl w:val="4C1BAE2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6">
    <w:nsid w:val="4C3D7A74"/>
    <w:multiLevelType w:val="singleLevel"/>
    <w:tmpl w:val="4C3D7A7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7">
    <w:nsid w:val="4D4DC07F"/>
    <w:multiLevelType w:val="singleLevel"/>
    <w:tmpl w:val="4D4DC07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8">
    <w:nsid w:val="4D94DA66"/>
    <w:multiLevelType w:val="singleLevel"/>
    <w:tmpl w:val="4D94DA6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9">
    <w:nsid w:val="58765686"/>
    <w:multiLevelType w:val="singleLevel"/>
    <w:tmpl w:val="5876568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0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1">
    <w:nsid w:val="59EEFD2A"/>
    <w:multiLevelType w:val="singleLevel"/>
    <w:tmpl w:val="59EEFD2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2">
    <w:nsid w:val="5A241D34"/>
    <w:multiLevelType w:val="singleLevel"/>
    <w:tmpl w:val="5A241D3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3">
    <w:nsid w:val="5E29AB5A"/>
    <w:multiLevelType w:val="singleLevel"/>
    <w:tmpl w:val="5E29AB5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4">
    <w:nsid w:val="5FFFB1A7"/>
    <w:multiLevelType w:val="singleLevel"/>
    <w:tmpl w:val="5FFFB1A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5">
    <w:nsid w:val="60382F6E"/>
    <w:multiLevelType w:val="singleLevel"/>
    <w:tmpl w:val="60382F6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6">
    <w:nsid w:val="629F7852"/>
    <w:multiLevelType w:val="singleLevel"/>
    <w:tmpl w:val="629F785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7">
    <w:nsid w:val="65CD0074"/>
    <w:multiLevelType w:val="singleLevel"/>
    <w:tmpl w:val="65CD007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8">
    <w:nsid w:val="700FDCEF"/>
    <w:multiLevelType w:val="singleLevel"/>
    <w:tmpl w:val="700FDCE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79">
    <w:nsid w:val="72183CF9"/>
    <w:multiLevelType w:val="singleLevel"/>
    <w:tmpl w:val="72183CF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80">
    <w:nsid w:val="74C28B35"/>
    <w:multiLevelType w:val="singleLevel"/>
    <w:tmpl w:val="74C28B3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81">
    <w:nsid w:val="77633216"/>
    <w:multiLevelType w:val="singleLevel"/>
    <w:tmpl w:val="7763321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82">
    <w:nsid w:val="77ECEA79"/>
    <w:multiLevelType w:val="singleLevel"/>
    <w:tmpl w:val="77ECEA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83">
    <w:nsid w:val="79AA4FA4"/>
    <w:multiLevelType w:val="singleLevel"/>
    <w:tmpl w:val="79AA4FA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84">
    <w:nsid w:val="7C246926"/>
    <w:multiLevelType w:val="singleLevel"/>
    <w:tmpl w:val="7C24692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85">
    <w:nsid w:val="7DEC2089"/>
    <w:multiLevelType w:val="singleLevel"/>
    <w:tmpl w:val="7DEC208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num w:numId="1">
    <w:abstractNumId w:val="38"/>
  </w:num>
  <w:num w:numId="2">
    <w:abstractNumId w:val="25"/>
  </w:num>
  <w:num w:numId="3">
    <w:abstractNumId w:val="70"/>
  </w:num>
  <w:num w:numId="4">
    <w:abstractNumId w:val="21"/>
  </w:num>
  <w:num w:numId="5">
    <w:abstractNumId w:val="15"/>
  </w:num>
  <w:num w:numId="6">
    <w:abstractNumId w:val="41"/>
  </w:num>
  <w:num w:numId="7">
    <w:abstractNumId w:val="53"/>
  </w:num>
  <w:num w:numId="8">
    <w:abstractNumId w:val="79"/>
  </w:num>
  <w:num w:numId="9">
    <w:abstractNumId w:val="39"/>
  </w:num>
  <w:num w:numId="10">
    <w:abstractNumId w:val="5"/>
  </w:num>
  <w:num w:numId="11">
    <w:abstractNumId w:val="54"/>
  </w:num>
  <w:num w:numId="12">
    <w:abstractNumId w:val="72"/>
  </w:num>
  <w:num w:numId="13">
    <w:abstractNumId w:val="24"/>
  </w:num>
  <w:num w:numId="14">
    <w:abstractNumId w:val="67"/>
  </w:num>
  <w:num w:numId="15">
    <w:abstractNumId w:val="34"/>
  </w:num>
  <w:num w:numId="16">
    <w:abstractNumId w:val="52"/>
  </w:num>
  <w:num w:numId="17">
    <w:abstractNumId w:val="29"/>
  </w:num>
  <w:num w:numId="18">
    <w:abstractNumId w:val="27"/>
  </w:num>
  <w:num w:numId="19">
    <w:abstractNumId w:val="8"/>
  </w:num>
  <w:num w:numId="20">
    <w:abstractNumId w:val="65"/>
  </w:num>
  <w:num w:numId="21">
    <w:abstractNumId w:val="75"/>
  </w:num>
  <w:num w:numId="22">
    <w:abstractNumId w:val="44"/>
  </w:num>
  <w:num w:numId="23">
    <w:abstractNumId w:val="64"/>
  </w:num>
  <w:num w:numId="24">
    <w:abstractNumId w:val="12"/>
  </w:num>
  <w:num w:numId="25">
    <w:abstractNumId w:val="84"/>
  </w:num>
  <w:num w:numId="26">
    <w:abstractNumId w:val="82"/>
  </w:num>
  <w:num w:numId="27">
    <w:abstractNumId w:val="20"/>
  </w:num>
  <w:num w:numId="28">
    <w:abstractNumId w:val="76"/>
  </w:num>
  <w:num w:numId="29">
    <w:abstractNumId w:val="6"/>
  </w:num>
  <w:num w:numId="30">
    <w:abstractNumId w:val="61"/>
  </w:num>
  <w:num w:numId="31">
    <w:abstractNumId w:val="2"/>
  </w:num>
  <w:num w:numId="32">
    <w:abstractNumId w:val="69"/>
  </w:num>
  <w:num w:numId="33">
    <w:abstractNumId w:val="85"/>
  </w:num>
  <w:num w:numId="34">
    <w:abstractNumId w:val="0"/>
  </w:num>
  <w:num w:numId="35">
    <w:abstractNumId w:val="51"/>
  </w:num>
  <w:num w:numId="36">
    <w:abstractNumId w:val="68"/>
  </w:num>
  <w:num w:numId="37">
    <w:abstractNumId w:val="36"/>
  </w:num>
  <w:num w:numId="38">
    <w:abstractNumId w:val="30"/>
  </w:num>
  <w:num w:numId="39">
    <w:abstractNumId w:val="57"/>
  </w:num>
  <w:num w:numId="40">
    <w:abstractNumId w:val="83"/>
  </w:num>
  <w:num w:numId="41">
    <w:abstractNumId w:val="18"/>
  </w:num>
  <w:num w:numId="42">
    <w:abstractNumId w:val="4"/>
  </w:num>
  <w:num w:numId="43">
    <w:abstractNumId w:val="17"/>
  </w:num>
  <w:num w:numId="44">
    <w:abstractNumId w:val="73"/>
  </w:num>
  <w:num w:numId="45">
    <w:abstractNumId w:val="1"/>
  </w:num>
  <w:num w:numId="46">
    <w:abstractNumId w:val="48"/>
  </w:num>
  <w:num w:numId="47">
    <w:abstractNumId w:val="3"/>
  </w:num>
  <w:num w:numId="48">
    <w:abstractNumId w:val="74"/>
  </w:num>
  <w:num w:numId="49">
    <w:abstractNumId w:val="80"/>
  </w:num>
  <w:num w:numId="50">
    <w:abstractNumId w:val="66"/>
  </w:num>
  <w:num w:numId="51">
    <w:abstractNumId w:val="58"/>
  </w:num>
  <w:num w:numId="52">
    <w:abstractNumId w:val="77"/>
  </w:num>
  <w:num w:numId="53">
    <w:abstractNumId w:val="42"/>
  </w:num>
  <w:num w:numId="54">
    <w:abstractNumId w:val="43"/>
  </w:num>
  <w:num w:numId="55">
    <w:abstractNumId w:val="26"/>
  </w:num>
  <w:num w:numId="56">
    <w:abstractNumId w:val="59"/>
  </w:num>
  <w:num w:numId="57">
    <w:abstractNumId w:val="49"/>
  </w:num>
  <w:num w:numId="58">
    <w:abstractNumId w:val="33"/>
  </w:num>
  <w:num w:numId="59">
    <w:abstractNumId w:val="50"/>
  </w:num>
  <w:num w:numId="60">
    <w:abstractNumId w:val="14"/>
  </w:num>
  <w:num w:numId="61">
    <w:abstractNumId w:val="63"/>
  </w:num>
  <w:num w:numId="62">
    <w:abstractNumId w:val="45"/>
  </w:num>
  <w:num w:numId="63">
    <w:abstractNumId w:val="60"/>
  </w:num>
  <w:num w:numId="64">
    <w:abstractNumId w:val="40"/>
  </w:num>
  <w:num w:numId="65">
    <w:abstractNumId w:val="22"/>
  </w:num>
  <w:num w:numId="66">
    <w:abstractNumId w:val="46"/>
  </w:num>
  <w:num w:numId="67">
    <w:abstractNumId w:val="13"/>
  </w:num>
  <w:num w:numId="68">
    <w:abstractNumId w:val="62"/>
  </w:num>
  <w:num w:numId="69">
    <w:abstractNumId w:val="10"/>
  </w:num>
  <w:num w:numId="70">
    <w:abstractNumId w:val="35"/>
  </w:num>
  <w:num w:numId="71">
    <w:abstractNumId w:val="56"/>
  </w:num>
  <w:num w:numId="72">
    <w:abstractNumId w:val="37"/>
  </w:num>
  <w:num w:numId="73">
    <w:abstractNumId w:val="47"/>
  </w:num>
  <w:num w:numId="74">
    <w:abstractNumId w:val="78"/>
  </w:num>
  <w:num w:numId="75">
    <w:abstractNumId w:val="31"/>
  </w:num>
  <w:num w:numId="76">
    <w:abstractNumId w:val="23"/>
  </w:num>
  <w:num w:numId="77">
    <w:abstractNumId w:val="9"/>
  </w:num>
  <w:num w:numId="78">
    <w:abstractNumId w:val="81"/>
  </w:num>
  <w:num w:numId="79">
    <w:abstractNumId w:val="28"/>
  </w:num>
  <w:num w:numId="80">
    <w:abstractNumId w:val="16"/>
  </w:num>
  <w:num w:numId="81">
    <w:abstractNumId w:val="55"/>
  </w:num>
  <w:num w:numId="82">
    <w:abstractNumId w:val="32"/>
  </w:num>
  <w:num w:numId="83">
    <w:abstractNumId w:val="7"/>
  </w:num>
  <w:num w:numId="84">
    <w:abstractNumId w:val="71"/>
  </w:num>
  <w:num w:numId="85">
    <w:abstractNumId w:val="19"/>
  </w:num>
  <w:num w:numId="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26E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zh-CN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nhideWhenUsed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  <w:style w:type="table" w:customStyle="1" w:styleId="5">
    <w:name w:val="Normal Grid"/>
    <w:basedOn w:val="2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36</Pages>
  <Words>758</Words>
  <Characters>801</Characters>
  <TotalTime>0</TotalTime>
  <ScaleCrop>false</ScaleCrop>
  <LinksUpToDate>false</LinksUpToDate>
  <CharactersWithSpaces>802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2026-01-17T18:34:00Z</dcterms:created>
  <dc:creator>html-to-docx</dc:creator>
  <cp:keywords>html-to-docx</cp:keywords>
  <cp:lastModifiedBy>dyx</cp:lastModifiedBy>
  <dcterms:modified xsi:type="dcterms:W3CDTF">2026-01-17T18:39:11Z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eyJoZGlkIjoiMzEwNTM5NzYwMDRjMzkwZTVkZjY2ODkwMGIxNGU0OTUiLCJ1c2VySWQiOiIxMzIzODQxOTU2In0=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B635FF0F59F94019BD580EF4A6A1B980_12</vt:lpwstr>
  </property>
</Properties>
</file>