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FF939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EADAE01">
      <w:pPr>
        <w:spacing w:before="157" w:after="157" w:line="270" w:lineRule="auto"/>
        <w:jc w:val="left"/>
      </w:pPr>
      <w:bookmarkStart w:id="0" w:name="中国收入阶层与中产阶级财务状况说明材料"/>
      <w:r>
        <w:rPr>
          <w:rFonts w:ascii="inter" w:hAnsi="inter" w:eastAsia="inter" w:cs="inter"/>
          <w:b/>
          <w:color w:val="000000"/>
          <w:sz w:val="39"/>
        </w:rPr>
        <w:t>中国收入阶层与中产阶级财务状况说明材料</w:t>
      </w:r>
      <w:bookmarkEnd w:id="0"/>
    </w:p>
    <w:p w14:paraId="24BC4FD5">
      <w:pPr>
        <w:spacing w:before="315" w:after="105" w:line="360" w:lineRule="auto"/>
        <w:ind w:left="-30"/>
        <w:jc w:val="left"/>
      </w:pPr>
      <w:bookmarkStart w:id="1" w:name="一_中国主要收入阶层结构"/>
      <w:r>
        <w:rPr>
          <w:rFonts w:ascii="inter" w:hAnsi="inter" w:eastAsia="inter" w:cs="inter"/>
          <w:b/>
          <w:color w:val="000000"/>
          <w:sz w:val="24"/>
        </w:rPr>
        <w:t>一、中国主要收入阶层结构</w:t>
      </w:r>
      <w:bookmarkEnd w:id="1"/>
    </w:p>
    <w:p w14:paraId="48B1A4D7">
      <w:pPr>
        <w:spacing w:after="210" w:line="360" w:lineRule="auto"/>
      </w:pPr>
      <w:r>
        <w:rPr>
          <w:rFonts w:ascii="inter" w:hAnsi="inter" w:eastAsia="inter" w:cs="inter"/>
          <w:color w:val="000000"/>
        </w:rPr>
        <w:t>根据最新官方统计数据，中国可将居民按收入分为五个主要阶层：</w:t>
      </w:r>
      <w:bookmarkStart w:id="2" w:name="fnref1"/>
      <w:bookmarkEnd w:id="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32BD9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低收入阶层</w:t>
      </w:r>
      <w:r>
        <w:rPr>
          <w:rFonts w:ascii="inter" w:hAnsi="inter" w:eastAsia="inter" w:cs="inter"/>
          <w:color w:val="000000"/>
        </w:rPr>
        <w:t>：年可支配收入约5,500元以下，占人口的约17%。这个群体多为农村居民、失业人口及基层工作者，生活水平基本满足日常温饱需求，缺乏储蓄能力。</w:t>
      </w:r>
      <w:bookmarkStart w:id="3" w:name="fnref2"/>
      <w:bookmarkEnd w:id="3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E95007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中低收入阶层</w:t>
      </w:r>
      <w:r>
        <w:rPr>
          <w:rFonts w:ascii="inter" w:hAnsi="inter" w:eastAsia="inter" w:cs="inter"/>
          <w:color w:val="000000"/>
        </w:rPr>
        <w:t>：年可支配收入约13,000元左右。这部分人口有一定的收入稳定性，但购买力有限，主要消费集中在生活必需品上。</w:t>
      </w:r>
    </w:p>
    <w:p w14:paraId="3E30671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中等收入阶层</w:t>
      </w:r>
      <w:r>
        <w:rPr>
          <w:rFonts w:ascii="inter" w:hAnsi="inter" w:eastAsia="inter" w:cs="inter"/>
          <w:color w:val="000000"/>
        </w:rPr>
        <w:t>：年可支配收入约20,000-30,000元。在二三线城市，这个收入水平可以勉强应付基本的房屋、教育和医疗支出，但压力较大。</w:t>
      </w:r>
      <w:bookmarkStart w:id="4" w:name="fnref3"/>
      <w:bookmarkEnd w:id="4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48" w:name="_GoBack"/>
      <w:bookmarkEnd w:id="148"/>
    </w:p>
    <w:p w14:paraId="477E6D9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中上收入阶层</w:t>
      </w:r>
      <w:r>
        <w:rPr>
          <w:rFonts w:ascii="inter" w:hAnsi="inter" w:eastAsia="inter" w:cs="inter"/>
          <w:color w:val="000000"/>
        </w:rPr>
        <w:t>：年可支配收入32,000元以上。这部分人口开始有一定的投资理财能力和消费升级空间。</w:t>
      </w:r>
    </w:p>
    <w:p w14:paraId="07CD35D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高收入阶层</w:t>
      </w:r>
      <w:r>
        <w:rPr>
          <w:rFonts w:ascii="inter" w:hAnsi="inter" w:eastAsia="inter" w:cs="inter"/>
          <w:color w:val="000000"/>
        </w:rPr>
        <w:t>：年可支配收入超过60,000元。这个群体包括企业高管、专业人士、创业者等，具有较强的消费和投资能力。</w:t>
      </w:r>
    </w:p>
    <w:p w14:paraId="7D110D34">
      <w:pPr>
        <w:spacing w:after="210" w:line="360" w:lineRule="auto"/>
      </w:pPr>
      <w:r>
        <w:rPr>
          <w:rFonts w:ascii="inter" w:hAnsi="inter" w:eastAsia="inter" w:cs="inter"/>
          <w:color w:val="000000"/>
        </w:rPr>
        <w:t>根据世界银行数据，截至2021年，中国已进入稳定中产阶层的人口占总人口的32.1%，相比2010年的9.8%增长明显。</w:t>
      </w:r>
      <w:bookmarkStart w:id="5" w:name="fnref2_1"/>
      <w:bookmarkEnd w:id="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29E7CA9">
      <w:pPr>
        <w:spacing w:before="315" w:after="105" w:line="360" w:lineRule="auto"/>
        <w:ind w:left="-30"/>
        <w:jc w:val="left"/>
      </w:pPr>
      <w:bookmarkStart w:id="6" w:name="二_各阶层的财务现状"/>
      <w:r>
        <w:rPr>
          <w:rFonts w:ascii="inter" w:hAnsi="inter" w:eastAsia="inter" w:cs="inter"/>
          <w:b/>
          <w:color w:val="000000"/>
          <w:sz w:val="24"/>
        </w:rPr>
        <w:t>二、各阶层的财务现状</w:t>
      </w:r>
      <w:bookmarkEnd w:id="6"/>
    </w:p>
    <w:p w14:paraId="39F011B2">
      <w:pPr>
        <w:spacing w:before="315" w:after="105" w:line="360" w:lineRule="auto"/>
        <w:ind w:left="-30"/>
        <w:jc w:val="left"/>
      </w:pPr>
      <w:bookmarkStart w:id="7" w:name="国家整体收入情况"/>
      <w:r>
        <w:rPr>
          <w:rFonts w:ascii="inter" w:hAnsi="inter" w:eastAsia="inter" w:cs="inter"/>
          <w:b/>
          <w:color w:val="000000"/>
          <w:sz w:val="24"/>
        </w:rPr>
        <w:t>国家整体收入情况</w:t>
      </w:r>
      <w:bookmarkEnd w:id="7"/>
    </w:p>
    <w:p w14:paraId="4AE75315">
      <w:pPr>
        <w:spacing w:after="210" w:line="360" w:lineRule="auto"/>
      </w:pPr>
      <w:r>
        <w:rPr>
          <w:rFonts w:ascii="inter" w:hAnsi="inter" w:eastAsia="inter" w:cs="inter"/>
          <w:color w:val="000000"/>
        </w:rPr>
        <w:t>2024年，中国城镇居民人均年可支配收入为54,188元，农村居民为23,119元，全国平均为41,314元。 其中，工资性收入占56.5%，经营净收入占16.7%，财产净收入占8.3%，转移净收入占18.5%。</w:t>
      </w:r>
      <w:bookmarkStart w:id="8" w:name="fnref1_1"/>
      <w:bookmarkEnd w:id="8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D7835B7">
      <w:pPr>
        <w:spacing w:before="315" w:after="105" w:line="360" w:lineRule="auto"/>
        <w:ind w:left="-30"/>
        <w:jc w:val="left"/>
      </w:pPr>
      <w:bookmarkStart w:id="9" w:name="城乡与地区差异"/>
      <w:r>
        <w:rPr>
          <w:rFonts w:ascii="inter" w:hAnsi="inter" w:eastAsia="inter" w:cs="inter"/>
          <w:b/>
          <w:color w:val="000000"/>
          <w:sz w:val="24"/>
        </w:rPr>
        <w:t>城乡与地区差异</w:t>
      </w:r>
      <w:bookmarkEnd w:id="9"/>
    </w:p>
    <w:p w14:paraId="5FD5A7CF">
      <w:pPr>
        <w:spacing w:after="210" w:line="360" w:lineRule="auto"/>
      </w:pPr>
      <w:r>
        <w:rPr>
          <w:rFonts w:ascii="inter" w:hAnsi="inter" w:eastAsia="inter" w:cs="inter"/>
          <w:color w:val="000000"/>
        </w:rPr>
        <w:t>城乡收入差距明显。城镇与农村的收入中位数差距更大，城镇居民人均消费支出达34,557元，而农村仅为19,280元。 这反映了城市化进程中的不平衡发展现象。</w:t>
      </w:r>
      <w:bookmarkStart w:id="10" w:name="fnref1_2"/>
      <w:bookmarkEnd w:id="10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F36A452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不同城市的生活成本和收入标准差异巨大。一线城市（北京、上海、广州、深圳）的收入和房价都远高于二三线城市，对中产阶层的定义也形成了明显的地域差异。</w:t>
      </w:r>
      <w:bookmarkStart w:id="11" w:name="fnref4"/>
      <w:bookmarkEnd w:id="11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077376D">
      <w:pPr>
        <w:spacing w:before="315" w:after="105" w:line="360" w:lineRule="auto"/>
        <w:ind w:left="-30"/>
        <w:jc w:val="left"/>
      </w:pPr>
      <w:bookmarkStart w:id="12" w:name="富裕家庭规模"/>
      <w:r>
        <w:rPr>
          <w:rFonts w:ascii="inter" w:hAnsi="inter" w:eastAsia="inter" w:cs="inter"/>
          <w:b/>
          <w:color w:val="000000"/>
          <w:sz w:val="24"/>
        </w:rPr>
        <w:t>富裕家庭规模</w:t>
      </w:r>
      <w:bookmarkEnd w:id="12"/>
    </w:p>
    <w:p w14:paraId="415DEA2F">
      <w:pPr>
        <w:spacing w:after="210" w:line="360" w:lineRule="auto"/>
      </w:pPr>
      <w:r>
        <w:rPr>
          <w:rFonts w:ascii="inter" w:hAnsi="inter" w:eastAsia="inter" w:cs="inter"/>
          <w:color w:val="000000"/>
        </w:rPr>
        <w:t>截至2024年，中国拥有600万元以上资产的富裕家庭约512.8万户，其中拥有千万元资产的高净值家庭206.6万户，拥有亿元以上资产的超高净值家庭约13万户。 这些富裕家庭主要分布在北京、广东、上海等地。</w:t>
      </w:r>
      <w:bookmarkStart w:id="13" w:name="fnref5"/>
      <w:bookmarkEnd w:id="13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9877178">
      <w:pPr>
        <w:spacing w:before="315" w:after="105" w:line="360" w:lineRule="auto"/>
        <w:ind w:left="-30"/>
        <w:jc w:val="left"/>
      </w:pPr>
      <w:bookmarkStart w:id="14" w:name="三_中产阶级的定义与规模"/>
      <w:r>
        <w:rPr>
          <w:rFonts w:ascii="inter" w:hAnsi="inter" w:eastAsia="inter" w:cs="inter"/>
          <w:b/>
          <w:color w:val="000000"/>
          <w:sz w:val="24"/>
        </w:rPr>
        <w:t>三、中产阶级的定义与规模</w:t>
      </w:r>
      <w:bookmarkEnd w:id="14"/>
    </w:p>
    <w:p w14:paraId="0A38A87A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中国对"中产"的定义因机构而异，但几种主要标准如下：</w:t>
      </w:r>
    </w:p>
    <w:p w14:paraId="398A615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政府定义（国家统计局）</w:t>
      </w:r>
      <w:r>
        <w:rPr>
          <w:rFonts w:ascii="inter" w:hAnsi="inter" w:eastAsia="inter" w:cs="inter"/>
          <w:color w:val="000000"/>
        </w:rPr>
        <w:t>：年家庭收入10万-50万元。按此标准，中国约有4亿人（1.4亿个家庭）的购买力可支持购房、购车、休闲旅游等。</w:t>
      </w:r>
      <w:bookmarkStart w:id="15" w:name="fnref3_1"/>
      <w:bookmarkEnd w:id="15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2C9977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麦肯锡定义</w:t>
      </w:r>
      <w:r>
        <w:rPr>
          <w:rFonts w:ascii="inter" w:hAnsi="inter" w:eastAsia="inter" w:cs="inter"/>
          <w:color w:val="000000"/>
        </w:rPr>
        <w:t>：家庭年收入6万-22.9万元人民币。按此范围，2022年有超过75%的中国城市家庭属于中产阶级。</w:t>
      </w:r>
      <w:bookmarkStart w:id="16" w:name="fnref6"/>
      <w:bookmarkEnd w:id="16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4FC01E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胡润百富定义</w:t>
      </w:r>
      <w:r>
        <w:rPr>
          <w:rFonts w:ascii="inter" w:hAnsi="inter" w:eastAsia="inter" w:cs="inter"/>
          <w:color w:val="000000"/>
        </w:rPr>
        <w:t>：一线城市家庭年收入30万元以上，其他城市20万元以上。按此标准，中国约有3,321万户中产家庭，覆盖1亿多人口。</w:t>
      </w:r>
      <w:bookmarkStart w:id="17" w:name="fnref4_1"/>
      <w:bookmarkEnd w:id="17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1F02D4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新中产定义</w:t>
      </w:r>
      <w:r>
        <w:rPr>
          <w:rFonts w:ascii="inter" w:hAnsi="inter" w:eastAsia="inter" w:cs="inter"/>
          <w:color w:val="000000"/>
        </w:rPr>
        <w:t>：年家庭收入65万元、平均年龄35岁、家庭年均可支配收入50万元的群体。这部分人口代表消费趋势的引领者。</w:t>
      </w:r>
      <w:bookmarkStart w:id="18" w:name="fnref4_2"/>
      <w:bookmarkEnd w:id="18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11F788F">
      <w:pPr>
        <w:spacing w:after="210" w:line="360" w:lineRule="auto"/>
      </w:pPr>
      <w:r>
        <w:rPr>
          <w:rFonts w:ascii="inter" w:hAnsi="inter" w:eastAsia="inter" w:cs="inter"/>
          <w:color w:val="000000"/>
        </w:rPr>
        <w:t>各种定义下，中产阶级人数的估计范围从2亿多人到3亿人不等，占全国人口的15%-20%。</w:t>
      </w:r>
    </w:p>
    <w:p w14:paraId="438F1B82">
      <w:pPr>
        <w:spacing w:before="315" w:after="105" w:line="360" w:lineRule="auto"/>
        <w:ind w:left="-30"/>
        <w:jc w:val="left"/>
      </w:pPr>
      <w:bookmarkStart w:id="19" w:name="四_中产阶级的详细特征"/>
      <w:r>
        <w:rPr>
          <w:rFonts w:ascii="inter" w:hAnsi="inter" w:eastAsia="inter" w:cs="inter"/>
          <w:b/>
          <w:color w:val="000000"/>
          <w:sz w:val="24"/>
        </w:rPr>
        <w:t>四、中产阶级的详细特征</w:t>
      </w:r>
      <w:bookmarkEnd w:id="19"/>
    </w:p>
    <w:p w14:paraId="59C0D78B">
      <w:pPr>
        <w:spacing w:before="315" w:after="105" w:line="360" w:lineRule="auto"/>
        <w:ind w:left="-30"/>
        <w:jc w:val="left"/>
      </w:pPr>
      <w:bookmarkStart w:id="20" w:name="收入来源与水平"/>
      <w:r>
        <w:rPr>
          <w:rFonts w:ascii="inter" w:hAnsi="inter" w:eastAsia="inter" w:cs="inter"/>
          <w:b/>
          <w:color w:val="000000"/>
          <w:sz w:val="24"/>
        </w:rPr>
        <w:t>收入来源与水平</w:t>
      </w:r>
      <w:bookmarkEnd w:id="20"/>
    </w:p>
    <w:p w14:paraId="5FF05876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中产家庭的主要收入来源是工资性收入，占60%以上。此外还包括经营净收入（如小生意收入）、投资理财收益等。</w:t>
      </w:r>
      <w:bookmarkStart w:id="21" w:name="fnref1_3"/>
      <w:bookmarkEnd w:id="2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F27EE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一线城市中产</w:t>
      </w:r>
      <w:r>
        <w:rPr>
          <w:rFonts w:ascii="inter" w:hAnsi="inter" w:eastAsia="inter" w:cs="inter"/>
          <w:color w:val="000000"/>
          <w:sz w:val="21"/>
        </w:rPr>
        <w:t>：年收入通常在30万-50万元之间</w:t>
      </w:r>
    </w:p>
    <w:p w14:paraId="1439356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二线城市中产</w:t>
      </w:r>
      <w:r>
        <w:rPr>
          <w:rFonts w:ascii="inter" w:hAnsi="inter" w:eastAsia="inter" w:cs="inter"/>
          <w:color w:val="000000"/>
          <w:sz w:val="21"/>
        </w:rPr>
        <w:t>：年收入在20万-30万元之间</w:t>
      </w:r>
    </w:p>
    <w:p w14:paraId="73D8F4C6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三线城市中产</w:t>
      </w:r>
      <w:r>
        <w:rPr>
          <w:rFonts w:ascii="inter" w:hAnsi="inter" w:eastAsia="inter" w:cs="inter"/>
          <w:color w:val="000000"/>
          <w:sz w:val="21"/>
        </w:rPr>
        <w:t>：年收入在15万-25万元之间</w:t>
      </w:r>
    </w:p>
    <w:p w14:paraId="6BA6B057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这些数字包含了税前收入。对于年收入30万元以上的中产家庭，实际税后收入可能只有60%-70%。</w:t>
      </w:r>
      <w:bookmarkStart w:id="22" w:name="fnref7"/>
      <w:bookmarkEnd w:id="22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6F2F906">
      <w:pPr>
        <w:spacing w:before="315" w:after="105" w:line="360" w:lineRule="auto"/>
        <w:ind w:left="-30"/>
        <w:jc w:val="left"/>
      </w:pPr>
      <w:bookmarkStart w:id="23" w:name="职业构成"/>
      <w:r>
        <w:rPr>
          <w:rFonts w:ascii="inter" w:hAnsi="inter" w:eastAsia="inter" w:cs="inter"/>
          <w:b/>
          <w:color w:val="000000"/>
          <w:sz w:val="24"/>
        </w:rPr>
        <w:t>职业构成</w:t>
      </w:r>
      <w:bookmarkEnd w:id="23"/>
    </w:p>
    <w:p w14:paraId="20D2B635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中产阶层主要由以下职业组成：</w:t>
      </w:r>
      <w:bookmarkStart w:id="24" w:name="fnref8"/>
      <w:bookmarkEnd w:id="24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F295ADA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国企/民企中层管理人员（企业经理、部门主管）</w:t>
      </w:r>
    </w:p>
    <w:p w14:paraId="624D56C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专业技术人员（工程师、建筑师、医生等）</w:t>
      </w:r>
    </w:p>
    <w:p w14:paraId="6C7F94C2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公务员和事业单位工作人员</w:t>
      </w:r>
    </w:p>
    <w:p w14:paraId="268EB53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私营企业主和个体经营者</w:t>
      </w:r>
    </w:p>
    <w:p w14:paraId="538CC14F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办公室白领工作者</w:t>
      </w:r>
    </w:p>
    <w:p w14:paraId="00C49F1C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这些职业具有较高的教育背景（大多具有本科及以上学历）、收入稳定且有上升空间、社会地位相对较高的共同特点。</w:t>
      </w:r>
    </w:p>
    <w:p w14:paraId="683DE22E">
      <w:pPr>
        <w:spacing w:before="315" w:after="105" w:line="360" w:lineRule="auto"/>
        <w:ind w:left="-30"/>
        <w:jc w:val="left"/>
      </w:pPr>
      <w:bookmarkStart w:id="25" w:name="消费模式与支出结构"/>
      <w:r>
        <w:rPr>
          <w:rFonts w:ascii="inter" w:hAnsi="inter" w:eastAsia="inter" w:cs="inter"/>
          <w:b/>
          <w:color w:val="000000"/>
          <w:sz w:val="24"/>
        </w:rPr>
        <w:t>消费模式与支出结构</w:t>
      </w:r>
      <w:bookmarkEnd w:id="25"/>
    </w:p>
    <w:p w14:paraId="7A5EC3BE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中产家庭的消费支出中：</w:t>
      </w:r>
    </w:p>
    <w:p w14:paraId="1B8D858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食品与日常消费</w:t>
      </w:r>
      <w:r>
        <w:rPr>
          <w:rFonts w:ascii="inter" w:hAnsi="inter" w:eastAsia="inter" w:cs="inter"/>
          <w:color w:val="000000"/>
        </w:rPr>
        <w:t>：占15%-20%。中产家庭更加关注食品安全和品质，有机食品、进口食品的消费比例较高。</w:t>
      </w:r>
      <w:bookmarkStart w:id="26" w:name="fnref9"/>
      <w:bookmarkEnd w:id="26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093A19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住房相关支出</w:t>
      </w:r>
      <w:r>
        <w:rPr>
          <w:rFonts w:ascii="inter" w:hAnsi="inter" w:eastAsia="inter" w:cs="inter"/>
          <w:color w:val="000000"/>
        </w:rPr>
        <w:t>：占20%-35%。这包括房贷、物业费、装修、维修等。在一线城市，房贷支出甚至可能超过家庭收入的20%。 房价收入比在一线城市约为6-8年，而三四线城市达到7.4年。</w:t>
      </w:r>
      <w:bookmarkStart w:id="27" w:name="fnref10"/>
      <w:bookmarkEnd w:id="27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8" w:name="fnref11"/>
      <w:bookmarkEnd w:id="28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4D6FD4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教育支出</w:t>
      </w:r>
      <w:r>
        <w:rPr>
          <w:rFonts w:ascii="inter" w:hAnsi="inter" w:eastAsia="inter" w:cs="inter"/>
          <w:color w:val="000000"/>
        </w:rPr>
        <w:t>：占20%-35%。这是中产家庭最重要的消费投入之一。根据调研，75%的中产家庭并未因经济下压力就减少教育支出。 具体包括：</w:t>
      </w:r>
      <w:bookmarkStart w:id="29" w:name="fnref12"/>
      <w:bookmarkEnd w:id="29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05411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学费：占教育支出的48.3%，私校和国际学校年均费用20万-40万元</w:t>
      </w:r>
    </w:p>
    <w:p w14:paraId="5A1D3FC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校外培训和兴趣班：占45.8%</w:t>
      </w:r>
    </w:p>
    <w:p w14:paraId="2BADB2EB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出国留学相关：高投入项目，K-12国际教育总投入常超百万</w:t>
      </w:r>
    </w:p>
    <w:p w14:paraId="4A51FD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交通出行</w:t>
      </w:r>
      <w:r>
        <w:rPr>
          <w:rFonts w:ascii="inter" w:hAnsi="inter" w:eastAsia="inter" w:cs="inter"/>
          <w:color w:val="000000"/>
        </w:rPr>
        <w:t>：占8%-12%。包括车贷/车辆购置、油费、保险、维修等。中产家庭通常拥有一辆20万-50万元的车。</w:t>
      </w:r>
    </w:p>
    <w:p w14:paraId="48E3A43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医疗和保险</w:t>
      </w:r>
      <w:r>
        <w:rPr>
          <w:rFonts w:ascii="inter" w:hAnsi="inter" w:eastAsia="inter" w:cs="inter"/>
          <w:color w:val="000000"/>
        </w:rPr>
        <w:t>：占5%-10%。中产家庭倾向购买商业保险以补充基本医保。</w:t>
      </w:r>
    </w:p>
    <w:p w14:paraId="7FB073F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娱乐休闲和文化</w:t>
      </w:r>
      <w:r>
        <w:rPr>
          <w:rFonts w:ascii="inter" w:hAnsi="inter" w:eastAsia="inter" w:cs="inter"/>
          <w:color w:val="000000"/>
        </w:rPr>
        <w:t>：占5%-10%。包括休闲旅游、流媒体订阅、电影娱乐等。</w:t>
      </w:r>
    </w:p>
    <w:p w14:paraId="40F2143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其他消费</w:t>
      </w:r>
      <w:r>
        <w:rPr>
          <w:rFonts w:ascii="inter" w:hAnsi="inter" w:eastAsia="inter" w:cs="inter"/>
          <w:color w:val="000000"/>
        </w:rPr>
        <w:t>：包括电子产品、服装、美容等。</w:t>
      </w:r>
    </w:p>
    <w:p w14:paraId="278EB5E7">
      <w:pPr>
        <w:spacing w:before="315" w:after="105" w:line="360" w:lineRule="auto"/>
        <w:ind w:left="-30"/>
        <w:jc w:val="left"/>
      </w:pPr>
      <w:bookmarkStart w:id="30" w:name="房产与住房贷款"/>
      <w:r>
        <w:rPr>
          <w:rFonts w:ascii="inter" w:hAnsi="inter" w:eastAsia="inter" w:cs="inter"/>
          <w:b/>
          <w:color w:val="000000"/>
          <w:sz w:val="24"/>
        </w:rPr>
        <w:t>房产与住房贷款</w:t>
      </w:r>
      <w:bookmarkEnd w:id="30"/>
    </w:p>
    <w:p w14:paraId="2237F48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购房情况</w:t>
      </w:r>
      <w:r>
        <w:rPr>
          <w:rFonts w:ascii="inter" w:hAnsi="inter" w:eastAsia="inter" w:cs="inter"/>
          <w:color w:val="000000"/>
        </w:rPr>
        <w:t>：中产家庭中，一二线城市的拥房率达80%以上。部分高收入中产拥有多套房产。房产是中产家庭最重要的资产，占家庭总资产的70%-90%。</w:t>
      </w:r>
      <w:bookmarkStart w:id="31" w:name="fnref13"/>
      <w:bookmarkEnd w:id="31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E3E2C9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贷款负担</w:t>
      </w:r>
      <w:r>
        <w:rPr>
          <w:rFonts w:ascii="inter" w:hAnsi="inter" w:eastAsia="inter" w:cs="inter"/>
          <w:color w:val="000000"/>
        </w:rPr>
        <w:t>：2024年，中国家庭债务杠杆率（家庭债务占GDP比重）为61.1%，连续20个季度超过60%。这反映出中产家庭的杠杆水平较高。</w:t>
      </w:r>
      <w:bookmarkStart w:id="32" w:name="fnref14"/>
      <w:bookmarkEnd w:id="32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F6A12F3">
      <w:pPr>
        <w:spacing w:after="210" w:line="360" w:lineRule="auto"/>
      </w:pPr>
      <w:r>
        <w:rPr>
          <w:rFonts w:ascii="inter" w:hAnsi="inter" w:eastAsia="inter" w:cs="inter"/>
          <w:color w:val="000000"/>
        </w:rPr>
        <w:t>虽然2024年房贷利率下降（一些城市首套房利率低至3.0%），但由于房价基数大，中产家庭的月供压力仍然较重。一线城市中产的房贷占比可达家庭收入的40%-50%。</w:t>
      </w:r>
    </w:p>
    <w:p w14:paraId="67FE9DD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首付要求</w:t>
      </w:r>
      <w:r>
        <w:rPr>
          <w:rFonts w:ascii="inter" w:hAnsi="inter" w:eastAsia="inter" w:cs="inter"/>
          <w:color w:val="000000"/>
        </w:rPr>
        <w:t>：2024年，许多城市调整了首付比例政策，首套房最低首付15%-20%，二套房30%，使年轻中产的置业门槛有所降低。</w:t>
      </w:r>
      <w:bookmarkStart w:id="33" w:name="fnref11_1"/>
      <w:bookmarkEnd w:id="33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85CCADF">
      <w:pPr>
        <w:spacing w:before="315" w:after="105" w:line="360" w:lineRule="auto"/>
        <w:ind w:left="-30"/>
        <w:jc w:val="left"/>
      </w:pPr>
      <w:bookmarkStart w:id="34" w:name="资产配置与投资理财"/>
      <w:r>
        <w:rPr>
          <w:rFonts w:ascii="inter" w:hAnsi="inter" w:eastAsia="inter" w:cs="inter"/>
          <w:b/>
          <w:color w:val="000000"/>
          <w:sz w:val="24"/>
        </w:rPr>
        <w:t>资产配置与投资理财</w:t>
      </w:r>
      <w:bookmarkEnd w:id="34"/>
    </w:p>
    <w:p w14:paraId="496FB225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中国中产家庭的资产配置存在明显特点：</w:t>
      </w:r>
    </w:p>
    <w:p w14:paraId="13586B5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资产结构不均衡</w:t>
      </w:r>
      <w:r>
        <w:rPr>
          <w:rFonts w:ascii="inter" w:hAnsi="inter" w:eastAsia="inter" w:cs="inter"/>
          <w:color w:val="000000"/>
        </w:rPr>
        <w:t>：房地产占比&gt;70%，远高于美国的30%。金融资产占比仅20%，而美国居民的金融资产配置达60%。</w:t>
      </w:r>
      <w:bookmarkStart w:id="35" w:name="fnref13_1"/>
      <w:bookmarkEnd w:id="35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A29E38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收入越高，配置越均衡</w:t>
      </w:r>
      <w:r>
        <w:rPr>
          <w:rFonts w:ascii="inter" w:hAnsi="inter" w:eastAsia="inter" w:cs="inter"/>
          <w:color w:val="000000"/>
        </w:rPr>
        <w:t>：年收入30万元以上的家庭中，74.7%采用均衡的资产配置策略（既持有存款，也配置权益类资产）；而年收入5万元以下的家庭中，仅46.5%进行均衡配置。</w:t>
      </w:r>
      <w:bookmarkStart w:id="36" w:name="fnref15"/>
      <w:bookmarkEnd w:id="36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22F947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投资理财工具</w:t>
      </w:r>
      <w:r>
        <w:rPr>
          <w:rFonts w:ascii="inter" w:hAnsi="inter" w:eastAsia="inter" w:cs="inter"/>
          <w:color w:val="000000"/>
        </w:rPr>
        <w:t>：中产家庭倾向于：</w:t>
      </w:r>
    </w:p>
    <w:p w14:paraId="2B2E5740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银行存款和理财产品（保本低风险）</w:t>
      </w:r>
    </w:p>
    <w:p w14:paraId="29E018C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股票和基金（占资产10%-20%）</w:t>
      </w:r>
    </w:p>
    <w:p w14:paraId="4483DA1D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P2P和互联网理财（曾流行，现已大幅缩减）</w:t>
      </w:r>
    </w:p>
    <w:p w14:paraId="2F6B0E04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保险产品（用于财富规划）</w:t>
      </w:r>
    </w:p>
    <w:p w14:paraId="00F02A0B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部分高收入家庭配置海外资产（占比31.2%）</w:t>
      </w:r>
      <w:bookmarkStart w:id="37" w:name="fnref16"/>
      <w:bookmarkEnd w:id="37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EED8FA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投资收益</w:t>
      </w:r>
      <w:r>
        <w:rPr>
          <w:rFonts w:ascii="inter" w:hAnsi="inter" w:eastAsia="inter" w:cs="inter"/>
          <w:color w:val="000000"/>
        </w:rPr>
        <w:t>：2020年家庭投资理财的平均收益率为2.3%，反映整体投资收益不高，多数家庭采取保守策略。</w:t>
      </w:r>
      <w:bookmarkStart w:id="38" w:name="fnref15_1"/>
      <w:bookmarkEnd w:id="38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027DCD1">
      <w:pPr>
        <w:spacing w:before="315" w:after="105" w:line="360" w:lineRule="auto"/>
        <w:ind w:left="-30"/>
        <w:jc w:val="left"/>
      </w:pPr>
      <w:bookmarkStart w:id="39" w:name="借贷与债务"/>
      <w:r>
        <w:rPr>
          <w:rFonts w:ascii="inter" w:hAnsi="inter" w:eastAsia="inter" w:cs="inter"/>
          <w:b/>
          <w:color w:val="000000"/>
          <w:sz w:val="24"/>
        </w:rPr>
        <w:t>借贷与债务</w:t>
      </w:r>
      <w:bookmarkEnd w:id="39"/>
    </w:p>
    <w:p w14:paraId="3B6DB918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中产家庭的债务主要来自：</w:t>
      </w:r>
    </w:p>
    <w:p w14:paraId="2AD2F95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住房贷款</w:t>
      </w:r>
      <w:r>
        <w:rPr>
          <w:rFonts w:ascii="inter" w:hAnsi="inter" w:eastAsia="inter" w:cs="inter"/>
          <w:color w:val="000000"/>
        </w:rPr>
        <w:t>：占家庭债务的大部分，通常是30年期按揭。</w:t>
      </w:r>
    </w:p>
    <w:p w14:paraId="797A03F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信用卡透支</w:t>
      </w:r>
      <w:r>
        <w:rPr>
          <w:rFonts w:ascii="inter" w:hAnsi="inter" w:eastAsia="inter" w:cs="inter"/>
          <w:color w:val="000000"/>
        </w:rPr>
        <w:t>：2024年底，信用卡逾期半年未偿信贷同比增长26.3%，连续三季度两位数增长，反映部分中产家庭的还债压力增加。</w:t>
      </w:r>
      <w:bookmarkStart w:id="40" w:name="fnref14_1"/>
      <w:bookmarkEnd w:id="40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BCC0B8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汽车贷款</w:t>
      </w:r>
      <w:r>
        <w:rPr>
          <w:rFonts w:ascii="inter" w:hAnsi="inter" w:eastAsia="inter" w:cs="inter"/>
          <w:color w:val="000000"/>
        </w:rPr>
        <w:t>：中产家庭购车常采用5-7年分期方式。</w:t>
      </w:r>
    </w:p>
    <w:p w14:paraId="063A2EB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教育贷款和其他消费贷</w:t>
      </w:r>
      <w:r>
        <w:rPr>
          <w:rFonts w:ascii="inter" w:hAnsi="inter" w:eastAsia="inter" w:cs="inter"/>
          <w:color w:val="000000"/>
        </w:rPr>
        <w:t>：包括子女出国留学贷款、医疗贷等。</w:t>
      </w:r>
    </w:p>
    <w:p w14:paraId="3FEA2F6D">
      <w:pPr>
        <w:spacing w:after="210" w:line="360" w:lineRule="auto"/>
      </w:pPr>
      <w:r>
        <w:rPr>
          <w:rFonts w:ascii="inter" w:hAnsi="inter" w:eastAsia="inter" w:cs="inter"/>
          <w:color w:val="000000"/>
        </w:rPr>
        <w:t>许多中产家庭为了维持生活水准和教育投入，债务负担相对较重，这成为其财务压力的主要来源。</w:t>
      </w:r>
    </w:p>
    <w:p w14:paraId="4CD70935">
      <w:pPr>
        <w:spacing w:before="315" w:after="105" w:line="360" w:lineRule="auto"/>
        <w:ind w:left="-30"/>
        <w:jc w:val="left"/>
      </w:pPr>
      <w:bookmarkStart w:id="41" w:name="家庭资产总量"/>
      <w:r>
        <w:rPr>
          <w:rFonts w:ascii="inter" w:hAnsi="inter" w:eastAsia="inter" w:cs="inter"/>
          <w:b/>
          <w:color w:val="000000"/>
          <w:sz w:val="24"/>
        </w:rPr>
        <w:t>家庭资产总量</w:t>
      </w:r>
      <w:bookmarkEnd w:id="41"/>
    </w:p>
    <w:p w14:paraId="2731B76E">
      <w:pPr>
        <w:spacing w:after="210" w:line="360" w:lineRule="auto"/>
      </w:pPr>
      <w:r>
        <w:rPr>
          <w:rFonts w:ascii="inter" w:hAnsi="inter" w:eastAsia="inter" w:cs="inter"/>
          <w:color w:val="000000"/>
        </w:rPr>
        <w:t>按不同定义：</w:t>
      </w:r>
    </w:p>
    <w:p w14:paraId="4EB85C1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胡润定义的新中产</w:t>
      </w:r>
      <w:r>
        <w:rPr>
          <w:rFonts w:ascii="inter" w:hAnsi="inter" w:eastAsia="inter" w:cs="inter"/>
          <w:color w:val="000000"/>
        </w:rPr>
        <w:t>：平均家庭可支配资产约50万元年收入，总资产（含房产）通常在300万-800万元之间。</w:t>
      </w:r>
      <w:bookmarkStart w:id="42" w:name="fnref4_3"/>
      <w:bookmarkEnd w:id="42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80F10D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普遍中产</w:t>
      </w:r>
      <w:r>
        <w:rPr>
          <w:rFonts w:ascii="inter" w:hAnsi="inter" w:eastAsia="inter" w:cs="inter"/>
          <w:color w:val="000000"/>
        </w:rPr>
        <w:t>（按收入20万-50万计）：总资产通常在200万-1000万元之间，其中房产占60%-80%，金融资产占20%-40%。</w:t>
      </w:r>
    </w:p>
    <w:p w14:paraId="2D8A90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高端中产</w:t>
      </w:r>
      <w:r>
        <w:rPr>
          <w:rFonts w:ascii="inter" w:hAnsi="inter" w:eastAsia="inter" w:cs="inter"/>
          <w:color w:val="000000"/>
        </w:rPr>
        <w:t>（按收入50万-100万计）：总资产可能在500万-2000万元之间，资产配置更加多元。</w:t>
      </w:r>
    </w:p>
    <w:p w14:paraId="43B2A049">
      <w:pPr>
        <w:spacing w:before="315" w:after="105" w:line="360" w:lineRule="auto"/>
        <w:ind w:left="-30"/>
        <w:jc w:val="left"/>
      </w:pPr>
      <w:bookmarkStart w:id="43" w:name="五_中产阶级的人口规模与分布"/>
      <w:r>
        <w:rPr>
          <w:rFonts w:ascii="inter" w:hAnsi="inter" w:eastAsia="inter" w:cs="inter"/>
          <w:b/>
          <w:color w:val="000000"/>
          <w:sz w:val="24"/>
        </w:rPr>
        <w:t>五、中产阶级的人口规模与分布</w:t>
      </w:r>
      <w:bookmarkEnd w:id="43"/>
    </w:p>
    <w:p w14:paraId="0BA11F4F">
      <w:pPr>
        <w:spacing w:before="315" w:after="105" w:line="360" w:lineRule="auto"/>
        <w:ind w:left="-30"/>
        <w:jc w:val="left"/>
      </w:pPr>
      <w:bookmarkStart w:id="44" w:name="规模"/>
      <w:r>
        <w:rPr>
          <w:rFonts w:ascii="inter" w:hAnsi="inter" w:eastAsia="inter" w:cs="inter"/>
          <w:b/>
          <w:color w:val="000000"/>
          <w:sz w:val="24"/>
        </w:rPr>
        <w:t>规模</w:t>
      </w:r>
      <w:bookmarkEnd w:id="44"/>
    </w:p>
    <w:p w14:paraId="045DDDE6">
      <w:pPr>
        <w:spacing w:after="210" w:line="360" w:lineRule="auto"/>
      </w:pPr>
      <w:r>
        <w:rPr>
          <w:rFonts w:ascii="inter" w:hAnsi="inter" w:eastAsia="inter" w:cs="inter"/>
          <w:color w:val="000000"/>
        </w:rPr>
        <w:t>根据不同定义：</w:t>
      </w:r>
    </w:p>
    <w:p w14:paraId="4F7D4419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按政府定义（10-50万收入）：约1.4亿个家庭，4亿人口</w:t>
      </w:r>
      <w:bookmarkStart w:id="45" w:name="fnref3_2"/>
      <w:bookmarkEnd w:id="45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15C31C75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按胡润定义（20万+收入）：约3,321万户家庭，1亿多人口</w:t>
      </w:r>
      <w:bookmarkStart w:id="46" w:name="fnref4_4"/>
      <w:bookmarkEnd w:id="46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850EE04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按麦肯锡定义（6-22.9万收入）：超过75%的城市家庭，约2亿多人</w:t>
      </w:r>
      <w:bookmarkStart w:id="47" w:name="fnref6_1"/>
      <w:bookmarkEnd w:id="47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74A5A8C4">
      <w:pPr>
        <w:spacing w:after="210" w:line="360" w:lineRule="auto"/>
      </w:pPr>
      <w:r>
        <w:rPr>
          <w:rFonts w:ascii="inter" w:hAnsi="inter" w:eastAsia="inter" w:cs="inter"/>
          <w:color w:val="000000"/>
        </w:rPr>
        <w:t>取各种定义的综合来看，中国中产阶级规模约占城市人口的50%-70%，占全国总人口的15%-25%。</w:t>
      </w:r>
    </w:p>
    <w:p w14:paraId="631C9793">
      <w:pPr>
        <w:spacing w:before="315" w:after="105" w:line="360" w:lineRule="auto"/>
        <w:ind w:left="-30"/>
        <w:jc w:val="left"/>
      </w:pPr>
      <w:bookmarkStart w:id="48" w:name="地理分布"/>
      <w:r>
        <w:rPr>
          <w:rFonts w:ascii="inter" w:hAnsi="inter" w:eastAsia="inter" w:cs="inter"/>
          <w:b/>
          <w:color w:val="000000"/>
          <w:sz w:val="24"/>
        </w:rPr>
        <w:t>地理分布</w:t>
      </w:r>
      <w:bookmarkEnd w:id="48"/>
    </w:p>
    <w:p w14:paraId="5A3CA8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集中在发达地区</w:t>
      </w:r>
      <w:r>
        <w:rPr>
          <w:rFonts w:ascii="inter" w:hAnsi="inter" w:eastAsia="inter" w:cs="inter"/>
          <w:color w:val="000000"/>
        </w:rPr>
        <w:t>：北京、上海、广东、浙江、江苏等地集中了全国近50%的中产家庭。 其中北京有72.8万户600万资产以上的富裕家庭，广东有70.3万户。</w:t>
      </w:r>
      <w:bookmarkStart w:id="49" w:name="fnref5_1"/>
      <w:bookmarkEnd w:id="49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0" w:name="fnref4_5"/>
      <w:bookmarkEnd w:id="50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9462C0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向内陆城市扩散</w:t>
      </w:r>
      <w:r>
        <w:rPr>
          <w:rFonts w:ascii="inter" w:hAnsi="inter" w:eastAsia="inter" w:cs="inter"/>
          <w:color w:val="000000"/>
        </w:rPr>
        <w:t>：2002年40%的中产生活在北上广深，到2022年已下降到16%。三线城市的中产规模增长迅速，从2002年的15%上升到30%以上。</w:t>
      </w:r>
      <w:bookmarkStart w:id="51" w:name="fnref6_2"/>
      <w:bookmarkEnd w:id="51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269FD0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典型中产城市</w:t>
      </w:r>
      <w:r>
        <w:rPr>
          <w:rFonts w:ascii="inter" w:hAnsi="inter" w:eastAsia="inter" w:cs="inter"/>
          <w:color w:val="000000"/>
        </w:rPr>
        <w:t>：一线城市（北京、上海、广州、深圳）、新一线城市（杭州、南京、苏州、武汉、成都等）、强二线城市（青岛、长沙、重庆等）。</w:t>
      </w:r>
    </w:p>
    <w:p w14:paraId="08994CC0">
      <w:pPr>
        <w:spacing w:before="315" w:after="105" w:line="360" w:lineRule="auto"/>
        <w:ind w:left="-30"/>
        <w:jc w:val="left"/>
      </w:pPr>
      <w:bookmarkStart w:id="52" w:name="六_中产阶级面临的主要挑战与变化"/>
      <w:r>
        <w:rPr>
          <w:rFonts w:ascii="inter" w:hAnsi="inter" w:eastAsia="inter" w:cs="inter"/>
          <w:b/>
          <w:color w:val="000000"/>
          <w:sz w:val="24"/>
        </w:rPr>
        <w:t>六、中产阶级面临的主要挑战与变化</w:t>
      </w:r>
      <w:bookmarkEnd w:id="52"/>
    </w:p>
    <w:p w14:paraId="4632667E">
      <w:pPr>
        <w:spacing w:before="315" w:after="105" w:line="360" w:lineRule="auto"/>
        <w:ind w:left="-30"/>
        <w:jc w:val="left"/>
      </w:pPr>
      <w:bookmarkStart w:id="53" w:name="消费信心下降"/>
      <w:r>
        <w:rPr>
          <w:rFonts w:ascii="inter" w:hAnsi="inter" w:eastAsia="inter" w:cs="inter"/>
          <w:b/>
          <w:color w:val="000000"/>
          <w:sz w:val="24"/>
        </w:rPr>
        <w:t>消费信心下降</w:t>
      </w:r>
      <w:bookmarkEnd w:id="53"/>
    </w:p>
    <w:p w14:paraId="1A9B5509">
      <w:pPr>
        <w:spacing w:after="210" w:line="360" w:lineRule="auto"/>
      </w:pPr>
      <w:r>
        <w:rPr>
          <w:rFonts w:ascii="inter" w:hAnsi="inter" w:eastAsia="inter" w:cs="inter"/>
          <w:color w:val="000000"/>
        </w:rPr>
        <w:t>2024年中产家庭对消费增长的预期较为谨慎，预期增长率仅为2.2%-2.4%。其中，高线城市的新中产虽然收入较高，但情绪相对悲观。</w:t>
      </w:r>
      <w:bookmarkStart w:id="54" w:name="fnref17"/>
      <w:bookmarkEnd w:id="54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89BB259">
      <w:pPr>
        <w:spacing w:before="315" w:after="105" w:line="360" w:lineRule="auto"/>
        <w:ind w:left="-30"/>
        <w:jc w:val="left"/>
      </w:pPr>
      <w:bookmarkStart w:id="55" w:name="教育成本高企"/>
      <w:r>
        <w:rPr>
          <w:rFonts w:ascii="inter" w:hAnsi="inter" w:eastAsia="inter" w:cs="inter"/>
          <w:b/>
          <w:color w:val="000000"/>
          <w:sz w:val="24"/>
        </w:rPr>
        <w:t>教育成本高企</w:t>
      </w:r>
      <w:bookmarkEnd w:id="55"/>
    </w:p>
    <w:p w14:paraId="63F6D59E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中产家庭的子女教育投入极高：</w:t>
      </w:r>
    </w:p>
    <w:p w14:paraId="53FD58E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普通民办学校年学费15万-20万元</w:t>
      </w:r>
    </w:p>
    <w:p w14:paraId="18478C2B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国际学校年学费20万-40万元</w:t>
      </w:r>
    </w:p>
    <w:p w14:paraId="56B4DA58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完成K-12国际教育总投入常达300万-600万元</w:t>
      </w:r>
      <w:bookmarkStart w:id="56" w:name="fnref18"/>
      <w:bookmarkEnd w:id="56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57" w:name="fnref12_1"/>
      <w:bookmarkEnd w:id="57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773F908">
      <w:pPr>
        <w:spacing w:after="210" w:line="360" w:lineRule="auto"/>
      </w:pPr>
      <w:r>
        <w:rPr>
          <w:rFonts w:ascii="inter" w:hAnsi="inter" w:eastAsia="inter" w:cs="inter"/>
          <w:color w:val="000000"/>
        </w:rPr>
        <w:t>30%的中产家庭有让孩子出国留学的意愿，但留学成本（每年30万-50万元）对家庭财务造成巨大压力。</w:t>
      </w:r>
      <w:bookmarkStart w:id="58" w:name="fnref19"/>
      <w:bookmarkEnd w:id="58"/>
      <w:r>
        <w:fldChar w:fldCharType="begin"/>
      </w:r>
      <w:r>
        <w:instrText xml:space="preserve"> HYPERLINK \l "fn19"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48030BA">
      <w:pPr>
        <w:spacing w:before="315" w:after="105" w:line="360" w:lineRule="auto"/>
        <w:ind w:left="-30"/>
        <w:jc w:val="left"/>
      </w:pPr>
      <w:bookmarkStart w:id="59" w:name="房贷压力"/>
      <w:r>
        <w:rPr>
          <w:rFonts w:ascii="inter" w:hAnsi="inter" w:eastAsia="inter" w:cs="inter"/>
          <w:b/>
          <w:color w:val="000000"/>
          <w:sz w:val="24"/>
        </w:rPr>
        <w:t>房贷压力</w:t>
      </w:r>
      <w:bookmarkEnd w:id="59"/>
    </w:p>
    <w:p w14:paraId="2C9E85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尽管2024年房贷利率有所下降，但由于房价基数大，中产家庭的房贷负担依然沉重。信用卡逾期债务的增加反映了部分中产家庭现金流压力的加大。</w:t>
      </w:r>
      <w:bookmarkStart w:id="60" w:name="fnref14_2"/>
      <w:bookmarkEnd w:id="60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3988EC6">
      <w:pPr>
        <w:spacing w:before="315" w:after="105" w:line="360" w:lineRule="auto"/>
        <w:ind w:left="-30"/>
        <w:jc w:val="left"/>
      </w:pPr>
      <w:bookmarkStart w:id="61" w:name="资产配置风险"/>
      <w:r>
        <w:rPr>
          <w:rFonts w:ascii="inter" w:hAnsi="inter" w:eastAsia="inter" w:cs="inter"/>
          <w:b/>
          <w:color w:val="000000"/>
          <w:sz w:val="24"/>
        </w:rPr>
        <w:t>资产配置风险</w:t>
      </w:r>
      <w:bookmarkEnd w:id="61"/>
    </w:p>
    <w:p w14:paraId="1BCA19C5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中产家庭过度依赖房产投资，金融资产配置不足。在房地产市场持续调整的背景下，这种不均衡的配置模式增加了财富缩水的风险。</w:t>
      </w:r>
      <w:bookmarkStart w:id="62" w:name="fnref13_2"/>
      <w:bookmarkEnd w:id="62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1222604">
      <w:pPr>
        <w:spacing w:before="315" w:after="105" w:line="360" w:lineRule="auto"/>
        <w:ind w:left="-30"/>
        <w:jc w:val="left"/>
      </w:pPr>
      <w:bookmarkStart w:id="63" w:name="就业压力"/>
      <w:r>
        <w:rPr>
          <w:rFonts w:ascii="inter" w:hAnsi="inter" w:eastAsia="inter" w:cs="inter"/>
          <w:b/>
          <w:color w:val="000000"/>
          <w:sz w:val="24"/>
        </w:rPr>
        <w:t>就业压力</w:t>
      </w:r>
      <w:bookmarkEnd w:id="63"/>
    </w:p>
    <w:p w14:paraId="53323E9E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中产白领面临AI和产业升级带来的就业威胁。大学生就业竞争激烈，许多大学生的薪酬与蓝领工人相差无几，这削弱了中产的代际传递能力。</w:t>
      </w:r>
    </w:p>
    <w:p w14:paraId="76C89944">
      <w:pPr>
        <w:spacing w:before="315" w:after="105" w:line="360" w:lineRule="auto"/>
        <w:ind w:left="-30"/>
        <w:jc w:val="left"/>
      </w:pPr>
      <w:bookmarkStart w:id="64" w:name="七_中产阶级的财力水平评估"/>
      <w:r>
        <w:rPr>
          <w:rFonts w:ascii="inter" w:hAnsi="inter" w:eastAsia="inter" w:cs="inter"/>
          <w:b/>
          <w:color w:val="000000"/>
          <w:sz w:val="24"/>
        </w:rPr>
        <w:t>七、中产阶级的财力水平评估</w:t>
      </w:r>
      <w:bookmarkEnd w:id="64"/>
    </w:p>
    <w:p w14:paraId="0D323AD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总体财力排位</w:t>
      </w:r>
      <w:r>
        <w:rPr>
          <w:rFonts w:ascii="inter" w:hAnsi="inter" w:eastAsia="inter" w:cs="inter"/>
          <w:color w:val="000000"/>
        </w:rPr>
        <w:t>：中国中产阶级在全球范围内处于中上水平。与发达国家中产（年收入15万-50万人民币左右）相比，中国中产的收入相当，但消费购买力因物价和房价等因素而低于发达国家。</w:t>
      </w:r>
    </w:p>
    <w:p w14:paraId="13D9A43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国内财力排位</w:t>
      </w:r>
      <w:r>
        <w:rPr>
          <w:rFonts w:ascii="inter" w:hAnsi="inter" w:eastAsia="inter" w:cs="inter"/>
          <w:color w:val="000000"/>
        </w:rPr>
        <w:t>：在中国国内，中产阶级属于较高收入人群。按人均收入41,314元计算，年收入20万-50万元的家庭已经远超平均水平，约为全国平均收入的5-12倍。</w:t>
      </w:r>
    </w:p>
    <w:p w14:paraId="2992780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资产财力</w:t>
      </w:r>
      <w:r>
        <w:rPr>
          <w:rFonts w:ascii="inter" w:hAnsi="inter" w:eastAsia="inter" w:cs="inter"/>
          <w:color w:val="000000"/>
        </w:rPr>
        <w:t>：中产家庭的总资产（含房产）通常在200万-1000万元之间，在中国属于相对富裕群体，但这种富裕很大程度上来自房产增值，而非自身积累的现金和投资收益。</w:t>
      </w:r>
    </w:p>
    <w:p w14:paraId="03A8ED9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消费能力</w:t>
      </w:r>
      <w:r>
        <w:rPr>
          <w:rFonts w:ascii="inter" w:hAnsi="inter" w:eastAsia="inter" w:cs="inter"/>
          <w:color w:val="000000"/>
        </w:rPr>
        <w:t>：中产家庭具有稳定的消费能力，但在房贷、教育、医疗等大额支出后，可自由支配收入相对有限，很多家庭属于"高收入、低流动性"的状态。</w:t>
      </w:r>
    </w:p>
    <w:p w14:paraId="1120B0D3">
      <w:pPr>
        <w:spacing w:before="315" w:after="105" w:line="360" w:lineRule="auto"/>
        <w:ind w:left="-30"/>
        <w:jc w:val="left"/>
      </w:pPr>
      <w:bookmarkStart w:id="65" w:name="总结"/>
      <w:r>
        <w:rPr>
          <w:rFonts w:ascii="inter" w:hAnsi="inter" w:eastAsia="inter" w:cs="inter"/>
          <w:b/>
          <w:color w:val="000000"/>
          <w:sz w:val="24"/>
        </w:rPr>
        <w:t>总结</w:t>
      </w:r>
      <w:bookmarkEnd w:id="65"/>
    </w:p>
    <w:p w14:paraId="7A4439D8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中产阶级已成为城市经济的中坚力量，规模达1.4亿-2亿人，主要从事专业和管理工作，收入在20万-50万元之间。这个群体具有较高的教育水平和社会地位，但同时面临房价高企、教育成本增加、债务负担重等挑战。其财富主要以房产形式存在，金融资产配置不足，因此在经济波动时相对脆弱。尽管如此，中产阶级仍是中国消费的主要驱动力，其消费选择和意愿直接影响整个社会的消费趋势。</w:t>
      </w:r>
      <w:r>
        <w:rPr>
          <w:rFonts w:ascii="inter" w:hAnsi="inter" w:eastAsia="inter" w:cs="inter"/>
          <w:color w:val="000000"/>
        </w:rPr>
        <w:br w:type="textWrapping"/>
      </w:r>
    </w:p>
    <w:p w14:paraId="34FBFA5D">
      <w:pPr>
        <w:spacing w:line="360" w:lineRule="auto"/>
      </w:pPr>
      <w:r>
        <w:rPr>
          <w:rFonts w:ascii="inter" w:hAnsi="inter" w:eastAsia="inter" w:cs="inter"/>
          <w:color w:val="000000"/>
        </w:rPr>
        <w:t>⁂</w:t>
      </w:r>
    </w:p>
    <w:p w14:paraId="5A100A86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50C68545">
      <w:pPr>
        <w:numPr>
          <w:ilvl w:val="0"/>
          <w:numId w:val="7"/>
        </w:numPr>
        <w:spacing w:after="210" w:line="360" w:lineRule="auto"/>
      </w:pPr>
      <w:bookmarkStart w:id="66" w:name="fn1"/>
      <w:bookmarkEnd w:id="66"/>
      <w:r>
        <w:fldChar w:fldCharType="begin"/>
      </w:r>
      <w:r>
        <w:instrText xml:space="preserve"> HYPERLINK "https://www.stats.gov.cn/sj/zxfb/202501/t20250117_1958325.html"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https://www.stats.gov.cn/sj/zxfb/202501/t20250117_1958325.html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442519E2">
      <w:pPr>
        <w:numPr>
          <w:ilvl w:val="0"/>
          <w:numId w:val="7"/>
        </w:numPr>
        <w:spacing w:after="210" w:line="360" w:lineRule="auto"/>
      </w:pPr>
      <w:bookmarkStart w:id="67" w:name="fn2"/>
      <w:bookmarkEnd w:id="67"/>
      <w:r>
        <w:fldChar w:fldCharType="begin"/>
      </w:r>
      <w:r>
        <w:instrText xml:space="preserve"> HYPERLINK "https://thedocs.worldbank.org/en/doc/74224a633c0e5acf24c083967f522943-0070012024/original/CEU-December-2024-CN-Final.pdf"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https://thedocs.worldbank.org/en/doc/74224a633c0e5acf24c083967f522943-0070012024/original/CEU-December-2024-CN-Final.pdf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1D476E20">
      <w:pPr>
        <w:numPr>
          <w:ilvl w:val="0"/>
          <w:numId w:val="7"/>
        </w:numPr>
        <w:spacing w:after="210" w:line="360" w:lineRule="auto"/>
      </w:pPr>
      <w:bookmarkStart w:id="68" w:name="fn3"/>
      <w:bookmarkEnd w:id="68"/>
      <w:r>
        <w:fldChar w:fldCharType="begin"/>
      </w:r>
      <w:r>
        <w:instrText xml:space="preserve"> HYPERLINK "https://www.dw.com/zh/%E5%AE%98%E6%96%B9%E7%A7%B0%E4%B8%AD%E7%AD%89%E6%94%B6%E5%85%A5%E7%BE%A4%E4%BD%93%E8%BE%BE%E5%9B%9B%E4%BA%BF-%E4%B8%AD%E5%9B%BD%E4%BA%BA%E6%94%B6%E5%85%A5%E6%9C%89%E5%A4%9A%E5%B0%91/a-67928907"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https://www.dw.com/zh/官方称中等收入群体达四亿-中国人收入有多少/a-67928907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70026977">
      <w:pPr>
        <w:numPr>
          <w:ilvl w:val="0"/>
          <w:numId w:val="7"/>
        </w:numPr>
        <w:spacing w:after="210" w:line="360" w:lineRule="auto"/>
      </w:pPr>
      <w:bookmarkStart w:id="69" w:name="fn4"/>
      <w:bookmarkEnd w:id="69"/>
      <w:r>
        <w:fldChar w:fldCharType="begin"/>
      </w:r>
      <w:r>
        <w:instrText xml:space="preserve"> HYPERLINK "https://res.hurun.cn/file/20190910/201909101434138176288.pdf"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https://res.hurun.cn/file/20190910/201909101434138176288.pdf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</w:t>
      </w:r>
    </w:p>
    <w:p w14:paraId="27E31881">
      <w:pPr>
        <w:numPr>
          <w:ilvl w:val="0"/>
          <w:numId w:val="7"/>
        </w:numPr>
        <w:spacing w:after="210" w:line="360" w:lineRule="auto"/>
      </w:pPr>
      <w:bookmarkStart w:id="70" w:name="fn5"/>
      <w:bookmarkEnd w:id="70"/>
      <w:r>
        <w:fldChar w:fldCharType="begin"/>
      </w:r>
      <w:r>
        <w:instrText xml:space="preserve"> HYPERLINK "https://www.hurun.net/zh-cn/info/detail?num=WH4FGWHNVOMT"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https://www.hurun.net/zh-cn/info/detail?num=WH4FGWHNVOMT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1DA1F3E8">
      <w:pPr>
        <w:numPr>
          <w:ilvl w:val="0"/>
          <w:numId w:val="7"/>
        </w:numPr>
        <w:spacing w:after="210" w:line="360" w:lineRule="auto"/>
      </w:pPr>
      <w:bookmarkStart w:id="71" w:name="fn6"/>
      <w:bookmarkEnd w:id="71"/>
      <w:r>
        <w:fldChar w:fldCharType="begin"/>
      </w:r>
      <w:r>
        <w:instrText xml:space="preserve"> HYPERLINK "https://www.mckinsey.com.cn/mapping-chinasmiddle/"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https://www.mckinsey.com.cn/mapping-chinasmiddle/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10FD3AFF">
      <w:pPr>
        <w:numPr>
          <w:ilvl w:val="0"/>
          <w:numId w:val="7"/>
        </w:numPr>
        <w:spacing w:after="210" w:line="360" w:lineRule="auto"/>
      </w:pPr>
      <w:bookmarkStart w:id="72" w:name="fn7"/>
      <w:bookmarkEnd w:id="72"/>
      <w:r>
        <w:fldChar w:fldCharType="begin"/>
      </w:r>
      <w:r>
        <w:instrText xml:space="preserve"> HYPERLINK "https://word.baidu.com/view/f641920d5c1b6bd97f192279168884868762b8e1.html"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https://word.baidu.com/view/f641920d5c1b6bd97f192279168884868762b8e1.html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1D2B04F">
      <w:pPr>
        <w:numPr>
          <w:ilvl w:val="0"/>
          <w:numId w:val="7"/>
        </w:numPr>
        <w:spacing w:after="210" w:line="360" w:lineRule="auto"/>
      </w:pPr>
      <w:bookmarkStart w:id="73" w:name="fn8"/>
      <w:bookmarkEnd w:id="73"/>
      <w:r>
        <w:fldChar w:fldCharType="begin"/>
      </w:r>
      <w:r>
        <w:instrText xml:space="preserve"> HYPERLINK "https://www.hoover.org/sites/default/files/research/docs/CLM21JF.pdf"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https://www.hoover.org/sites/default/files/research/docs/CLM21JF.pdf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F0FFD64">
      <w:pPr>
        <w:numPr>
          <w:ilvl w:val="0"/>
          <w:numId w:val="7"/>
        </w:numPr>
        <w:spacing w:after="210" w:line="360" w:lineRule="auto"/>
      </w:pPr>
      <w:bookmarkStart w:id="74" w:name="fn9"/>
      <w:bookmarkEnd w:id="74"/>
      <w:r>
        <w:fldChar w:fldCharType="begin"/>
      </w:r>
      <w:r>
        <w:instrText xml:space="preserve"> HYPERLINK "https://static.32xueyuan.com/upload/pdfFile/mavendemo/courseKpoint/20171102/1509610177830127180.pdf"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https://static.32xueyuan.com/upload/pdfFile/mavendemo/courseKpoint/20171102/1509610177830127180.pdf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00B97A8">
      <w:pPr>
        <w:numPr>
          <w:ilvl w:val="0"/>
          <w:numId w:val="7"/>
        </w:numPr>
        <w:spacing w:after="210" w:line="360" w:lineRule="auto"/>
      </w:pPr>
      <w:bookmarkStart w:id="75" w:name="fn10"/>
      <w:bookmarkEnd w:id="75"/>
      <w:r>
        <w:fldChar w:fldCharType="begin"/>
      </w:r>
      <w:r>
        <w:instrText xml:space="preserve"> HYPERLINK "https://pic.bankofchina.com/bocappd/rareport/202406/P020240626401825289295.pdf"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https://pic.bankofchina.com/bocappd/rareport/202406/P020240626401825289295.pdf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BC5C584">
      <w:pPr>
        <w:numPr>
          <w:ilvl w:val="0"/>
          <w:numId w:val="7"/>
        </w:numPr>
        <w:spacing w:after="210" w:line="360" w:lineRule="auto"/>
      </w:pPr>
      <w:bookmarkStart w:id="76" w:name="fn11"/>
      <w:bookmarkEnd w:id="76"/>
      <w:r>
        <w:fldChar w:fldCharType="begin"/>
      </w:r>
      <w:r>
        <w:instrText xml:space="preserve"> HYPERLINK "https://www.21jingji.com/article/20251028/herald/ce8f980753a1584633cb4be118554685.html"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https://www.21jingji.com/article/20251028/herald/ce8f980753a1584633cb4be118554685.html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018A4776">
      <w:pPr>
        <w:numPr>
          <w:ilvl w:val="0"/>
          <w:numId w:val="7"/>
        </w:numPr>
        <w:spacing w:after="210" w:line="360" w:lineRule="auto"/>
      </w:pPr>
      <w:bookmarkStart w:id="77" w:name="fn12"/>
      <w:bookmarkEnd w:id="77"/>
      <w:r>
        <w:fldChar w:fldCharType="begin"/>
      </w:r>
      <w:r>
        <w:instrText xml:space="preserve"> HYPERLINK "https://www.huxiu.com/article/4800121.html"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https://www.huxiu.com/article/4800121.html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7F84C46B">
      <w:pPr>
        <w:numPr>
          <w:ilvl w:val="0"/>
          <w:numId w:val="7"/>
        </w:numPr>
        <w:spacing w:after="210" w:line="360" w:lineRule="auto"/>
      </w:pPr>
      <w:bookmarkStart w:id="78" w:name="fn13"/>
      <w:bookmarkEnd w:id="78"/>
      <w:r>
        <w:fldChar w:fldCharType="begin"/>
      </w:r>
      <w:r>
        <w:instrText xml:space="preserve"> HYPERLINK "https://www.harvestwm.cn/about/harvest_news/6674e1d14799b609d89dd20a"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https://www.harvestwm.cn/about/harvest_news/6674e1d14799b609d89dd20a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3A406554">
      <w:pPr>
        <w:numPr>
          <w:ilvl w:val="0"/>
          <w:numId w:val="7"/>
        </w:numPr>
        <w:spacing w:after="210" w:line="360" w:lineRule="auto"/>
      </w:pPr>
      <w:bookmarkStart w:id="79" w:name="fn14"/>
      <w:bookmarkEnd w:id="79"/>
      <w:r>
        <w:fldChar w:fldCharType="begin"/>
      </w:r>
      <w:r>
        <w:instrText xml:space="preserve"> HYPERLINK "https://www.thinkingtaiwan.net/content/100050"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https://www.thinkingtaiwan.net/content/100050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46DBE33C">
      <w:pPr>
        <w:numPr>
          <w:ilvl w:val="0"/>
          <w:numId w:val="7"/>
        </w:numPr>
        <w:spacing w:after="210" w:line="360" w:lineRule="auto"/>
      </w:pPr>
      <w:bookmarkStart w:id="80" w:name="fn15"/>
      <w:bookmarkEnd w:id="80"/>
      <w:r>
        <w:fldChar w:fldCharType="begin"/>
      </w:r>
      <w:r>
        <w:instrText xml:space="preserve"> HYPERLINK "https://chfs.swufe.edu.cn/__local/D/56/C7/7F305CAB69A764388B596F14251_140258E4_586CF5.pdf?e=.pdf"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https://chfs.swufe.edu.cn/__local/D/56/C7/7F305CAB69A764388B596F14251_140258E4_586CF5.pdf?e=.pdf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5C8CB1A1">
      <w:pPr>
        <w:numPr>
          <w:ilvl w:val="0"/>
          <w:numId w:val="7"/>
        </w:numPr>
        <w:spacing w:after="210" w:line="360" w:lineRule="auto"/>
      </w:pPr>
      <w:bookmarkStart w:id="81" w:name="fn16"/>
      <w:bookmarkEnd w:id="81"/>
      <w:r>
        <w:fldChar w:fldCharType="begin"/>
      </w:r>
      <w:r>
        <w:instrText xml:space="preserve"> HYPERLINK "https://www.sohu.com/a/915421843_121609438"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https://www.sohu.com/a/915421843_121609438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95E9CDF">
      <w:pPr>
        <w:numPr>
          <w:ilvl w:val="0"/>
          <w:numId w:val="7"/>
        </w:numPr>
        <w:spacing w:after="210" w:line="360" w:lineRule="auto"/>
      </w:pPr>
      <w:bookmarkStart w:id="82" w:name="fn17"/>
      <w:bookmarkEnd w:id="82"/>
      <w:r>
        <w:fldChar w:fldCharType="begin"/>
      </w:r>
      <w:r>
        <w:instrText xml:space="preserve"> HYPERLINK "https://www.mckinsey.com.cn/wp-content/uploads/2024/05/%E7%94%B5%E5%AD%90%E7%89%88-2024%E4%B8%AD%E5%9B%BD%E6%B6%88%E8%B4%B9%E8%B6%8B%E5%8A%BF%E8%B0%83%E7%A0%94.pdf"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https://www.mckinsey.com.cn/wp-content/uploads/2024/05/电子版-2024中国消费趋势调研.pdf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2EF77BB">
      <w:pPr>
        <w:numPr>
          <w:ilvl w:val="0"/>
          <w:numId w:val="7"/>
        </w:numPr>
        <w:spacing w:after="210" w:line="360" w:lineRule="auto"/>
      </w:pPr>
      <w:bookmarkStart w:id="83" w:name="fn18"/>
      <w:bookmarkEnd w:id="83"/>
      <w:r>
        <w:fldChar w:fldCharType="begin"/>
      </w:r>
      <w:r>
        <w:instrText xml:space="preserve"> HYPERLINK "https://m.ieduchina.com/school/education/202501/124067.html"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https://m.ieduchina.com/school/education/202501/124067.html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64902B4">
      <w:pPr>
        <w:numPr>
          <w:ilvl w:val="0"/>
          <w:numId w:val="7"/>
        </w:numPr>
        <w:spacing w:after="210" w:line="360" w:lineRule="auto"/>
      </w:pPr>
      <w:bookmarkStart w:id="84" w:name="fn19"/>
      <w:bookmarkEnd w:id="84"/>
      <w:r>
        <w:fldChar w:fldCharType="begin"/>
      </w:r>
      <w:r>
        <w:instrText xml:space="preserve"> HYPERLINK "http://www.hbhszx.net/newsinfo/3003257.html"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http://www.hbhszx.net/newsinfo/3003257.html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2E3801A">
      <w:pPr>
        <w:numPr>
          <w:ilvl w:val="0"/>
          <w:numId w:val="7"/>
        </w:numPr>
        <w:spacing w:after="210" w:line="360" w:lineRule="auto"/>
      </w:pPr>
      <w:bookmarkStart w:id="85" w:name="fn20"/>
      <w:bookmarkEnd w:id="85"/>
      <w:r>
        <w:fldChar w:fldCharType="begin"/>
      </w:r>
      <w:r>
        <w:instrText xml:space="preserve"> HYPERLINK "https://antcloud-cnhz02-athomeweb-01.oss-cn-hzfinance.aliyuncs.com/attachment/2021-02-19/2e94b9a1-5254-4319-b3d9-6e0b94c5a6ab.pdf"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https://antcloud-cnhz02-athomeweb-01.oss-cn-hzfinance.aliyuncs.com/attachment/2021-02-19/2e94b9a1-5254-4319-b3d9-6e0b94c5a6ab.pdf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8C9EDF7">
      <w:pPr>
        <w:numPr>
          <w:ilvl w:val="0"/>
          <w:numId w:val="7"/>
        </w:numPr>
        <w:spacing w:after="210" w:line="360" w:lineRule="auto"/>
      </w:pPr>
      <w:bookmarkStart w:id="86" w:name="fn21"/>
      <w:bookmarkEnd w:id="86"/>
      <w:r>
        <w:fldChar w:fldCharType="begin"/>
      </w:r>
      <w:r>
        <w:instrText xml:space="preserve"> HYPERLINK "https://blogs.worldbank.org/zh/opendata/world-bank-country-classifications-by-income-level-for-2024-2025"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https://blogs.worldbank.org/zh/opendata/world-bank-country-classifications-by-income-level-for-2024-2025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3EFC0A9">
      <w:pPr>
        <w:numPr>
          <w:ilvl w:val="0"/>
          <w:numId w:val="7"/>
        </w:numPr>
        <w:spacing w:after="210" w:line="360" w:lineRule="auto"/>
      </w:pPr>
      <w:bookmarkStart w:id="87" w:name="fn22"/>
      <w:bookmarkEnd w:id="87"/>
      <w:r>
        <w:fldChar w:fldCharType="begin"/>
      </w:r>
      <w:r>
        <w:instrText xml:space="preserve"> HYPERLINK "https://finance.sina.com.cn/test/2025-02-15/doc-inekphkt7311349.shtml"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https://finance.sina.com.cn/test/2025-02-15/doc-inekphkt7311349.shtml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ABFD196">
      <w:pPr>
        <w:numPr>
          <w:ilvl w:val="0"/>
          <w:numId w:val="7"/>
        </w:numPr>
        <w:spacing w:after="210" w:line="360" w:lineRule="auto"/>
      </w:pPr>
      <w:bookmarkStart w:id="88" w:name="fn23"/>
      <w:bookmarkEnd w:id="88"/>
      <w:r>
        <w:fldChar w:fldCharType="begin"/>
      </w:r>
      <w:r>
        <w:instrText xml:space="preserve"> HYPERLINK "https://wap.icbc.com.cn/icbc/%E6%8A%95%E8%B5%84%E8%B5%84%E8%AE%AF/%E7%90%86%E8%B4%A2/%E6%96%B0%E4%B8%AD%E4%BA%A7%E4%B8%8E%E8%B4%A2%E5%AF%8C%E6%A2%A6%E6%83%B3.htm"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https://wap.icbc.com.cn/icbc/投资资讯/理财/新中产与财富梦想.htm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9744819">
      <w:pPr>
        <w:numPr>
          <w:ilvl w:val="0"/>
          <w:numId w:val="7"/>
        </w:numPr>
        <w:spacing w:after="210" w:line="360" w:lineRule="auto"/>
      </w:pPr>
      <w:bookmarkStart w:id="89" w:name="fn24"/>
      <w:bookmarkEnd w:id="89"/>
      <w:r>
        <w:fldChar w:fldCharType="begin"/>
      </w:r>
      <w:r>
        <w:instrText xml:space="preserve"> HYPERLINK "https://res.hurun.net/file/20251204/20251204160738255.pdf"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https://res.hurun.net/file/20251204/20251204160738255.pdf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F0D47A2">
      <w:pPr>
        <w:numPr>
          <w:ilvl w:val="0"/>
          <w:numId w:val="7"/>
        </w:numPr>
        <w:spacing w:after="210" w:line="360" w:lineRule="auto"/>
      </w:pPr>
      <w:bookmarkStart w:id="90" w:name="fn25"/>
      <w:bookmarkEnd w:id="90"/>
      <w:r>
        <w:fldChar w:fldCharType="begin"/>
      </w:r>
      <w:r>
        <w:instrText xml:space="preserve"> HYPERLINK "https://help-static-aliyun-doc.aliyuncs.com/file-manage-files/en-US/20221207/wrlg/dict.txt.small.txt"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https://help-static-aliyun-doc.aliyuncs.com/file-manage-files/en-US/20221207/wrlg/dict.txt.small.txt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D2B70F5">
      <w:pPr>
        <w:numPr>
          <w:ilvl w:val="0"/>
          <w:numId w:val="7"/>
        </w:numPr>
        <w:spacing w:after="210" w:line="360" w:lineRule="auto"/>
      </w:pPr>
      <w:bookmarkStart w:id="91" w:name="fn26"/>
      <w:bookmarkEnd w:id="91"/>
      <w:r>
        <w:fldChar w:fldCharType="begin"/>
      </w:r>
      <w:r>
        <w:instrText xml:space="preserve"> HYPERLINK "https://resour.nwu.icu/p/local/%E8%AF%BE%E5%A4%96%E4%B9%A6(%E6%97%A0%E5%85%B3%E8%AF%BE%E7%A8%8B)/%E5%8E%86%E5%8F%B2%E4%B9%A6/%E4%B8%AD%E5%9B%BD%E5%8F%B2/%E4%B8%AD%E5%9B%BD%E5%8F%B2%E7%BA%B2%E8%A6%81%E4%B8%8B.pdf?sign=thV_GrTd8mKGaqsCoY0H_sn-L_jaWTeHeQsOJPVWKn0%3D%3A0"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https://resour.nwu.icu/p/local/课外书(无关课程)/历史书/中国史/中国史纲要下.pdf?sign=thV_GrTd8mKGaqsCoY0H_sn-L_jaWTeHeQsOJPVWKn0%3D%3A0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CCB5AEF">
      <w:pPr>
        <w:numPr>
          <w:ilvl w:val="0"/>
          <w:numId w:val="7"/>
        </w:numPr>
        <w:spacing w:after="210" w:line="360" w:lineRule="auto"/>
      </w:pPr>
      <w:bookmarkStart w:id="92" w:name="fn27"/>
      <w:bookmarkEnd w:id="92"/>
      <w:r>
        <w:fldChar w:fldCharType="begin"/>
      </w:r>
      <w:r>
        <w:instrText xml:space="preserve"> HYPERLINK "https://www.alanshawn.com/media/2018/2018-09-02-wubi-database.txt"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https://www.alanshawn.com/media/2018/2018-09-02-wubi-database.txt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7C90E5E">
      <w:pPr>
        <w:numPr>
          <w:ilvl w:val="0"/>
          <w:numId w:val="7"/>
        </w:numPr>
        <w:spacing w:after="210" w:line="360" w:lineRule="auto"/>
      </w:pPr>
      <w:bookmarkStart w:id="93" w:name="fn28"/>
      <w:bookmarkEnd w:id="93"/>
      <w:r>
        <w:fldChar w:fldCharType="begin"/>
      </w:r>
      <w:r>
        <w:instrText xml:space="preserve"> HYPERLINK "https://lists.fedoraproject.org/archives/list/scm-commits@lists.fedoraproject.org/2018/1/?page=895"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https://lists.fedoraproject.org/archives/list/scm-commits@lists.fedoraproject.org/2018/1/?page=895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EFC37EE">
      <w:pPr>
        <w:numPr>
          <w:ilvl w:val="0"/>
          <w:numId w:val="7"/>
        </w:numPr>
        <w:spacing w:after="210" w:line="360" w:lineRule="auto"/>
      </w:pPr>
      <w:bookmarkStart w:id="94" w:name="fn29"/>
      <w:bookmarkEnd w:id="94"/>
      <w:r>
        <w:fldChar w:fldCharType="begin"/>
      </w:r>
      <w:r>
        <w:instrText xml:space="preserve"> HYPERLINK "https://dfz.shaanxi.gov.cn/zslm/fzzlk/xbsxsz/szdylpdf/201404/P020240923612415835766.pdf"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https://dfz.shaanxi.gov.cn/zslm/fzzlk/xbsxsz/szdylpdf/201404/P020240923612415835766.pdf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0317A43">
      <w:pPr>
        <w:numPr>
          <w:ilvl w:val="0"/>
          <w:numId w:val="7"/>
        </w:numPr>
        <w:spacing w:after="210" w:line="360" w:lineRule="auto"/>
      </w:pPr>
      <w:bookmarkStart w:id="95" w:name="fn30"/>
      <w:bookmarkEnd w:id="95"/>
      <w:r>
        <w:fldChar w:fldCharType="begin"/>
      </w:r>
      <w:r>
        <w:instrText xml:space="preserve"> HYPERLINK "https://lists.pagure.io/archives/list/scm-commits@lists.fedoraproject.org/thread/XAPEI2NVF6CAL6PNIIA4V65JG5N32TAT/"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https://lists.pagure.io/archives/list/scm-commits@lists.fedoraproject.org/thread/XAPEI2NVF6CAL6PNIIA4V65JG5N32TAT/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DBEAC81">
      <w:pPr>
        <w:numPr>
          <w:ilvl w:val="0"/>
          <w:numId w:val="7"/>
        </w:numPr>
        <w:spacing w:after="210" w:line="360" w:lineRule="auto"/>
      </w:pPr>
      <w:bookmarkStart w:id="96" w:name="fn31"/>
      <w:bookmarkEnd w:id="96"/>
      <w:r>
        <w:fldChar w:fldCharType="begin"/>
      </w:r>
      <w:r>
        <w:instrText xml:space="preserve"> HYPERLINK "https://ky.nfu.edu.cn/__local/6/55/B2/AEBC631A2AC79E073CC92DFD855_C6D46135_15D005.pdf?e=.pdf"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https://ky.nfu.edu.cn/__local/6/55/B2/AEBC631A2AC79E073CC92DFD855_C6D46135_15D005.pdf?e=.pdf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20CBFAC">
      <w:pPr>
        <w:numPr>
          <w:ilvl w:val="0"/>
          <w:numId w:val="7"/>
        </w:numPr>
        <w:spacing w:after="210" w:line="360" w:lineRule="auto"/>
      </w:pPr>
      <w:bookmarkStart w:id="97" w:name="fn32"/>
      <w:bookmarkEnd w:id="97"/>
      <w:r>
        <w:fldChar w:fldCharType="begin"/>
      </w:r>
      <w:r>
        <w:instrText xml:space="preserve"> HYPERLINK "https://emcreative.eastmoney.com/app_fortune/article/index.html?artCode=20250920211503883275280&amp;postId=1602859176"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https://emcreative.eastmoney.com/app_fortune/article/index.html?artCode=20250920211503883275280&amp;postId=1602859176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DA74942">
      <w:pPr>
        <w:numPr>
          <w:ilvl w:val="0"/>
          <w:numId w:val="7"/>
        </w:numPr>
        <w:spacing w:after="210" w:line="360" w:lineRule="auto"/>
      </w:pPr>
      <w:bookmarkStart w:id="98" w:name="fn33"/>
      <w:bookmarkEnd w:id="98"/>
      <w:r>
        <w:fldChar w:fldCharType="begin"/>
      </w:r>
      <w:r>
        <w:instrText xml:space="preserve"> HYPERLINK "https://huggingface.co/datasets/suolyer/wudao/viewer"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https://huggingface.co/datasets/suolyer/wudao/viewer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8BDA99C">
      <w:pPr>
        <w:numPr>
          <w:ilvl w:val="0"/>
          <w:numId w:val="7"/>
        </w:numPr>
        <w:spacing w:after="210" w:line="360" w:lineRule="auto"/>
      </w:pPr>
      <w:bookmarkStart w:id="99" w:name="fn34"/>
      <w:bookmarkEnd w:id="99"/>
      <w:r>
        <w:fldChar w:fldCharType="begin"/>
      </w:r>
      <w:r>
        <w:instrText xml:space="preserve"> HYPERLINK "https://aichiu.repo.nii.ac.jp/record/10307/files/%E7%94%B2%E7%AC%AC106%E5%8F%B7_%E5%AE%89%E8%8A%B8%E8%88%9F_%E8%AB%96%E6%96%87%E6%9C%AC%E6%96%87.pdf"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https://aichiu.repo.nii.ac.jp/record/10307/files/甲第106号_安芸舟_論文本文.pdf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1FAF4A9">
      <w:pPr>
        <w:numPr>
          <w:ilvl w:val="0"/>
          <w:numId w:val="7"/>
        </w:numPr>
        <w:spacing w:after="210" w:line="360" w:lineRule="auto"/>
      </w:pPr>
      <w:bookmarkStart w:id="100" w:name="fn35"/>
      <w:bookmarkEnd w:id="100"/>
      <w:r>
        <w:fldChar w:fldCharType="begin"/>
      </w:r>
      <w:r>
        <w:instrText xml:space="preserve"> HYPERLINK "https://www.reddit.com/r/China_irl/comments/1p3ig52/%E6%84%9F%E8%A7%89%E4%B8%AD%E8%80%83%E7%A6%81%E6%AD%A2%E5%A4%8D%E8%AF%BB%E8%81%8C%E4%B8%9A%E6%95%99%E8%82%B2%E6%AD%A7%E8%A7%86%E5%8C%96%E6%98%AF%E4%B8%80%E7%A7%8D%E6%94%B6%E5%89%B2%E5%9F%8E%E5%B8%82%E4%B8%AD%E4%BA%A7%E7%9A%84%E6%89%8B%E6%AE%B5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https://www.reddit.com/r/China_irl/comments/1p3ig52/感觉中考禁止复读职业教育歧视化是一种收割城市中产的手段/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88E5433">
      <w:pPr>
        <w:numPr>
          <w:ilvl w:val="0"/>
          <w:numId w:val="7"/>
        </w:numPr>
        <w:spacing w:after="210" w:line="360" w:lineRule="auto"/>
      </w:pPr>
      <w:bookmarkStart w:id="101" w:name="fn36"/>
      <w:bookmarkEnd w:id="101"/>
      <w:r>
        <w:fldChar w:fldCharType="begin"/>
      </w:r>
      <w:r>
        <w:instrText xml:space="preserve"> HYPERLINK "https://www.stats.gov.cn/xxgk/jd/sjjd2020/202211/t20221116_1890338.html"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https://www.stats.gov.cn/xxgk/jd/sjjd2020/202211/t20221116_1890338.html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942285D">
      <w:pPr>
        <w:numPr>
          <w:ilvl w:val="0"/>
          <w:numId w:val="7"/>
        </w:numPr>
        <w:spacing w:after="210" w:line="360" w:lineRule="auto"/>
      </w:pPr>
      <w:bookmarkStart w:id="102" w:name="fn37"/>
      <w:bookmarkEnd w:id="102"/>
      <w:r>
        <w:fldChar w:fldCharType="begin"/>
      </w:r>
      <w:r>
        <w:instrText xml:space="preserve"> HYPERLINK "https://ohquebec.com/2025/04/10/%E5%8A%A0%E6%8B%BF%E5%A4%A7%E4%B8%AD%E4%BA%A7%E9%98%B6%E7%BA%A7%E5%9B%BE%E9%89%B4%EF%BC%9A%E4%BD%A0%E5%A4%9F%E4%B8%AD%E4%BA%A7%E5%90%97%EF%BC%9F%E4%B8%AD%E4%BA%A7%E5%93%AA%E9%83%A8%E5%88%86%E7%9A%84/"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https://ohquebec.com/2025/04/10/加拿大中产阶级图鉴：你够中产吗？中产哪部分的/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C0F3F1E">
      <w:pPr>
        <w:numPr>
          <w:ilvl w:val="0"/>
          <w:numId w:val="7"/>
        </w:numPr>
        <w:spacing w:after="210" w:line="360" w:lineRule="auto"/>
      </w:pPr>
      <w:bookmarkStart w:id="103" w:name="fn38"/>
      <w:bookmarkEnd w:id="103"/>
      <w:r>
        <w:fldChar w:fldCharType="begin"/>
      </w:r>
      <w:r>
        <w:instrText xml:space="preserve"> HYPERLINK "https://www.legco.gov.hk/yr17-18/chinese/counmtg/hansard/cm20171129-translate-c.pdf"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https://www.legco.gov.hk/yr17-18/chinese/counmtg/hansard/cm20171129-translate-c.pdf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A509FF9">
      <w:pPr>
        <w:numPr>
          <w:ilvl w:val="0"/>
          <w:numId w:val="7"/>
        </w:numPr>
        <w:spacing w:after="210" w:line="360" w:lineRule="auto"/>
      </w:pPr>
      <w:bookmarkStart w:id="104" w:name="fn39"/>
      <w:bookmarkEnd w:id="104"/>
      <w:r>
        <w:fldChar w:fldCharType="begin"/>
      </w:r>
      <w:r>
        <w:instrText xml:space="preserve"> HYPERLINK "https://www.reddit.com/r/Millennials/comments/19fdvtz/fellow_millennials_what_do_you_consider_to_be_a/"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https://www.reddit.com/r/Millennials/comments/19fdvtz/fellow_millennials_what_do_you_consider_to_be_a/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2AC4A20">
      <w:pPr>
        <w:numPr>
          <w:ilvl w:val="0"/>
          <w:numId w:val="7"/>
        </w:numPr>
        <w:spacing w:after="210" w:line="360" w:lineRule="auto"/>
      </w:pPr>
      <w:bookmarkStart w:id="105" w:name="fn40"/>
      <w:bookmarkEnd w:id="105"/>
      <w:r>
        <w:fldChar w:fldCharType="begin"/>
      </w:r>
      <w:r>
        <w:instrText xml:space="preserve"> HYPERLINK "https://tile.loc.gov/storage-services/master/gdc/gdcebookspublic/20/21/36/53/47/v1/2021365347v1/2021365347v1.pdf"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https://tile.loc.gov/storage-services/master/gdc/gdcebookspublic/20/21/36/53/47/v1/2021365347v1/2021365347v1.pdf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4A02F36">
      <w:pPr>
        <w:numPr>
          <w:ilvl w:val="0"/>
          <w:numId w:val="7"/>
        </w:numPr>
        <w:spacing w:after="210" w:line="360" w:lineRule="auto"/>
      </w:pPr>
      <w:bookmarkStart w:id="106" w:name="fn41"/>
      <w:bookmarkEnd w:id="106"/>
      <w:r>
        <w:fldChar w:fldCharType="begin"/>
      </w:r>
      <w:r>
        <w:instrText xml:space="preserve"> HYPERLINK "https://info.51.ca/articles/1504559?wyacs=info-article-list"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https://info.51.ca/articles/1504559?wyacs=info-article-list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D71F4A6">
      <w:pPr>
        <w:numPr>
          <w:ilvl w:val="0"/>
          <w:numId w:val="7"/>
        </w:numPr>
        <w:spacing w:after="210" w:line="360" w:lineRule="auto"/>
      </w:pPr>
      <w:bookmarkStart w:id="107" w:name="fn42"/>
      <w:bookmarkEnd w:id="107"/>
      <w:r>
        <w:fldChar w:fldCharType="begin"/>
      </w:r>
      <w:r>
        <w:instrText xml:space="preserve"> HYPERLINK "http://cj.sina.cn/article/detail/5898164240/432336"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http://cj.sina.cn/article/detail/5898164240/432336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0448CA1">
      <w:pPr>
        <w:numPr>
          <w:ilvl w:val="0"/>
          <w:numId w:val="7"/>
        </w:numPr>
        <w:spacing w:after="210" w:line="360" w:lineRule="auto"/>
      </w:pPr>
      <w:bookmarkStart w:id="108" w:name="fn43"/>
      <w:bookmarkEnd w:id="108"/>
      <w:r>
        <w:fldChar w:fldCharType="begin"/>
      </w:r>
      <w:r>
        <w:instrText xml:space="preserve"> HYPERLINK "https://cons.judicial.gov.tw/docdata.aspx?fid=38&amp;id=309998"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https://cons.judicial.gov.tw/docdata.aspx?fid=38&amp;id=309998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8E2CBEF">
      <w:pPr>
        <w:numPr>
          <w:ilvl w:val="0"/>
          <w:numId w:val="7"/>
        </w:numPr>
        <w:spacing w:after="210" w:line="360" w:lineRule="auto"/>
      </w:pPr>
      <w:bookmarkStart w:id="109" w:name="fn44"/>
      <w:bookmarkEnd w:id="109"/>
      <w:r>
        <w:fldChar w:fldCharType="begin"/>
      </w:r>
      <w:r>
        <w:instrText xml:space="preserve"> HYPERLINK "https://www.163.com/dy/article/JSI0AGHI0552YOJE.html"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https://www.163.com/dy/article/JSI0AGHI0552YOJE.html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E867C51">
      <w:pPr>
        <w:numPr>
          <w:ilvl w:val="0"/>
          <w:numId w:val="7"/>
        </w:numPr>
        <w:spacing w:after="210" w:line="360" w:lineRule="auto"/>
      </w:pPr>
      <w:bookmarkStart w:id="110" w:name="fn45"/>
      <w:bookmarkEnd w:id="110"/>
      <w:r>
        <w:fldChar w:fldCharType="begin"/>
      </w:r>
      <w:r>
        <w:instrText xml:space="preserve"> HYPERLINK "https://m.10100.com/article/63984828"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https://m.10100.com/article/63984828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85D640B">
      <w:pPr>
        <w:numPr>
          <w:ilvl w:val="0"/>
          <w:numId w:val="7"/>
        </w:numPr>
        <w:spacing w:after="210" w:line="360" w:lineRule="auto"/>
      </w:pPr>
      <w:bookmarkStart w:id="111" w:name="fn46"/>
      <w:bookmarkEnd w:id="111"/>
      <w:r>
        <w:fldChar w:fldCharType="begin"/>
      </w:r>
      <w:r>
        <w:instrText xml:space="preserve"> HYPERLINK "https://embac.nus.edu.sg/wp-content/uploads/sites/91/2025/10/Global-Chinese-Entrepreneurs-Development-White-Paper-North-America-Edition.pdf"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https://embac.nus.edu.sg/wp-content/uploads/sites/91/2025/10/Global-Chinese-Entrepreneurs-Development-White-Paper-North-America-Edition.pdf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39E5AD6">
      <w:pPr>
        <w:numPr>
          <w:ilvl w:val="0"/>
          <w:numId w:val="7"/>
        </w:numPr>
        <w:spacing w:after="210" w:line="360" w:lineRule="auto"/>
      </w:pPr>
      <w:bookmarkStart w:id="112" w:name="fn47"/>
      <w:bookmarkEnd w:id="112"/>
      <w:r>
        <w:fldChar w:fldCharType="begin"/>
      </w:r>
      <w:r>
        <w:instrText xml:space="preserve"> HYPERLINK "http://www.sse.com.cn/disclosure/fund/announcement/c/new/2023-04-18/508056_20230418_HSPC.pdf"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http://www.sse.com.cn/disclosure/fund/announcement/c/new/2023-04-18/508056_20230418_HSPC.pdf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1233ADC">
      <w:pPr>
        <w:numPr>
          <w:ilvl w:val="0"/>
          <w:numId w:val="7"/>
        </w:numPr>
        <w:spacing w:after="210" w:line="360" w:lineRule="auto"/>
      </w:pPr>
      <w:bookmarkStart w:id="113" w:name="fn48"/>
      <w:bookmarkEnd w:id="113"/>
      <w:r>
        <w:fldChar w:fldCharType="begin"/>
      </w:r>
      <w:r>
        <w:instrText xml:space="preserve"> HYPERLINK "https://www.cls.cn/detail/94793"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https://www.cls.cn/detail/94793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8570360">
      <w:pPr>
        <w:numPr>
          <w:ilvl w:val="0"/>
          <w:numId w:val="7"/>
        </w:numPr>
        <w:spacing w:after="210" w:line="360" w:lineRule="auto"/>
      </w:pPr>
      <w:bookmarkStart w:id="114" w:name="fn49"/>
      <w:bookmarkEnd w:id="114"/>
      <w:r>
        <w:fldChar w:fldCharType="begin"/>
      </w:r>
      <w:r>
        <w:instrText xml:space="preserve"> HYPERLINK "https://www.britishchambershanghai.cn/content/media/2022/12/2023-McKinsey-China-Consumer-Report-CN.pdf"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https://www.britishchambershanghai.cn/content/media/2022/12/2023-McKinsey-China-Consumer-Report-CN.pdf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EA5D39C">
      <w:pPr>
        <w:numPr>
          <w:ilvl w:val="0"/>
          <w:numId w:val="7"/>
        </w:numPr>
        <w:spacing w:after="210" w:line="360" w:lineRule="auto"/>
      </w:pPr>
      <w:bookmarkStart w:id="115" w:name="fn50"/>
      <w:bookmarkEnd w:id="115"/>
      <w:r>
        <w:fldChar w:fldCharType="begin"/>
      </w:r>
      <w:r>
        <w:instrText xml:space="preserve"> HYPERLINK "https://www.36kr.com/p/3635068455629313"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https://www.36kr.com/p/3635068455629313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DDA3B82">
      <w:pPr>
        <w:numPr>
          <w:ilvl w:val="0"/>
          <w:numId w:val="7"/>
        </w:numPr>
        <w:spacing w:after="210" w:line="360" w:lineRule="auto"/>
      </w:pPr>
      <w:bookmarkStart w:id="116" w:name="fn51"/>
      <w:bookmarkEnd w:id="116"/>
      <w:r>
        <w:fldChar w:fldCharType="begin"/>
      </w:r>
      <w:r>
        <w:instrText xml:space="preserve"> HYPERLINK "https://promote.caixin.com/2016-11-15/100989533.html"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https://promote.caixin.com/2016-11-15/100989533.html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71A12BF">
      <w:pPr>
        <w:numPr>
          <w:ilvl w:val="0"/>
          <w:numId w:val="7"/>
        </w:numPr>
        <w:spacing w:after="210" w:line="360" w:lineRule="auto"/>
      </w:pPr>
      <w:bookmarkStart w:id="117" w:name="fn52"/>
      <w:bookmarkEnd w:id="117"/>
      <w:r>
        <w:fldChar w:fldCharType="begin"/>
      </w:r>
      <w:r>
        <w:instrText xml:space="preserve"> HYPERLINK "https://money.finance.sina.com.cn/corp/view/vCB_AllBulletinDetail.php?stockid=601318&amp;id=5900794"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https://money.finance.sina.com.cn/corp/view/vCB_AllBulletinDetail.php?stockid=601318&amp;id=5900794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3DE9A00">
      <w:pPr>
        <w:numPr>
          <w:ilvl w:val="0"/>
          <w:numId w:val="7"/>
        </w:numPr>
        <w:spacing w:after="210" w:line="360" w:lineRule="auto"/>
      </w:pPr>
      <w:bookmarkStart w:id="118" w:name="fn53"/>
      <w:bookmarkEnd w:id="118"/>
      <w:r>
        <w:fldChar w:fldCharType="begin"/>
      </w:r>
      <w:r>
        <w:instrText xml:space="preserve"> HYPERLINK "https://gongzige.com/%E5%B9%B4%E6%94%B6%E5%85%A5%E5%A4%9A%E5%B0%91%E7%AE%97%E4%B8%AD%E4%BA%A7%E9%98%B6%E7%BA%A7%EF%BC%9F%E6%8F%AD%E7%A4%BA2024%E5%B9%B4%E4%BB%A4%E4%BA%BA%E9%9C%87%E6%83%8A%E7%9A%84%E6%94%B6%E5%85%A5/"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https://gongzige.com/年收入多少算中产阶级？揭示2024年令人震惊的收入/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0B25C6C">
      <w:pPr>
        <w:numPr>
          <w:ilvl w:val="0"/>
          <w:numId w:val="7"/>
        </w:numPr>
        <w:spacing w:after="210" w:line="360" w:lineRule="auto"/>
      </w:pPr>
      <w:bookmarkStart w:id="119" w:name="fn54"/>
      <w:bookmarkEnd w:id="119"/>
      <w:r>
        <w:fldChar w:fldCharType="begin"/>
      </w:r>
      <w:r>
        <w:instrText xml:space="preserve"> HYPERLINK "https://www.mckinsey.com/cn/our-insights/our-insights/the-truth-about-chinese-consumption"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https://www.mckinsey.com/cn/our-insights/our-insights/the-truth-about-chinese-consumption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52EDC39">
      <w:pPr>
        <w:numPr>
          <w:ilvl w:val="0"/>
          <w:numId w:val="7"/>
        </w:numPr>
        <w:spacing w:after="210" w:line="360" w:lineRule="auto"/>
      </w:pPr>
      <w:bookmarkStart w:id="120" w:name="fn55"/>
      <w:bookmarkEnd w:id="120"/>
      <w:r>
        <w:fldChar w:fldCharType="begin"/>
      </w:r>
      <w:r>
        <w:instrText xml:space="preserve"> HYPERLINK "https://www.tjwq.gov.cn/zwgk/zfxxgk/wbj2/qzwfwb1/fdzdgknr32/xzxkfwsx32/202502/W020250212507540826814.pdf"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https://www.tjwq.gov.cn/zwgk/zfxxgk/wbj2/qzwfwb1/fdzdgknr32/xzxkfwsx32/202502/W020250212507540826814.pdf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17919CD">
      <w:pPr>
        <w:numPr>
          <w:ilvl w:val="0"/>
          <w:numId w:val="7"/>
        </w:numPr>
        <w:spacing w:after="210" w:line="360" w:lineRule="auto"/>
      </w:pPr>
      <w:bookmarkStart w:id="121" w:name="fn56"/>
      <w:bookmarkEnd w:id="121"/>
      <w:r>
        <w:fldChar w:fldCharType="begin"/>
      </w:r>
      <w:r>
        <w:instrText xml:space="preserve"> HYPERLINK "https://www.163.com/dy/article/K23V4RT70552XK1U.html"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https://www.163.com/dy/article/K23V4RT70552XK1U.html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74423A8">
      <w:pPr>
        <w:numPr>
          <w:ilvl w:val="0"/>
          <w:numId w:val="7"/>
        </w:numPr>
        <w:spacing w:after="210" w:line="360" w:lineRule="auto"/>
      </w:pPr>
      <w:bookmarkStart w:id="122" w:name="fn57"/>
      <w:bookmarkEnd w:id="122"/>
      <w:r>
        <w:fldChar w:fldCharType="begin"/>
      </w:r>
      <w:r>
        <w:instrText xml:space="preserve"> HYPERLINK "https://www.mckinsey.com/~/media/McKinsey/Featured%20Insights/China/The%20Chinese%20luxury%20consumer/The-Chinese-luxury-consumer.pdf"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https://www.mckinsey.com/~/media/McKinsey/Featured Insights/China/The Chinese luxury consumer/The-Chinese-luxury-consumer.pdf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3FB245E">
      <w:pPr>
        <w:numPr>
          <w:ilvl w:val="0"/>
          <w:numId w:val="7"/>
        </w:numPr>
        <w:spacing w:after="210" w:line="360" w:lineRule="auto"/>
      </w:pPr>
      <w:bookmarkStart w:id="123" w:name="fn58"/>
      <w:bookmarkEnd w:id="123"/>
      <w:r>
        <w:fldChar w:fldCharType="begin"/>
      </w:r>
      <w:r>
        <w:instrText xml:space="preserve"> HYPERLINK "https://www.legco.gov.hk/yr2024/chinese/counmtg/hansard/cm20240529-translate-c.pdf"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https://www.legco.gov.hk/yr2024/chinese/counmtg/hansard/cm20240529-translate-c.pdf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EA61945">
      <w:pPr>
        <w:numPr>
          <w:ilvl w:val="0"/>
          <w:numId w:val="7"/>
        </w:numPr>
        <w:spacing w:after="210" w:line="360" w:lineRule="auto"/>
      </w:pPr>
      <w:bookmarkStart w:id="124" w:name="fn59"/>
      <w:bookmarkEnd w:id="124"/>
      <w:r>
        <w:fldChar w:fldCharType="begin"/>
      </w:r>
      <w:r>
        <w:instrText xml:space="preserve"> HYPERLINK "https://www.imf.org/-/media/files/publications/cr/2024/chinese/1chnca2024001.pdf"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https://www.imf.org/-/media/files/publications/cr/2024/chinese/1chnca2024001.pdf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477038F">
      <w:pPr>
        <w:numPr>
          <w:ilvl w:val="0"/>
          <w:numId w:val="7"/>
        </w:numPr>
        <w:spacing w:after="210" w:line="360" w:lineRule="auto"/>
      </w:pPr>
      <w:bookmarkStart w:id="125" w:name="fn60"/>
      <w:bookmarkEnd w:id="125"/>
      <w:r>
        <w:fldChar w:fldCharType="begin"/>
      </w:r>
      <w:r>
        <w:instrText xml:space="preserve"> HYPERLINK "https://finance.sina.cn/2023-04-17/detail-imyqshkm1584139.d.html"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https://finance.sina.cn/2023-04-17/detail-imyqshkm1584139.d.html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255EBCE">
      <w:pPr>
        <w:numPr>
          <w:ilvl w:val="0"/>
          <w:numId w:val="7"/>
        </w:numPr>
        <w:spacing w:after="210" w:line="360" w:lineRule="auto"/>
      </w:pPr>
      <w:bookmarkStart w:id="126" w:name="fn61"/>
      <w:bookmarkEnd w:id="126"/>
      <w:r>
        <w:fldChar w:fldCharType="begin"/>
      </w:r>
      <w:r>
        <w:instrText xml:space="preserve"> HYPERLINK "https://documents1.worldbank.org/curated/en/571241468221387095/pdf/762990PUB0CHIN00Box374372B00PUBLIC0.pdf"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https://documents1.worldbank.org/curated/en/571241468221387095/pdf/762990PUB0CHIN00Box374372B00PUBLIC0.pdf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7F517AC">
      <w:pPr>
        <w:numPr>
          <w:ilvl w:val="0"/>
          <w:numId w:val="7"/>
        </w:numPr>
        <w:spacing w:after="210" w:line="360" w:lineRule="auto"/>
      </w:pPr>
      <w:bookmarkStart w:id="127" w:name="fn62"/>
      <w:bookmarkEnd w:id="127"/>
      <w:r>
        <w:fldChar w:fldCharType="begin"/>
      </w:r>
      <w:r>
        <w:instrText xml:space="preserve"> HYPERLINK "https://www.yjxlawyer.com/news_details_1/39.html"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https://www.yjxlawyer.com/news_details_1/39.html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0647A33">
      <w:pPr>
        <w:numPr>
          <w:ilvl w:val="0"/>
          <w:numId w:val="7"/>
        </w:numPr>
        <w:spacing w:after="210" w:line="360" w:lineRule="auto"/>
      </w:pPr>
      <w:bookmarkStart w:id="128" w:name="fn63"/>
      <w:bookmarkEnd w:id="128"/>
      <w:r>
        <w:fldChar w:fldCharType="begin"/>
      </w:r>
      <w:r>
        <w:instrText xml:space="preserve"> HYPERLINK "https://m.36kr.com/p/3044444231712519"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https://m.36kr.com/p/3044444231712519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C32DF63">
      <w:pPr>
        <w:numPr>
          <w:ilvl w:val="0"/>
          <w:numId w:val="7"/>
        </w:numPr>
        <w:spacing w:after="210" w:line="360" w:lineRule="auto"/>
      </w:pPr>
      <w:bookmarkStart w:id="129" w:name="fn64"/>
      <w:bookmarkEnd w:id="129"/>
      <w:r>
        <w:fldChar w:fldCharType="begin"/>
      </w:r>
      <w:r>
        <w:instrText xml:space="preserve"> HYPERLINK "https://www.reddit.com/r/changemyview/comments/18fus4y/cmv_china_is_in_a_bloodless_war_with_the_united/"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https://www.reddit.com/r/changemyview/comments/18fus4y/cmv_china_is_in_a_bloodless_war_with_the_united/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2377D73">
      <w:pPr>
        <w:numPr>
          <w:ilvl w:val="0"/>
          <w:numId w:val="7"/>
        </w:numPr>
        <w:spacing w:after="210" w:line="360" w:lineRule="auto"/>
      </w:pPr>
      <w:bookmarkStart w:id="130" w:name="fn65"/>
      <w:bookmarkEnd w:id="130"/>
      <w:r>
        <w:fldChar w:fldCharType="begin"/>
      </w:r>
      <w:r>
        <w:instrText xml:space="preserve"> HYPERLINK "https://www.163.com/dy/article/JVNITFJL0521DC6R.html"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https://www.163.com/dy/article/JVNITFJL0521DC6R.html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9EDD525">
      <w:pPr>
        <w:numPr>
          <w:ilvl w:val="0"/>
          <w:numId w:val="7"/>
        </w:numPr>
        <w:spacing w:after="210" w:line="360" w:lineRule="auto"/>
      </w:pPr>
      <w:bookmarkStart w:id="131" w:name="fn66"/>
      <w:bookmarkEnd w:id="131"/>
      <w:r>
        <w:fldChar w:fldCharType="begin"/>
      </w:r>
      <w:r>
        <w:instrText xml:space="preserve"> HYPERLINK "https://assets.kpmg.com/content/dam/kpmg/cn/pdf/zh/2025/12/china-banking-outlook-2026.pdf"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https://assets.kpmg.com/content/dam/kpmg/cn/pdf/zh/2025/12/china-banking-outlook-2026.pdf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4B6C342">
      <w:pPr>
        <w:numPr>
          <w:ilvl w:val="0"/>
          <w:numId w:val="7"/>
        </w:numPr>
        <w:spacing w:after="210" w:line="360" w:lineRule="auto"/>
      </w:pPr>
      <w:bookmarkStart w:id="132" w:name="fn67"/>
      <w:bookmarkEnd w:id="132"/>
      <w:r>
        <w:fldChar w:fldCharType="begin"/>
      </w:r>
      <w:r>
        <w:instrText xml:space="preserve"> HYPERLINK "https://www.youtube.com/watch?v=Wn0eYKVq8Ik"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https://www.youtube.com/watch?v=Wn0eYKVq8Ik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D407B91">
      <w:pPr>
        <w:numPr>
          <w:ilvl w:val="0"/>
          <w:numId w:val="7"/>
        </w:numPr>
        <w:spacing w:after="210" w:line="360" w:lineRule="auto"/>
      </w:pPr>
      <w:bookmarkStart w:id="133" w:name="fn68"/>
      <w:bookmarkEnd w:id="133"/>
      <w:r>
        <w:fldChar w:fldCharType="begin"/>
      </w:r>
      <w:r>
        <w:instrText xml:space="preserve"> HYPERLINK "https://news.qq.com/rain/a/20250303A07LR400"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https://news.qq.com/rain/a/20250303A07LR400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71831A0">
      <w:pPr>
        <w:numPr>
          <w:ilvl w:val="0"/>
          <w:numId w:val="7"/>
        </w:numPr>
        <w:spacing w:after="210" w:line="360" w:lineRule="auto"/>
      </w:pPr>
      <w:bookmarkStart w:id="134" w:name="fn69"/>
      <w:bookmarkEnd w:id="134"/>
      <w:r>
        <w:fldChar w:fldCharType="begin"/>
      </w:r>
      <w:r>
        <w:instrText xml:space="preserve"> HYPERLINK "https://freedomhouse.org/sites/default/files/2020-02/Traditional_FH_ChinaReligiousFreedomReport_2016_V4_5.pdf"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https://freedomhouse.org/sites/default/files/2020-02/Traditional_FH_ChinaReligiousFreedomReport_2016_V4_5.pdf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0B28510">
      <w:pPr>
        <w:numPr>
          <w:ilvl w:val="0"/>
          <w:numId w:val="7"/>
        </w:numPr>
        <w:spacing w:after="210" w:line="360" w:lineRule="auto"/>
      </w:pPr>
      <w:bookmarkStart w:id="135" w:name="fn70"/>
      <w:bookmarkEnd w:id="135"/>
      <w:r>
        <w:fldChar w:fldCharType="begin"/>
      </w:r>
      <w:r>
        <w:instrText xml:space="preserve"> HYPERLINK "https://www.21jingji.com/article/20251010/herald/a2b0cd1aa5cccb8fa822ff5c068dfa29.html"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https://www.21jingji.com/article/20251010/herald/a2b0cd1aa5cccb8fa822ff5c068dfa29.html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9C2CB90">
      <w:pPr>
        <w:numPr>
          <w:ilvl w:val="0"/>
          <w:numId w:val="7"/>
        </w:numPr>
        <w:spacing w:after="210" w:line="360" w:lineRule="auto"/>
      </w:pPr>
      <w:bookmarkStart w:id="136" w:name="fn71"/>
      <w:bookmarkEnd w:id="136"/>
      <w:r>
        <w:fldChar w:fldCharType="begin"/>
      </w:r>
      <w:r>
        <w:instrText xml:space="preserve"> HYPERLINK "https://www.youtube.com/watch?v=2Me8AwY8y3M"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https://www.youtube.com/watch?v=2Me8AwY8y3M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F199808">
      <w:pPr>
        <w:numPr>
          <w:ilvl w:val="0"/>
          <w:numId w:val="7"/>
        </w:numPr>
        <w:spacing w:after="210" w:line="360" w:lineRule="auto"/>
      </w:pPr>
      <w:bookmarkStart w:id="137" w:name="fn72"/>
      <w:bookmarkEnd w:id="137"/>
      <w:r>
        <w:fldChar w:fldCharType="begin"/>
      </w:r>
      <w:r>
        <w:instrText xml:space="preserve"> HYPERLINK "http://www.ihss.pku.edu.cn/upload/accessory/20197/p1dg22hg87ij4kuj1qi4105aet34.pdf"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http://www.ihss.pku.edu.cn/upload/accessory/20197/p1dg22hg87ij4kuj1qi4105aet34.pdf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7105F53">
      <w:pPr>
        <w:numPr>
          <w:ilvl w:val="0"/>
          <w:numId w:val="7"/>
        </w:numPr>
        <w:spacing w:after="210" w:line="360" w:lineRule="auto"/>
      </w:pPr>
      <w:bookmarkStart w:id="138" w:name="fn73"/>
      <w:bookmarkEnd w:id="138"/>
      <w:r>
        <w:fldChar w:fldCharType="begin"/>
      </w:r>
      <w:r>
        <w:instrText xml:space="preserve"> HYPERLINK "http://picaball.blogspot.com/2020/"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http://picaball.blogspot.com/2020/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A83371E">
      <w:pPr>
        <w:numPr>
          <w:ilvl w:val="0"/>
          <w:numId w:val="7"/>
        </w:numPr>
        <w:spacing w:after="210" w:line="360" w:lineRule="auto"/>
      </w:pPr>
      <w:bookmarkStart w:id="139" w:name="fn74"/>
      <w:bookmarkEnd w:id="139"/>
      <w:r>
        <w:fldChar w:fldCharType="begin"/>
      </w:r>
      <w:r>
        <w:instrText xml:space="preserve"> HYPERLINK "https://www.reuters.com/article/lifestyle/middle-class-dream-fades-for-china-white-collar-workers-idUSTRE6BE0US/"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https://www.reuters.com/article/lifestyle/middle-class-dream-fades-for-china-white-collar-workers-idUSTRE6BE0US/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84DB94E">
      <w:pPr>
        <w:numPr>
          <w:ilvl w:val="0"/>
          <w:numId w:val="7"/>
        </w:numPr>
        <w:spacing w:after="210" w:line="360" w:lineRule="auto"/>
      </w:pPr>
      <w:bookmarkStart w:id="140" w:name="fn75"/>
      <w:bookmarkEnd w:id="140"/>
      <w:r>
        <w:fldChar w:fldCharType="begin"/>
      </w:r>
      <w:r>
        <w:instrText xml:space="preserve"> HYPERLINK "http://idl.hbdlib.cn/book/00000000000000/pdfbook/011/003/173778.pdf"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http://idl.hbdlib.cn/book/00000000000000/pdfbook/011/003/173778.pdf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C4A950F">
      <w:pPr>
        <w:numPr>
          <w:ilvl w:val="0"/>
          <w:numId w:val="7"/>
        </w:numPr>
        <w:spacing w:after="210" w:line="360" w:lineRule="auto"/>
      </w:pPr>
      <w:bookmarkStart w:id="141" w:name="fn76"/>
      <w:bookmarkEnd w:id="141"/>
      <w:r>
        <w:fldChar w:fldCharType="begin"/>
      </w:r>
      <w:r>
        <w:instrText xml:space="preserve"> HYPERLINK "https://pdf.dfcfw.com/pdf/H3_AP202501101641879274_1.pdf"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https://pdf.dfcfw.com/pdf/H3_AP202501101641879274_1.pdf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1C8CEC8">
      <w:pPr>
        <w:numPr>
          <w:ilvl w:val="0"/>
          <w:numId w:val="7"/>
        </w:numPr>
        <w:spacing w:after="210" w:line="360" w:lineRule="auto"/>
      </w:pPr>
      <w:bookmarkStart w:id="142" w:name="fn77"/>
      <w:bookmarkEnd w:id="142"/>
      <w:r>
        <w:fldChar w:fldCharType="begin"/>
      </w:r>
      <w:r>
        <w:instrText xml:space="preserve"> HYPERLINK "https://daxueconsulting.com/white-collars-in-china/"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https://daxueconsulting.com/white-collars-in-china/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2F7D1D0">
      <w:pPr>
        <w:numPr>
          <w:ilvl w:val="0"/>
          <w:numId w:val="7"/>
        </w:numPr>
        <w:spacing w:after="210" w:line="360" w:lineRule="auto"/>
      </w:pPr>
      <w:bookmarkStart w:id="143" w:name="fn78"/>
      <w:bookmarkEnd w:id="143"/>
      <w:r>
        <w:fldChar w:fldCharType="begin"/>
      </w:r>
      <w:r>
        <w:instrText xml:space="preserve"> HYPERLINK "http://jds.cssn.cn/webpic/web/jdsww/UploadFiles/zyqk/2010/12/jdsyj199003.pdf"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http://jds.cssn.cn/webpic/web/jdsww/UploadFiles/zyqk/2010/12/jdsyj199003.pdf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4FDF9E9">
      <w:pPr>
        <w:numPr>
          <w:ilvl w:val="0"/>
          <w:numId w:val="7"/>
        </w:numPr>
        <w:spacing w:after="210" w:line="360" w:lineRule="auto"/>
      </w:pPr>
      <w:bookmarkStart w:id="144" w:name="fn79"/>
      <w:bookmarkEnd w:id="144"/>
      <w:r>
        <w:fldChar w:fldCharType="begin"/>
      </w:r>
      <w:r>
        <w:instrText xml:space="preserve"> HYPERLINK "https://s3.us-west-1.wasabisys.com/p-library/books/6b88ffab727d8667b56cfb6737d134f1.pdf"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https://s3.us-west-1.wasabisys.com/p-library/books/6b88ffab727d8667b56cfb6737d134f1.pdf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C466357">
      <w:pPr>
        <w:numPr>
          <w:ilvl w:val="0"/>
          <w:numId w:val="7"/>
        </w:numPr>
        <w:spacing w:after="210" w:line="360" w:lineRule="auto"/>
      </w:pPr>
      <w:bookmarkStart w:id="145" w:name="fn80"/>
      <w:bookmarkEnd w:id="145"/>
      <w:r>
        <w:fldChar w:fldCharType="begin"/>
      </w:r>
      <w:r>
        <w:instrText xml:space="preserve"> HYPERLINK "https://s3.us-west-1.wasabisys.com/p-library/singapore-malaysia/Zhou%20Ze%20Nan/Ma%20Lai%20Xi%20Ya%20Yu%20Yan%20Gui%20Hua%20Zhi%20Yan%20Jiu%20-Dan%20Yu%20Zheng%20Ce%20Yu%20Ruo%20Shi%20Yu%20Zu%20Su%20Qiu%20Zhi%20Chong%20Tu%20(849)/Ma%20Lai%20Xi%20Ya%20Yu%20Yan%20Gui%20Hua%20Zhi%20Yan%20Jiu%20-D%20-%20Zhou%20Ze%20Nan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https://s3.us-west-1.wasabisys.com/p-library/singapore-malaysia/Zhou Ze Nan/Ma Lai Xi Ya Yu Yan Gui Hua Zhi Yan Jiu -Dan Yu Zheng Ce Yu Ruo Shi Yu Zu Su Qiu Zhi Chong Tu (849)/Ma Lai Xi Ya Yu Yan Gui Hua Zhi Yan Jiu -D - Zhou Ze Nan.pdf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1367121">
      <w:pPr>
        <w:numPr>
          <w:ilvl w:val="0"/>
          <w:numId w:val="7"/>
        </w:numPr>
        <w:spacing w:after="210" w:line="360" w:lineRule="auto"/>
      </w:pPr>
      <w:bookmarkStart w:id="146" w:name="fn81"/>
      <w:bookmarkEnd w:id="146"/>
      <w:r>
        <w:fldChar w:fldCharType="begin"/>
      </w:r>
      <w:r>
        <w:instrText xml:space="preserve"> HYPERLINK "https://www.reddit.com/r/chinalife/comments/1csfk7l/whats_the_break_down_of_wages_social_economic/"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https://www.reddit.com/r/chinalife/comments/1csfk7l/whats_the_break_down_of_wages_social_economic/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42F2C09">
      <w:pPr>
        <w:numPr>
          <w:ilvl w:val="0"/>
          <w:numId w:val="7"/>
        </w:numPr>
        <w:spacing w:after="210" w:line="360" w:lineRule="auto"/>
      </w:pPr>
      <w:bookmarkStart w:id="147" w:name="fn82"/>
      <w:bookmarkEnd w:id="147"/>
      <w:r>
        <w:fldChar w:fldCharType="begin"/>
      </w:r>
      <w:r>
        <w:instrText xml:space="preserve"> HYPERLINK "https://lib.ntua.edu.tw/wSite/public/Data/f1723622313871.pdf"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https://lib.ntua.edu.tw/wSite/public/Data/f1723622313871.pdf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6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E3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758</Words>
  <Characters>906</Characters>
  <TotalTime>0</TotalTime>
  <ScaleCrop>false</ScaleCrop>
  <LinksUpToDate>false</LinksUpToDate>
  <CharactersWithSpaces>918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2026-01-17T18:35:00Z</dcterms:created>
  <dc:creator>html-to-docx</dc:creator>
  <cp:keywords>html-to-docx</cp:keywords>
  <cp:lastModifiedBy>dyx</cp:lastModifiedBy>
  <dcterms:modified xsi:type="dcterms:W3CDTF">2026-01-17T18:39:02Z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eyJoZGlkIjoiMzEwNTM5NzYwMDRjMzkwZTVkZjY2ODkwMGIxNGU0OTUiLCJ1c2VySWQiOiIxMzIzODQxOTU2In0=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C48F889A40AD4E5EA74305A1525E0E6F_12</vt:lpwstr>
  </property>
</Properties>
</file>