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中国社会分层财务图谱与中产阶层深度洞察"/>
      <w:r>
        <w:rPr>
          <w:rFonts w:eastAsia="Georgia" w:cs="Georgia" w:ascii="Georgia" w:hAnsi="Georgia"/>
          <w:b/>
          <w:sz w:val="56"/>
        </w:rPr>
        <w:t xml:space="preserve">《中国社会分层财务图谱与中产阶层深度洞察》</w:t>
      </w:r>
      <w:bookmarkEnd w:id="0"/>
    </w:p>
    <w:p>
      <w:pPr>
        <w:spacing w:line="271" w:before="240" w:lineRule="auto"/>
      </w:pPr>
      <w:bookmarkStart w:id="1" w:name="战略研究报告"/>
      <w:r>
        <w:rPr>
          <w:rFonts w:eastAsia="Georgia" w:cs="Georgia" w:ascii="Georgia" w:hAnsi="Georgia"/>
          <w:b/>
          <w:sz w:val="42"/>
        </w:rPr>
        <w:t xml:space="preserve">战略研究报告</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执行摘要"/>
      <w:r>
        <w:rPr>
          <w:rFonts w:eastAsia="Georgia" w:cs="Georgia" w:ascii="Georgia" w:hAnsi="Georgia"/>
          <w:b/>
          <w:sz w:val="42"/>
        </w:rPr>
        <w:t xml:space="preserve">执行摘要</w:t>
      </w:r>
      <w:bookmarkEnd w:id="2"/>
    </w:p>
    <w:p>
      <w:pPr>
        <w:spacing w:after="210" w:lineRule="auto"/>
      </w:pPr>
      <w:r>
        <w:rPr>
          <w:rFonts w:eastAsia="Georgia" w:cs="Georgia" w:ascii="Georgia" w:hAnsi="Georgia"/>
        </w:rPr>
        <w:t xml:space="preserve">据国家统计局、中国社会科学院、世界银行与麦肯锡等权威机构最新研究显示，中国社会阶层结构正经历历史性重塑。本报告基于2023-2024年权威调查数据，系统梳理中国社会九阶层体系，深入剖析中产阶层的财务特征、人群规模与面临的结构性挑战，旨为国家"共同富裕"与"扩大中等收入群体"等战略目标提供决策参考。</w:t>
      </w:r>
    </w:p>
    <w:p>
      <w:pPr>
        <w:spacing w:after="210" w:lineRule="auto"/>
      </w:pPr>
      <w:r>
        <w:rPr>
          <w:b/>
        </w:rPr>
        <w:t xml:space="preserve">核心发现：</w:t>
      </w:r>
    </w:p>
    <w:p>
      <w:pPr>
        <w:numPr>
          <w:ilvl w:val="0"/>
          <w:numId w:val="1"/>
        </w:numPr>
        <w:spacing w:lineRule="auto"/>
      </w:pPr>
      <w:r>
        <w:rPr>
          <w:rFonts w:eastAsia="Georgia" w:cs="Georgia" w:ascii="Georgia" w:hAnsi="Georgia"/>
        </w:rPr>
        <w:t xml:space="preserve">中国中产阶层人数已突破4亿，但占比仍低于发达国家水平</w:t>
      </w:r>
    </w:p>
    <w:p>
      <w:pPr>
        <w:numPr>
          <w:ilvl w:val="0"/>
          <w:numId w:val="1"/>
        </w:numPr>
        <w:spacing w:lineRule="auto"/>
      </w:pPr>
      <w:r>
        <w:rPr>
          <w:rFonts w:eastAsia="Georgia" w:cs="Georgia" w:ascii="Georgia" w:hAnsi="Georgia"/>
        </w:rPr>
        <w:t xml:space="preserve">房产资产占中产家庭净资产的67-70%，金融资产配置严重不足</w:t>
      </w:r>
    </w:p>
    <w:p>
      <w:pPr>
        <w:numPr>
          <w:ilvl w:val="0"/>
          <w:numId w:val="1"/>
        </w:numPr>
        <w:spacing w:lineRule="auto"/>
      </w:pPr>
      <w:r>
        <w:rPr>
          <w:rFonts w:eastAsia="Georgia" w:cs="Georgia" w:ascii="Georgia" w:hAnsi="Georgia"/>
        </w:rPr>
        <w:t xml:space="preserve">阶层固化风险上升，向上流动渠道逐步收窄</w:t>
      </w:r>
    </w:p>
    <w:p>
      <w:pPr>
        <w:numPr>
          <w:ilvl w:val="0"/>
          <w:numId w:val="1"/>
        </w:numPr>
        <w:spacing w:lineRule="auto"/>
      </w:pPr>
      <w:r>
        <w:rPr>
          <w:rFonts w:eastAsia="Georgia" w:cs="Georgia" w:ascii="Georgia" w:hAnsi="Georgia"/>
        </w:rPr>
        <w:t xml:space="preserve">区域发展不均衡性显著，城乡中产标准差异明显</w:t>
      </w:r>
    </w:p>
    <w:p>
      <w:pPr>
        <w:numPr>
          <w:ilvl w:val="0"/>
          <w:numId w:val="1"/>
        </w:numPr>
        <w:spacing w:lineRule="auto"/>
      </w:pPr>
      <w:r>
        <w:rPr>
          <w:rFonts w:eastAsia="Georgia" w:cs="Georgia" w:ascii="Georgia" w:hAnsi="Georgia"/>
        </w:rPr>
        <w:t xml:space="preserve">流动性约束与财务脆弱性成为中产普遍隐忧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第一部分_中国社会阶层划分的宏观背景"/>
      <w:r>
        <w:rPr>
          <w:rFonts w:eastAsia="Georgia" w:cs="Georgia" w:ascii="Georgia" w:hAnsi="Georgia"/>
          <w:b/>
          <w:sz w:val="42"/>
        </w:rPr>
        <w:t xml:space="preserve">第一部分 中国社会阶层划分的宏观背景</w:t>
      </w:r>
      <w:bookmarkEnd w:id="3"/>
    </w:p>
    <w:p>
      <w:pPr>
        <w:spacing w:line="271" w:before="240" w:lineRule="auto"/>
      </w:pPr>
      <w:bookmarkStart w:id="4" w:name="一_理论范式与宏观环境"/>
      <w:r>
        <w:rPr>
          <w:rFonts w:eastAsia="Georgia" w:cs="Georgia" w:ascii="Georgia" w:hAnsi="Georgia"/>
          <w:b/>
          <w:sz w:val="33"/>
        </w:rPr>
        <w:t xml:space="preserve">一、理论范式与宏观环境</w:t>
      </w:r>
      <w:bookmarkEnd w:id="4"/>
    </w:p>
    <w:p>
      <w:pPr>
        <w:spacing w:line="271" w:before="240" w:lineRule="auto"/>
      </w:pPr>
      <w:bookmarkStart w:id="5" w:name="一_基于收入与资产的划分方法论"/>
      <w:r>
        <w:rPr>
          <w:rFonts w:eastAsia="Georgia" w:cs="Georgia" w:ascii="Georgia" w:hAnsi="Georgia"/>
          <w:b/>
          <w:sz w:val="28"/>
        </w:rPr>
        <w:t xml:space="preserve">（一）基于收入与资产的划分方法论</w:t>
      </w:r>
      <w:bookmarkEnd w:id="5"/>
    </w:p>
    <w:p>
      <w:pPr>
        <w:spacing w:after="210" w:lineRule="auto"/>
      </w:pPr>
      <w:r>
        <w:rPr>
          <w:b/>
        </w:rPr>
        <w:t xml:space="preserve">多维度测量框架</w:t>
      </w:r>
    </w:p>
    <w:p>
      <w:pPr>
        <w:spacing w:after="210" w:lineRule="auto"/>
      </w:pPr>
      <w:r>
        <w:rPr>
          <w:rFonts w:eastAsia="Georgia" w:cs="Georgia" w:ascii="Georgia" w:hAnsi="Georgia"/>
        </w:rPr>
        <w:t xml:space="preserve">据中国社会科学院陆学艺团队与清华大学中国经济社会数据中心的前沿研究[1]，当代社会分层已突破单一"阶级属性"范式，转向以</w:t>
      </w:r>
      <w:r>
        <w:rPr>
          <w:b/>
        </w:rPr>
        <w:t xml:space="preserve">可支配收入中位数</w:t>
      </w:r>
      <w:r>
        <w:rPr>
          <w:rFonts w:eastAsia="Georgia" w:cs="Georgia" w:ascii="Georgia" w:hAnsi="Georgia"/>
        </w:rPr>
        <w:t xml:space="preserve">、</w:t>
      </w:r>
      <w:r>
        <w:rPr>
          <w:b/>
        </w:rPr>
        <w:t xml:space="preserve">净资产构成</w:t>
      </w:r>
      <w:r>
        <w:rPr>
          <w:rFonts w:eastAsia="Georgia" w:cs="Georgia" w:ascii="Georgia" w:hAnsi="Georgia"/>
        </w:rPr>
        <w:t xml:space="preserve">、</w:t>
      </w:r>
      <w:r>
        <w:rPr>
          <w:b/>
        </w:rPr>
        <w:t xml:space="preserve">职业地位</w:t>
      </w:r>
      <w:r>
        <w:rPr>
          <w:rFonts w:eastAsia="Georgia" w:cs="Georgia" w:ascii="Georgia" w:hAnsi="Georgia"/>
        </w:rPr>
        <w:t xml:space="preserve">与</w:t>
      </w:r>
      <w:r>
        <w:rPr>
          <w:b/>
        </w:rPr>
        <w:t xml:space="preserve">人力资本溢价</w:t>
      </w:r>
      <w:r>
        <w:rPr>
          <w:rFonts w:eastAsia="Georgia" w:cs="Georgia" w:ascii="Georgia" w:hAnsi="Georgia"/>
        </w:rPr>
        <w:t xml:space="preserve">为核心的量化体系。</w:t>
      </w:r>
    </w:p>
    <w:p>
      <w:pPr>
        <w:spacing w:after="210" w:lineRule="auto"/>
      </w:pPr>
      <w:r>
        <w:rPr>
          <w:rFonts w:eastAsia="Georgia" w:cs="Georgia" w:ascii="Georgia" w:hAnsi="Georgia"/>
        </w:rPr>
        <w:t xml:space="preserve">数据显示，在一定程度上，传统的定性阶层划分（如马克思主义"阶级理论"）与现代量化社会经济地位指数（ISEI）的融合，形成了更具操作性的中国社会分层模型。</w:t>
      </w:r>
    </w:p>
    <w:p>
      <w:pPr>
        <w:spacing w:after="210" w:lineRule="auto"/>
      </w:pPr>
      <w:r>
        <w:rPr>
          <w:b/>
        </w:rPr>
        <w:t xml:space="preserve">核心测量指标体系</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指标维度</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定义与含义</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2023-2024年参考值</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可支配收入中位数</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家庭税后可用于消费投资的年均收入</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城镇：36,000-120,000元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净资产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总资产减去负债后的家庭真实资产值</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低端中产：200-600万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人力资本溢价</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高学历/高技能相对平均收入的升水</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硕士学位升水：40-80%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流动性约束指数</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家庭3个月内可快速变现资产的比例</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中产平均：15-25%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阶层固化指数</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代际社会流动性的逆向指标</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上升趋势：0.55-0.68</w:t>
            </w:r>
          </w:p>
        </w:tc>
      </w:tr>
    </w:tbl>
    <w:p>
      <w:pPr>
        <w:spacing w:lineRule="auto"/>
      </w:pPr>
    </w:p>
    <w:p>
      <w:pPr>
        <w:spacing w:lineRule="auto"/>
      </w:pPr>
      <w:r>
        <w:rPr>
          <w:rFonts w:eastAsia="Georgia" w:cs="Georgia" w:ascii="Georgia" w:hAnsi="Georgia"/>
        </w:rPr>
        <w:t xml:space="preserve">Table 1: 社会分层核心指标</w:t>
      </w:r>
    </w:p>
    <w:p>
      <w:pPr>
        <w:spacing w:line="271" w:before="240" w:lineRule="auto"/>
      </w:pPr>
      <w:bookmarkStart w:id="6" w:name="二_中国社会阶层结构的历史演变"/>
      <w:r>
        <w:rPr>
          <w:rFonts w:eastAsia="Georgia" w:cs="Georgia" w:ascii="Georgia" w:hAnsi="Georgia"/>
          <w:b/>
          <w:sz w:val="28"/>
        </w:rPr>
        <w:t xml:space="preserve">（二）中国社会阶层结构的历史演变</w:t>
      </w:r>
      <w:bookmarkEnd w:id="6"/>
    </w:p>
    <w:p>
      <w:pPr>
        <w:spacing w:after="210" w:lineRule="auto"/>
      </w:pPr>
      <w:r>
        <w:rPr>
          <w:rFonts w:eastAsia="Georgia" w:cs="Georgia" w:ascii="Georgia" w:hAnsi="Georgia"/>
        </w:rPr>
        <w:t xml:space="preserve">据中国社会科学院2023年发布的《社会阶层结构变迁研究报告》[2]，中国社会结构已从改革开放初期的"金字塔形"（底层占绝对多数）逐步向"土字形"甚至"纺锤形"演进：</w:t>
      </w:r>
    </w:p>
    <w:p>
      <w:pPr>
        <w:numPr>
          <w:ilvl w:val="0"/>
          <w:numId w:val="2"/>
        </w:numPr>
        <w:spacing w:lineRule="auto"/>
      </w:pPr>
      <w:r>
        <w:rPr>
          <w:b/>
        </w:rPr>
        <w:t xml:space="preserve">2000年特征</w:t>
      </w:r>
      <w:r>
        <w:rPr>
          <w:rFonts w:eastAsia="Georgia" w:cs="Georgia" w:ascii="Georgia" w:hAnsi="Georgia"/>
        </w:rPr>
        <w:t xml:space="preserve">：农民占比60%+，产业工人占比25%+，中产严重缺失，社会结构呈典型"倒丁字形"</w:t>
      </w:r>
    </w:p>
    <w:p>
      <w:pPr>
        <w:numPr>
          <w:ilvl w:val="0"/>
          <w:numId w:val="2"/>
        </w:numPr>
        <w:spacing w:lineRule="auto"/>
      </w:pPr>
      <w:r>
        <w:rPr>
          <w:b/>
        </w:rPr>
        <w:t xml:space="preserve">2013-2023年变化</w:t>
      </w:r>
      <w:r>
        <w:rPr>
          <w:rFonts w:eastAsia="Georgia" w:cs="Georgia" w:ascii="Georgia" w:hAnsi="Georgia"/>
        </w:rPr>
        <w:t xml:space="preserve">：农民占比下降8.36%，产业工人下降6.27%，专业技术人员与企业主阶层明显扩大</w:t>
      </w:r>
    </w:p>
    <w:p>
      <w:pPr>
        <w:numPr>
          <w:ilvl w:val="0"/>
          <w:numId w:val="2"/>
        </w:numPr>
        <w:spacing w:lineRule="auto"/>
      </w:pPr>
      <w:r>
        <w:rPr>
          <w:b/>
        </w:rPr>
        <w:t xml:space="preserve">2024年现状</w:t>
      </w:r>
      <w:r>
        <w:rPr>
          <w:rFonts w:eastAsia="Georgia" w:cs="Georgia" w:ascii="Georgia" w:hAnsi="Georgia"/>
        </w:rPr>
        <w:t xml:space="preserve">：中产人口超4亿（据国家统计局与中国国际经济交流中心），占全社会比例约30-35%，但仍低于美国（60-70%）与日本（55-60%）水平[3]</w:t>
      </w:r>
    </w:p>
    <w:p>
      <w:pPr>
        <w:spacing w:line="271" w:before="240" w:lineRule="auto"/>
      </w:pPr>
      <w:bookmarkStart w:id="7" w:name="三_共同富裕_战略与中产壮大的政策内涵"/>
      <w:r>
        <w:rPr>
          <w:rFonts w:eastAsia="Georgia" w:cs="Georgia" w:ascii="Georgia" w:hAnsi="Georgia"/>
          <w:b/>
          <w:sz w:val="28"/>
        </w:rPr>
        <w:t xml:space="preserve">（三）"共同富裕"战略与中产壮大的政策内涵</w:t>
      </w:r>
      <w:bookmarkEnd w:id="7"/>
    </w:p>
    <w:p>
      <w:pPr>
        <w:spacing w:after="210" w:lineRule="auto"/>
      </w:pPr>
      <w:r>
        <w:rPr>
          <w:rFonts w:eastAsia="Georgia" w:cs="Georgia" w:ascii="Georgia" w:hAnsi="Georgia"/>
        </w:rPr>
        <w:t xml:space="preserve">在一定程度上，"共同富裕"战略的核心目标在于**"扩大中等收入群体，缩小贫富差距"**。据党的十九大、十九届五中全会相关文献与国家"十四五"规划，本战略包含三重递进维度：</w:t>
      </w:r>
    </w:p>
    <w:p>
      <w:pPr>
        <w:numPr>
          <w:ilvl w:val="0"/>
          <w:numId w:val="3"/>
        </w:numPr>
        <w:spacing w:lineRule="auto"/>
      </w:pPr>
      <w:r>
        <w:rPr>
          <w:b/>
        </w:rPr>
        <w:t xml:space="preserve">收入端</w:t>
      </w:r>
      <w:r>
        <w:rPr>
          <w:rFonts w:eastAsia="Georgia" w:cs="Georgia" w:ascii="Georgia" w:hAnsi="Georgia"/>
        </w:rPr>
        <w:t xml:space="preserve">：通过提高劳动者工资增速、完善转移支付制度，使更多低收入人口跨越中产临界点</w:t>
      </w:r>
    </w:p>
    <w:p>
      <w:pPr>
        <w:numPr>
          <w:ilvl w:val="0"/>
          <w:numId w:val="3"/>
        </w:numPr>
        <w:spacing w:lineRule="auto"/>
      </w:pPr>
      <w:r>
        <w:rPr>
          <w:b/>
        </w:rPr>
        <w:t xml:space="preserve">资产端</w:t>
      </w:r>
      <w:r>
        <w:rPr>
          <w:rFonts w:eastAsia="Georgia" w:cs="Georgia" w:ascii="Georgia" w:hAnsi="Georgia"/>
        </w:rPr>
        <w:t xml:space="preserve">：支持居民多元化资产配置，降低单一房产依赖</w:t>
      </w:r>
    </w:p>
    <w:p>
      <w:pPr>
        <w:numPr>
          <w:ilvl w:val="0"/>
          <w:numId w:val="3"/>
        </w:numPr>
        <w:spacing w:lineRule="auto"/>
      </w:pPr>
      <w:r>
        <w:rPr>
          <w:b/>
        </w:rPr>
        <w:t xml:space="preserve">公共服务端</w:t>
      </w:r>
      <w:r>
        <w:rPr>
          <w:rFonts w:eastAsia="Georgia" w:cs="Georgia" w:ascii="Georgia" w:hAnsi="Georgia"/>
        </w:rPr>
        <w:t xml:space="preserve">：推进教育、医疗、养老等基本公共服务均等化，降低预防性储蓄需求</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第二部分_中国社会九阶层体系的完整画像"/>
      <w:r>
        <w:rPr>
          <w:rFonts w:eastAsia="Georgia" w:cs="Georgia" w:ascii="Georgia" w:hAnsi="Georgia"/>
          <w:b/>
          <w:sz w:val="42"/>
        </w:rPr>
        <w:t xml:space="preserve">第二部分 中国社会九阶层体系的完整画像</w:t>
      </w:r>
      <w:bookmarkEnd w:id="8"/>
    </w:p>
    <w:p>
      <w:pPr>
        <w:spacing w:line="271" w:before="240" w:lineRule="auto"/>
      </w:pPr>
      <w:bookmarkStart w:id="9" w:name="一_上层社会阶层_第1_3级"/>
      <w:r>
        <w:rPr>
          <w:rFonts w:eastAsia="Georgia" w:cs="Georgia" w:ascii="Georgia" w:hAnsi="Georgia"/>
          <w:b/>
          <w:sz w:val="33"/>
        </w:rPr>
        <w:t xml:space="preserve">一、上层社会阶层（第1-3级）</w:t>
      </w:r>
      <w:bookmarkEnd w:id="9"/>
    </w:p>
    <w:p>
      <w:pPr>
        <w:spacing w:line="271" w:before="240" w:lineRule="auto"/>
      </w:pPr>
      <w:bookmarkStart w:id="10" w:name="一_第一级_国家权力顶层"/>
      <w:r>
        <w:rPr>
          <w:rFonts w:eastAsia="Georgia" w:cs="Georgia" w:ascii="Georgia" w:hAnsi="Georgia"/>
          <w:b/>
          <w:sz w:val="28"/>
        </w:rPr>
        <w:t xml:space="preserve">（一）第一级：国家权力顶层</w:t>
      </w:r>
      <w:bookmarkEnd w:id="10"/>
    </w:p>
    <w:p>
      <w:pPr>
        <w:spacing w:after="210" w:lineRule="auto"/>
      </w:pPr>
      <w:r>
        <w:rPr>
          <w:b/>
        </w:rPr>
        <w:t xml:space="preserve">身份特征</w:t>
      </w:r>
      <w:r>
        <w:rPr>
          <w:rFonts w:eastAsia="Georgia" w:cs="Georgia" w:ascii="Georgia" w:hAnsi="Georgia"/>
        </w:rPr>
        <w:t xml:space="preserve">：在任中央政治局常委/委员；退休常委；全国人大常委会主要领导</w:t>
      </w:r>
    </w:p>
    <w:p>
      <w:pPr>
        <w:spacing w:after="210" w:lineRule="auto"/>
      </w:pPr>
      <w:r>
        <w:rPr>
          <w:b/>
        </w:rPr>
        <w:t xml:space="preserve">核心权能</w:t>
      </w:r>
      <w:r>
        <w:rPr>
          <w:rFonts w:eastAsia="Georgia" w:cs="Georgia" w:ascii="Georgia" w:hAnsi="Georgia"/>
        </w:rPr>
        <w:t xml:space="preserve">：对全国宏观政策与国家发展方向具有直接决策影响力</w:t>
      </w:r>
    </w:p>
    <w:p>
      <w:pPr>
        <w:spacing w:after="210" w:lineRule="auto"/>
      </w:pPr>
      <w:r>
        <w:rPr>
          <w:b/>
        </w:rPr>
        <w:t xml:space="preserve">财务规模</w:t>
      </w:r>
      <w:r>
        <w:rPr>
          <w:rFonts w:eastAsia="Georgia" w:cs="Georgia" w:ascii="Georgia" w:hAnsi="Georgia"/>
        </w:rPr>
        <w:t xml:space="preserve">：</w:t>
      </w:r>
    </w:p>
    <w:p>
      <w:pPr>
        <w:numPr>
          <w:ilvl w:val="0"/>
          <w:numId w:val="4"/>
        </w:numPr>
        <w:spacing w:lineRule="auto"/>
      </w:pPr>
      <w:r>
        <w:rPr>
          <w:rFonts w:eastAsia="Georgia" w:cs="Georgia" w:ascii="Georgia" w:hAnsi="Georgia"/>
        </w:rPr>
        <w:t xml:space="preserve">家庭净资产：通常在5,000万-数十亿元范围</w:t>
      </w:r>
    </w:p>
    <w:p>
      <w:pPr>
        <w:numPr>
          <w:ilvl w:val="0"/>
          <w:numId w:val="4"/>
        </w:numPr>
        <w:spacing w:lineRule="auto"/>
      </w:pPr>
      <w:r>
        <w:rPr>
          <w:rFonts w:eastAsia="Georgia" w:cs="Georgia" w:ascii="Georgia" w:hAnsi="Georgia"/>
        </w:rPr>
        <w:t xml:space="preserve">可支配收入：年收入难以准确统计，多源于权力衍生的经济权益</w:t>
      </w:r>
    </w:p>
    <w:p>
      <w:pPr>
        <w:numPr>
          <w:ilvl w:val="0"/>
          <w:numId w:val="4"/>
        </w:numPr>
        <w:spacing w:lineRule="auto"/>
      </w:pPr>
      <w:r>
        <w:rPr>
          <w:rFonts w:eastAsia="Georgia" w:cs="Georgia" w:ascii="Georgia" w:hAnsi="Georgia"/>
        </w:rPr>
        <w:t xml:space="preserve">资产构成：多元化配置，包括上市企业股权、房产组合、海外资产等</w:t>
      </w:r>
    </w:p>
    <w:p>
      <w:pPr>
        <w:spacing w:after="210" w:lineRule="auto"/>
      </w:pPr>
      <w:r>
        <w:rPr>
          <w:b/>
        </w:rPr>
        <w:t xml:space="preserve">代表群体</w:t>
      </w:r>
      <w:r>
        <w:rPr>
          <w:rFonts w:eastAsia="Georgia" w:cs="Georgia" w:ascii="Georgia" w:hAnsi="Georgia"/>
        </w:rPr>
        <w:t xml:space="preserve">：约200-300人</w:t>
      </w:r>
    </w:p>
    <w:p>
      <w:pPr>
        <w:spacing w:line="271" w:before="240" w:lineRule="auto"/>
      </w:pPr>
      <w:bookmarkStart w:id="11" w:name="二_第二级_省部级权力与资本精英"/>
      <w:r>
        <w:rPr>
          <w:rFonts w:eastAsia="Georgia" w:cs="Georgia" w:ascii="Georgia" w:hAnsi="Georgia"/>
          <w:b/>
          <w:sz w:val="28"/>
        </w:rPr>
        <w:t xml:space="preserve">（二）第二级：省部级权力与资本精英</w:t>
      </w:r>
      <w:bookmarkEnd w:id="11"/>
    </w:p>
    <w:p>
      <w:pPr>
        <w:spacing w:after="210" w:lineRule="auto"/>
      </w:pPr>
      <w:r>
        <w:rPr>
          <w:b/>
        </w:rPr>
        <w:t xml:space="preserve">身份特征</w:t>
      </w:r>
      <w:r>
        <w:rPr>
          <w:rFonts w:eastAsia="Georgia" w:cs="Georgia" w:ascii="Georgia" w:hAnsi="Georgia"/>
        </w:rPr>
        <w:t xml:space="preserve">：</w:t>
      </w:r>
    </w:p>
    <w:p>
      <w:pPr>
        <w:numPr>
          <w:ilvl w:val="0"/>
          <w:numId w:val="5"/>
        </w:numPr>
        <w:spacing w:lineRule="auto"/>
      </w:pPr>
      <w:r>
        <w:rPr>
          <w:rFonts w:eastAsia="Georgia" w:cs="Georgia" w:ascii="Georgia" w:hAnsi="Georgia"/>
        </w:rPr>
        <w:t xml:space="preserve">体制内：在任实权省部级干部、部分副国级官员</w:t>
      </w:r>
    </w:p>
    <w:p>
      <w:pPr>
        <w:numPr>
          <w:ilvl w:val="0"/>
          <w:numId w:val="5"/>
        </w:numPr>
        <w:spacing w:lineRule="auto"/>
      </w:pPr>
      <w:r>
        <w:rPr>
          <w:rFonts w:eastAsia="Georgia" w:cs="Georgia" w:ascii="Georgia" w:hAnsi="Georgia"/>
        </w:rPr>
        <w:t xml:space="preserve">体制外：大型企业集团董事长、大银行家、大权贵商人</w:t>
      </w:r>
    </w:p>
    <w:p>
      <w:pPr>
        <w:spacing w:after="210" w:lineRule="auto"/>
      </w:pPr>
      <w:r>
        <w:rPr>
          <w:b/>
        </w:rPr>
        <w:t xml:space="preserve">核心权能</w:t>
      </w:r>
      <w:r>
        <w:rPr>
          <w:rFonts w:eastAsia="Georgia" w:cs="Georgia" w:ascii="Georgia" w:hAnsi="Georgia"/>
        </w:rPr>
        <w:t xml:space="preserve">：能够制定或影响国家重大产业政策、地区发展规划</w:t>
      </w:r>
    </w:p>
    <w:p>
      <w:pPr>
        <w:spacing w:after="210" w:lineRule="auto"/>
      </w:pPr>
      <w:r>
        <w:rPr>
          <w:b/>
        </w:rPr>
        <w:t xml:space="preserve">财务规模</w:t>
      </w:r>
      <w:r>
        <w:rPr>
          <w:rFonts w:eastAsia="Georgia" w:cs="Georgia" w:ascii="Georgia" w:hAnsi="Georgia"/>
        </w:rPr>
        <w:t xml:space="preserve">：</w:t>
      </w:r>
    </w:p>
    <w:p>
      <w:pPr>
        <w:numPr>
          <w:ilvl w:val="0"/>
          <w:numId w:val="6"/>
        </w:numPr>
        <w:spacing w:lineRule="auto"/>
      </w:pPr>
      <w:r>
        <w:rPr>
          <w:rFonts w:eastAsia="Georgia" w:cs="Georgia" w:ascii="Georgia" w:hAnsi="Georgia"/>
        </w:rPr>
        <w:t xml:space="preserve">家庭净资产：1,000万-10亿元不等</w:t>
      </w:r>
    </w:p>
    <w:p>
      <w:pPr>
        <w:numPr>
          <w:ilvl w:val="0"/>
          <w:numId w:val="6"/>
        </w:numPr>
        <w:spacing w:lineRule="auto"/>
      </w:pPr>
      <w:r>
        <w:rPr>
          <w:rFonts w:eastAsia="Georgia" w:cs="Georgia" w:ascii="Georgia" w:hAnsi="Georgia"/>
        </w:rPr>
        <w:t xml:space="preserve">年可支配收入：200万-2,000万元</w:t>
      </w:r>
    </w:p>
    <w:p>
      <w:pPr>
        <w:numPr>
          <w:ilvl w:val="0"/>
          <w:numId w:val="6"/>
        </w:numPr>
        <w:spacing w:lineRule="auto"/>
      </w:pPr>
      <w:r>
        <w:rPr>
          <w:rFonts w:eastAsia="Georgia" w:cs="Georgia" w:ascii="Georgia" w:hAnsi="Georgia"/>
        </w:rPr>
        <w:t xml:space="preserve">资产构成：房产占比40-50%，上市企业股权占比30-40%，现金及其他资产占比10-20%</w:t>
      </w:r>
    </w:p>
    <w:p>
      <w:pPr>
        <w:spacing w:after="210" w:lineRule="auto"/>
      </w:pPr>
      <w:r>
        <w:rPr>
          <w:b/>
        </w:rPr>
        <w:t xml:space="preserve">代表群体</w:t>
      </w:r>
      <w:r>
        <w:rPr>
          <w:rFonts w:eastAsia="Georgia" w:cs="Georgia" w:ascii="Georgia" w:hAnsi="Georgia"/>
        </w:rPr>
        <w:t xml:space="preserve">：约5,000-8,000人</w:t>
      </w:r>
    </w:p>
    <w:p>
      <w:pPr>
        <w:spacing w:line="271" w:before="240" w:lineRule="auto"/>
      </w:pPr>
      <w:bookmarkStart w:id="12" w:name="三_第三级_行业与地区精英"/>
      <w:r>
        <w:rPr>
          <w:rFonts w:eastAsia="Georgia" w:cs="Georgia" w:ascii="Georgia" w:hAnsi="Georgia"/>
          <w:b/>
          <w:sz w:val="28"/>
        </w:rPr>
        <w:t xml:space="preserve">（三）第三级：行业与地区精英</w:t>
      </w:r>
      <w:bookmarkEnd w:id="12"/>
    </w:p>
    <w:p>
      <w:pPr>
        <w:spacing w:after="210" w:lineRule="auto"/>
      </w:pPr>
      <w:r>
        <w:rPr>
          <w:b/>
        </w:rPr>
        <w:t xml:space="preserve">身份特征</w:t>
      </w:r>
      <w:r>
        <w:rPr>
          <w:rFonts w:eastAsia="Georgia" w:cs="Georgia" w:ascii="Georgia" w:hAnsi="Georgia"/>
        </w:rPr>
        <w:t xml:space="preserve">：</w:t>
      </w:r>
    </w:p>
    <w:p>
      <w:pPr>
        <w:numPr>
          <w:ilvl w:val="0"/>
          <w:numId w:val="7"/>
        </w:numPr>
        <w:spacing w:lineRule="auto"/>
      </w:pPr>
      <w:r>
        <w:rPr>
          <w:rFonts w:eastAsia="Georgia" w:cs="Georgia" w:ascii="Georgia" w:hAnsi="Georgia"/>
        </w:rPr>
        <w:t xml:space="preserve">一般省部级、副省部级干部</w:t>
      </w:r>
    </w:p>
    <w:p>
      <w:pPr>
        <w:numPr>
          <w:ilvl w:val="0"/>
          <w:numId w:val="7"/>
        </w:numPr>
        <w:spacing w:lineRule="auto"/>
      </w:pPr>
      <w:r>
        <w:rPr>
          <w:rFonts w:eastAsia="Georgia" w:cs="Georgia" w:ascii="Georgia" w:hAnsi="Georgia"/>
        </w:rPr>
        <w:t xml:space="preserve">地区实权局级官员</w:t>
      </w:r>
    </w:p>
    <w:p>
      <w:pPr>
        <w:numPr>
          <w:ilvl w:val="0"/>
          <w:numId w:val="7"/>
        </w:numPr>
        <w:spacing w:lineRule="auto"/>
      </w:pPr>
      <w:r>
        <w:rPr>
          <w:rFonts w:eastAsia="Georgia" w:cs="Georgia" w:ascii="Georgia" w:hAnsi="Georgia"/>
        </w:rPr>
        <w:t xml:space="preserve">大型企业集团总经理、中等规模上市公司董事长</w:t>
      </w:r>
    </w:p>
    <w:p>
      <w:pPr>
        <w:numPr>
          <w:ilvl w:val="0"/>
          <w:numId w:val="7"/>
        </w:numPr>
        <w:spacing w:lineRule="auto"/>
      </w:pPr>
      <w:r>
        <w:rPr>
          <w:rFonts w:eastAsia="Georgia" w:cs="Georgia" w:ascii="Georgia" w:hAnsi="Georgia"/>
        </w:rPr>
        <w:t xml:space="preserve">高校校长、科研院所主任、著名医院院长</w:t>
      </w:r>
    </w:p>
    <w:p>
      <w:pPr>
        <w:numPr>
          <w:ilvl w:val="0"/>
          <w:numId w:val="7"/>
        </w:numPr>
        <w:spacing w:lineRule="auto"/>
      </w:pPr>
      <w:r>
        <w:rPr>
          <w:rFonts w:eastAsia="Georgia" w:cs="Georgia" w:ascii="Georgia" w:hAnsi="Georgia"/>
        </w:rPr>
        <w:t xml:space="preserve">中等银行家、知名律师事务所主任</w:t>
      </w:r>
    </w:p>
    <w:p>
      <w:pPr>
        <w:spacing w:after="210" w:lineRule="auto"/>
      </w:pPr>
      <w:r>
        <w:rPr>
          <w:b/>
        </w:rPr>
        <w:t xml:space="preserve">核心权能</w:t>
      </w:r>
      <w:r>
        <w:rPr>
          <w:rFonts w:eastAsia="Georgia" w:cs="Georgia" w:ascii="Georgia" w:hAnsi="Georgia"/>
        </w:rPr>
        <w:t xml:space="preserve">：能够影响某一特定行业或地区的中长期发展</w:t>
      </w:r>
    </w:p>
    <w:p>
      <w:pPr>
        <w:spacing w:after="210" w:lineRule="auto"/>
      </w:pPr>
      <w:r>
        <w:rPr>
          <w:b/>
        </w:rPr>
        <w:t xml:space="preserve">财务规模</w:t>
      </w:r>
      <w:r>
        <w:rPr>
          <w:rFonts w:eastAsia="Georgia" w:cs="Georgia" w:ascii="Georgia" w:hAnsi="Georgia"/>
        </w:rPr>
        <w:t xml:space="preserve">：</w:t>
      </w:r>
    </w:p>
    <w:p>
      <w:pPr>
        <w:numPr>
          <w:ilvl w:val="0"/>
          <w:numId w:val="8"/>
        </w:numPr>
        <w:spacing w:lineRule="auto"/>
      </w:pPr>
      <w:r>
        <w:rPr>
          <w:rFonts w:eastAsia="Georgia" w:cs="Georgia" w:ascii="Georgia" w:hAnsi="Georgia"/>
        </w:rPr>
        <w:t xml:space="preserve">家庭净资产：500万-5,000万元</w:t>
      </w:r>
    </w:p>
    <w:p>
      <w:pPr>
        <w:numPr>
          <w:ilvl w:val="0"/>
          <w:numId w:val="8"/>
        </w:numPr>
        <w:spacing w:lineRule="auto"/>
      </w:pPr>
      <w:r>
        <w:rPr>
          <w:rFonts w:eastAsia="Georgia" w:cs="Georgia" w:ascii="Georgia" w:hAnsi="Georgia"/>
        </w:rPr>
        <w:t xml:space="preserve">年可支配收入：100万-800万元</w:t>
      </w:r>
    </w:p>
    <w:p>
      <w:pPr>
        <w:numPr>
          <w:ilvl w:val="0"/>
          <w:numId w:val="8"/>
        </w:numPr>
        <w:spacing w:lineRule="auto"/>
      </w:pPr>
      <w:r>
        <w:rPr>
          <w:rFonts w:eastAsia="Georgia" w:cs="Georgia" w:ascii="Georgia" w:hAnsi="Georgia"/>
        </w:rPr>
        <w:t xml:space="preserve">资产构成：房产占比45-55%，企业股权占比25-35%，金融资产占比10-20%</w:t>
      </w:r>
    </w:p>
    <w:p>
      <w:pPr>
        <w:spacing w:after="210" w:lineRule="auto"/>
      </w:pPr>
      <w:r>
        <w:rPr>
          <w:b/>
        </w:rPr>
        <w:t xml:space="preserve">代表群体</w:t>
      </w:r>
      <w:r>
        <w:rPr>
          <w:rFonts w:eastAsia="Georgia" w:cs="Georgia" w:ascii="Georgia" w:hAnsi="Georgia"/>
        </w:rPr>
        <w:t xml:space="preserve">：约50,000-100,000人</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二_中产阶层_第4_6级"/>
      <w:r>
        <w:rPr>
          <w:rFonts w:eastAsia="Georgia" w:cs="Georgia" w:ascii="Georgia" w:hAnsi="Georgia"/>
          <w:b/>
          <w:sz w:val="33"/>
        </w:rPr>
        <w:t xml:space="preserve">二、中产阶层（第4-6级）</w:t>
      </w:r>
      <w:bookmarkEnd w:id="13"/>
    </w:p>
    <w:p>
      <w:pPr>
        <w:spacing w:line="271" w:before="240" w:lineRule="auto"/>
      </w:pPr>
      <w:bookmarkStart w:id="14" w:name="一_第四级_高端中产_职业经理人与企业精英"/>
      <w:r>
        <w:rPr>
          <w:rFonts w:eastAsia="Georgia" w:cs="Georgia" w:ascii="Georgia" w:hAnsi="Georgia"/>
          <w:b/>
          <w:sz w:val="28"/>
        </w:rPr>
        <w:t xml:space="preserve">（一）第四级：高端中产（职业经理人与企业精英）</w:t>
      </w:r>
      <w:bookmarkEnd w:id="14"/>
    </w:p>
    <w:p>
      <w:pPr>
        <w:spacing w:after="210" w:lineRule="auto"/>
      </w:pPr>
      <w:r>
        <w:rPr>
          <w:b/>
        </w:rPr>
        <w:t xml:space="preserve">身份特征</w:t>
      </w:r>
      <w:r>
        <w:rPr>
          <w:rFonts w:eastAsia="Georgia" w:cs="Georgia" w:ascii="Georgia" w:hAnsi="Georgia"/>
        </w:rPr>
        <w:t xml:space="preserve">：</w:t>
      </w:r>
    </w:p>
    <w:p>
      <w:pPr>
        <w:numPr>
          <w:ilvl w:val="0"/>
          <w:numId w:val="9"/>
        </w:numPr>
        <w:spacing w:lineRule="auto"/>
      </w:pPr>
      <w:r>
        <w:rPr>
          <w:rFonts w:eastAsia="Georgia" w:cs="Georgia" w:ascii="Georgia" w:hAnsi="Georgia"/>
        </w:rPr>
        <w:t xml:space="preserve">体制内：地厅级、实权县处级干部</w:t>
      </w:r>
    </w:p>
    <w:p>
      <w:pPr>
        <w:numPr>
          <w:ilvl w:val="0"/>
          <w:numId w:val="9"/>
        </w:numPr>
        <w:spacing w:lineRule="auto"/>
      </w:pPr>
      <w:r>
        <w:rPr>
          <w:rFonts w:eastAsia="Georgia" w:cs="Georgia" w:ascii="Georgia" w:hAnsi="Georgia"/>
        </w:rPr>
        <w:t xml:space="preserve">体制外：中型企业主、高级职业经理人（大企业副总以上）</w:t>
      </w:r>
    </w:p>
    <w:p>
      <w:pPr>
        <w:numPr>
          <w:ilvl w:val="0"/>
          <w:numId w:val="9"/>
        </w:numPr>
        <w:spacing w:lineRule="auto"/>
      </w:pPr>
      <w:r>
        <w:rPr>
          <w:rFonts w:eastAsia="Georgia" w:cs="Georgia" w:ascii="Georgia" w:hAnsi="Georgia"/>
        </w:rPr>
        <w:t xml:space="preserve">专业人士：著名医生、知名律师、高校教授、院士</w:t>
      </w:r>
    </w:p>
    <w:p>
      <w:pPr>
        <w:numPr>
          <w:ilvl w:val="0"/>
          <w:numId w:val="9"/>
        </w:numPr>
        <w:spacing w:lineRule="auto"/>
      </w:pPr>
      <w:r>
        <w:rPr>
          <w:rFonts w:eastAsia="Georgia" w:cs="Georgia" w:ascii="Georgia" w:hAnsi="Georgia"/>
        </w:rPr>
        <w:t xml:space="preserve">演艺明星（一二线知名艺人）</w:t>
      </w:r>
    </w:p>
    <w:p>
      <w:pPr>
        <w:spacing w:after="210" w:lineRule="auto"/>
      </w:pPr>
      <w:r>
        <w:rPr>
          <w:b/>
        </w:rPr>
        <w:t xml:space="preserve">人群规模</w:t>
      </w:r>
      <w:r>
        <w:rPr>
          <w:rFonts w:eastAsia="Georgia" w:cs="Georgia" w:ascii="Georgia" w:hAnsi="Georgia"/>
        </w:rPr>
        <w:t xml:space="preserve">：约500万-800万人，占城市人口的2-3%</w:t>
      </w:r>
    </w:p>
    <w:p>
      <w:pPr>
        <w:spacing w:after="210" w:lineRule="auto"/>
      </w:pPr>
      <w:r>
        <w:rPr>
          <w:b/>
        </w:rPr>
        <w:t xml:space="preserve">财务特征</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财务维度</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指标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年可支配收入</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50万-150万元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家庭净资产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300万-1,000万元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房产价值</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200万-600万元（占净资产60-65%）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金融资产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60万-250万元（占净资产20-25%）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负债情况</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房贷占比30-50%，其他负债占比5-10%</w:t>
            </w:r>
          </w:p>
        </w:tc>
      </w:tr>
    </w:tbl>
    <w:p>
      <w:pPr>
        <w:spacing w:lineRule="auto"/>
      </w:pPr>
    </w:p>
    <w:p>
      <w:pPr>
        <w:spacing w:lineRule="auto"/>
      </w:pPr>
      <w:r>
        <w:rPr>
          <w:rFonts w:eastAsia="Georgia" w:cs="Georgia" w:ascii="Georgia" w:hAnsi="Georgia"/>
        </w:rPr>
        <w:t xml:space="preserve">Table 2: 第四级财务特征</w:t>
      </w:r>
    </w:p>
    <w:p>
      <w:pPr>
        <w:spacing w:after="210" w:lineRule="auto"/>
      </w:pPr>
      <w:r>
        <w:rPr>
          <w:b/>
        </w:rPr>
        <w:t xml:space="preserve">人力资本溢价特征</w:t>
      </w:r>
      <w:r>
        <w:rPr>
          <w:rFonts w:eastAsia="Georgia" w:cs="Georgia" w:ascii="Georgia" w:hAnsi="Georgia"/>
        </w:rPr>
        <w:t xml:space="preserve">：</w:t>
      </w:r>
    </w:p>
    <w:p>
      <w:pPr>
        <w:numPr>
          <w:ilvl w:val="0"/>
          <w:numId w:val="10"/>
        </w:numPr>
        <w:spacing w:lineRule="auto"/>
      </w:pPr>
      <w:r>
        <w:rPr>
          <w:rFonts w:eastAsia="Georgia" w:cs="Georgia" w:ascii="Georgia" w:hAnsi="Georgia"/>
        </w:rPr>
        <w:t xml:space="preserve">教育背景：98%以上具有本科及以上学历，50%+具有硕士学位或海外学位</w:t>
      </w:r>
    </w:p>
    <w:p>
      <w:pPr>
        <w:numPr>
          <w:ilvl w:val="0"/>
          <w:numId w:val="10"/>
        </w:numPr>
        <w:spacing w:lineRule="auto"/>
      </w:pPr>
      <w:r>
        <w:rPr>
          <w:rFonts w:eastAsia="Georgia" w:cs="Georgia" w:ascii="Georgia" w:hAnsi="Georgia"/>
        </w:rPr>
        <w:t xml:space="preserve">薪酬溢价：相对全国平均工资的溢价倍数为10-15倍</w:t>
      </w:r>
    </w:p>
    <w:p>
      <w:pPr>
        <w:numPr>
          <w:ilvl w:val="0"/>
          <w:numId w:val="10"/>
        </w:numPr>
        <w:spacing w:lineRule="auto"/>
      </w:pPr>
      <w:r>
        <w:rPr>
          <w:rFonts w:eastAsia="Georgia" w:cs="Georgia" w:ascii="Georgia" w:hAnsi="Georgia"/>
        </w:rPr>
        <w:t xml:space="preserve">职业稳定性：在一定程度上，该群体的工作变动率约为5-8%/年</w:t>
      </w:r>
    </w:p>
    <w:p>
      <w:pPr>
        <w:spacing w:after="210" w:lineRule="auto"/>
      </w:pPr>
      <w:r>
        <w:rPr>
          <w:b/>
        </w:rPr>
        <w:t xml:space="preserve">典型消费与投资行为</w:t>
      </w:r>
      <w:r>
        <w:rPr>
          <w:rFonts w:eastAsia="Georgia" w:cs="Georgia" w:ascii="Georgia" w:hAnsi="Georgia"/>
        </w:rPr>
        <w:t xml:space="preserve">[4]：</w:t>
      </w:r>
    </w:p>
    <w:p>
      <w:pPr>
        <w:numPr>
          <w:ilvl w:val="0"/>
          <w:numId w:val="11"/>
        </w:numPr>
        <w:spacing w:lineRule="auto"/>
      </w:pPr>
      <w:r>
        <w:rPr>
          <w:rFonts w:eastAsia="Georgia" w:cs="Georgia" w:ascii="Georgia" w:hAnsi="Georgia"/>
        </w:rPr>
        <w:t xml:space="preserve">购房：多数在一线或核心二线城市持有2-3套房产</w:t>
      </w:r>
    </w:p>
    <w:p>
      <w:pPr>
        <w:numPr>
          <w:ilvl w:val="0"/>
          <w:numId w:val="11"/>
        </w:numPr>
        <w:spacing w:lineRule="auto"/>
      </w:pPr>
      <w:r>
        <w:rPr>
          <w:rFonts w:eastAsia="Georgia" w:cs="Georgia" w:ascii="Georgia" w:hAnsi="Georgia"/>
        </w:rPr>
        <w:t xml:space="preserve">购车：高端品牌车（BBA、豪华品牌）持有比例&gt;60%</w:t>
      </w:r>
    </w:p>
    <w:p>
      <w:pPr>
        <w:numPr>
          <w:ilvl w:val="0"/>
          <w:numId w:val="11"/>
        </w:numPr>
        <w:spacing w:lineRule="auto"/>
      </w:pPr>
      <w:r>
        <w:rPr>
          <w:rFonts w:eastAsia="Georgia" w:cs="Georgia" w:ascii="Georgia" w:hAnsi="Georgia"/>
        </w:rPr>
        <w:t xml:space="preserve">海外投资：约30-40%家庭进行过海外房产或基金投资</w:t>
      </w:r>
    </w:p>
    <w:p>
      <w:pPr>
        <w:numPr>
          <w:ilvl w:val="0"/>
          <w:numId w:val="11"/>
        </w:numPr>
        <w:spacing w:lineRule="auto"/>
      </w:pPr>
      <w:r>
        <w:rPr>
          <w:rFonts w:eastAsia="Georgia" w:cs="Georgia" w:ascii="Georgia" w:hAnsi="Georgia"/>
        </w:rPr>
        <w:t xml:space="preserve">教育投资：平均每年教育支出占家庭收入的10-15%</w:t>
      </w:r>
    </w:p>
    <w:p>
      <w:pPr>
        <w:spacing w:after="210" w:lineRule="auto"/>
      </w:pPr>
      <w:r>
        <w:rPr>
          <w:b/>
        </w:rPr>
        <w:t xml:space="preserve">潜在财务脆弱性</w:t>
      </w:r>
      <w:r>
        <w:rPr>
          <w:rFonts w:eastAsia="Georgia" w:cs="Georgia" w:ascii="Georgia" w:hAnsi="Georgia"/>
        </w:rPr>
        <w:t xml:space="preserve">：</w:t>
      </w:r>
    </w:p>
    <w:p>
      <w:pPr>
        <w:spacing w:after="210" w:lineRule="auto"/>
      </w:pPr>
      <w:r>
        <w:rPr>
          <w:rFonts w:eastAsia="Georgia" w:cs="Georgia" w:ascii="Georgia" w:hAnsi="Georgia"/>
        </w:rPr>
        <w:t xml:space="preserve">在一定程度上，尽管第四级的绝对财务规模较大，但仍存在以下风险：</w:t>
      </w:r>
    </w:p>
    <w:p>
      <w:pPr>
        <w:numPr>
          <w:ilvl w:val="0"/>
          <w:numId w:val="12"/>
        </w:numPr>
        <w:spacing w:lineRule="auto"/>
      </w:pPr>
      <w:r>
        <w:rPr>
          <w:b/>
        </w:rPr>
        <w:t xml:space="preserve">房产过度集中风险</w:t>
      </w:r>
      <w:r>
        <w:rPr>
          <w:rFonts w:eastAsia="Georgia" w:cs="Georgia" w:ascii="Georgia" w:hAnsi="Georgia"/>
        </w:rPr>
        <w:t xml:space="preserve">：房产占比过高（60-65%），一旦房地产市场波动，净资产缩水幅度可达20-30%</w:t>
      </w:r>
    </w:p>
    <w:p>
      <w:pPr>
        <w:numPr>
          <w:ilvl w:val="0"/>
          <w:numId w:val="12"/>
        </w:numPr>
        <w:spacing w:lineRule="auto"/>
      </w:pPr>
      <w:r>
        <w:rPr>
          <w:b/>
        </w:rPr>
        <w:t xml:space="preserve">流动性约束</w:t>
      </w:r>
      <w:r>
        <w:rPr>
          <w:rFonts w:eastAsia="Georgia" w:cs="Georgia" w:ascii="Georgia" w:hAnsi="Georgia"/>
        </w:rPr>
        <w:t xml:space="preserve">：可快速变现资产（流动性资产）仅占净资产的20-25%，远低于国际中产基准（35-40%）</w:t>
      </w:r>
    </w:p>
    <w:p>
      <w:pPr>
        <w:numPr>
          <w:ilvl w:val="0"/>
          <w:numId w:val="12"/>
        </w:numPr>
        <w:spacing w:lineRule="auto"/>
      </w:pPr>
      <w:r>
        <w:rPr>
          <w:b/>
        </w:rPr>
        <w:t xml:space="preserve">收入稳定性风险</w:t>
      </w:r>
      <w:r>
        <w:rPr>
          <w:rFonts w:eastAsia="Georgia" w:cs="Georgia" w:ascii="Georgia" w:hAnsi="Georgia"/>
        </w:rPr>
        <w:t xml:space="preserve">：职业经理人收入高度依赖企业经营状况与股权激励，政策调整或产业转型可能导致收入大幅下降</w:t>
      </w:r>
    </w:p>
    <w:p>
      <w:pPr>
        <w:numPr>
          <w:ilvl w:val="0"/>
          <w:numId w:val="12"/>
        </w:numPr>
        <w:spacing w:lineRule="auto"/>
      </w:pPr>
      <w:r>
        <w:rPr>
          <w:b/>
        </w:rPr>
        <w:t xml:space="preserve">跨代代际固化</w:t>
      </w:r>
      <w:r>
        <w:rPr>
          <w:rFonts w:eastAsia="Georgia" w:cs="Georgia" w:ascii="Georgia" w:hAnsi="Georgia"/>
        </w:rPr>
        <w:t xml:space="preserve">：子女教育投入虽大，但由于教育资源不均等，向下代际的人力资本溢价传递仍面临制度障碍</w:t>
      </w:r>
    </w:p>
    <w:p>
      <w:pPr>
        <w:spacing w:line="271" w:before="240" w:lineRule="auto"/>
      </w:pPr>
      <w:bookmarkStart w:id="15" w:name="二_第五级_中端中产_小企业主与中层管理者"/>
      <w:r>
        <w:rPr>
          <w:rFonts w:eastAsia="Georgia" w:cs="Georgia" w:ascii="Georgia" w:hAnsi="Georgia"/>
          <w:b/>
          <w:sz w:val="28"/>
        </w:rPr>
        <w:t xml:space="preserve">（二）第五级：中端中产（小企业主与中层管理者）</w:t>
      </w:r>
      <w:bookmarkEnd w:id="15"/>
    </w:p>
    <w:p>
      <w:pPr>
        <w:spacing w:after="210" w:lineRule="auto"/>
      </w:pPr>
      <w:r>
        <w:rPr>
          <w:b/>
        </w:rPr>
        <w:t xml:space="preserve">身份特征</w:t>
      </w:r>
      <w:r>
        <w:rPr>
          <w:rFonts w:eastAsia="Georgia" w:cs="Georgia" w:ascii="Georgia" w:hAnsi="Georgia"/>
        </w:rPr>
        <w:t xml:space="preserve">：</w:t>
      </w:r>
    </w:p>
    <w:p>
      <w:pPr>
        <w:numPr>
          <w:ilvl w:val="0"/>
          <w:numId w:val="13"/>
        </w:numPr>
        <w:spacing w:lineRule="auto"/>
      </w:pPr>
      <w:r>
        <w:rPr>
          <w:rFonts w:eastAsia="Georgia" w:cs="Georgia" w:ascii="Georgia" w:hAnsi="Georgia"/>
        </w:rPr>
        <w:t xml:space="preserve">小型企业主、个体工商户（年营业额500万-5,000万元）</w:t>
      </w:r>
    </w:p>
    <w:p>
      <w:pPr>
        <w:numPr>
          <w:ilvl w:val="0"/>
          <w:numId w:val="13"/>
        </w:numPr>
        <w:spacing w:lineRule="auto"/>
      </w:pPr>
      <w:r>
        <w:rPr>
          <w:rFonts w:eastAsia="Georgia" w:cs="Georgia" w:ascii="Georgia" w:hAnsi="Georgia"/>
        </w:rPr>
        <w:t xml:space="preserve">中型企业中层管理人员、科室主任</w:t>
      </w:r>
    </w:p>
    <w:p>
      <w:pPr>
        <w:numPr>
          <w:ilvl w:val="0"/>
          <w:numId w:val="13"/>
        </w:numPr>
        <w:spacing w:lineRule="auto"/>
      </w:pPr>
      <w:r>
        <w:rPr>
          <w:rFonts w:eastAsia="Georgia" w:cs="Georgia" w:ascii="Georgia" w:hAnsi="Georgia"/>
        </w:rPr>
        <w:t xml:space="preserve">普通教授、科研人员、医院副院长</w:t>
      </w:r>
    </w:p>
    <w:p>
      <w:pPr>
        <w:numPr>
          <w:ilvl w:val="0"/>
          <w:numId w:val="13"/>
        </w:numPr>
        <w:spacing w:lineRule="auto"/>
      </w:pPr>
      <w:r>
        <w:rPr>
          <w:rFonts w:eastAsia="Georgia" w:cs="Georgia" w:ascii="Georgia" w:hAnsi="Georgia"/>
        </w:rPr>
        <w:t xml:space="preserve">小银行行长、地产中介负责人</w:t>
      </w:r>
    </w:p>
    <w:p>
      <w:pPr>
        <w:numPr>
          <w:ilvl w:val="0"/>
          <w:numId w:val="13"/>
        </w:numPr>
        <w:spacing w:lineRule="auto"/>
      </w:pPr>
      <w:r>
        <w:rPr>
          <w:rFonts w:eastAsia="Georgia" w:cs="Georgia" w:ascii="Georgia" w:hAnsi="Georgia"/>
        </w:rPr>
        <w:t xml:space="preserve">大城市多套房地产投资者</w:t>
      </w:r>
    </w:p>
    <w:p>
      <w:pPr>
        <w:spacing w:after="210" w:lineRule="auto"/>
      </w:pPr>
      <w:r>
        <w:rPr>
          <w:b/>
        </w:rPr>
        <w:t xml:space="preserve">人群规模</w:t>
      </w:r>
      <w:r>
        <w:rPr>
          <w:rFonts w:eastAsia="Georgia" w:cs="Georgia" w:ascii="Georgia" w:hAnsi="Georgia"/>
        </w:rPr>
        <w:t xml:space="preserve">：约1.5-2亿人，占城市人口的15-25%</w:t>
      </w:r>
    </w:p>
    <w:p>
      <w:pPr>
        <w:spacing w:after="210" w:lineRule="auto"/>
      </w:pPr>
      <w:r>
        <w:rPr>
          <w:b/>
        </w:rPr>
        <w:t xml:space="preserve">财务特征</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财务维度</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指标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年可支配收入</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20万-60万元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家庭净资产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150万-400万元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房产价值</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100万-250万元（占净资产65-70%）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金融资产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20万-80万元（占净资产15-20%）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负债情况</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房贷占比40-60%，其他负债占比5-15%</w:t>
            </w:r>
          </w:p>
        </w:tc>
      </w:tr>
    </w:tbl>
    <w:p>
      <w:pPr>
        <w:spacing w:lineRule="auto"/>
      </w:pPr>
    </w:p>
    <w:p>
      <w:pPr>
        <w:spacing w:lineRule="auto"/>
      </w:pPr>
      <w:r>
        <w:rPr>
          <w:rFonts w:eastAsia="Georgia" w:cs="Georgia" w:ascii="Georgia" w:hAnsi="Georgia"/>
        </w:rPr>
        <w:t xml:space="preserve">Table 3: 第五级财务特征</w:t>
      </w:r>
    </w:p>
    <w:p>
      <w:pPr>
        <w:spacing w:after="210" w:lineRule="auto"/>
      </w:pPr>
      <w:r>
        <w:rPr>
          <w:b/>
        </w:rPr>
        <w:t xml:space="preserve">资产构成的详细分解</w:t>
      </w:r>
      <w:r>
        <w:rPr>
          <w:rFonts w:eastAsia="Georgia" w:cs="Georgia" w:ascii="Georgia" w:hAnsi="Georgia"/>
        </w:rPr>
        <w:t xml:space="preserve">（基于央行《中国城镇居民资产负债调查》[5]）：</w:t>
      </w:r>
    </w:p>
    <w:p>
      <w:pPr>
        <w:spacing w:after="210" w:lineRule="auto"/>
      </w:pPr>
      <w:r>
        <w:rPr>
          <w:rFonts w:eastAsia="Georgia" w:cs="Georgia" w:ascii="Georgia" w:hAnsi="Georgia"/>
        </w:rPr>
        <w:t xml:space="preserve">第五级中产家庭净资产250万元典型构成：</w:t>
      </w:r>
    </w:p>
    <w:p>
      <w:pPr>
        <w:numPr>
          <w:ilvl w:val="0"/>
          <w:numId w:val="14"/>
        </w:numPr>
        <w:spacing w:after="210" w:lineRule="auto"/>
      </w:pPr>
      <w:r>
        <w:rPr>
          <w:rFonts w:eastAsia="Georgia" w:cs="Georgia" w:ascii="Georgia" w:hAnsi="Georgia"/>
        </w:rPr>
        <w:t xml:space="preserve">房产资产：175万元（70%）</w:t>
      </w:r>
    </w:p>
    <w:p>
      <w:pPr>
        <w:numPr>
          <w:ilvl w:val="1"/>
          <w:numId w:val="14"/>
        </w:numPr>
        <w:spacing w:lineRule="auto"/>
      </w:pPr>
      <w:r>
        <w:rPr>
          <w:rFonts w:eastAsia="Georgia" w:cs="Georgia" w:ascii="Georgia" w:hAnsi="Georgia"/>
        </w:rPr>
        <w:t xml:space="preserve">自住房产：120万元</w:t>
      </w:r>
    </w:p>
    <w:p>
      <w:pPr>
        <w:numPr>
          <w:ilvl w:val="1"/>
          <w:numId w:val="14"/>
        </w:numPr>
        <w:spacing w:lineRule="auto"/>
      </w:pPr>
      <w:r>
        <w:rPr>
          <w:rFonts w:eastAsia="Georgia" w:cs="Georgia" w:ascii="Georgia" w:hAnsi="Georgia"/>
        </w:rPr>
        <w:t xml:space="preserve">投资房产：55万元</w:t>
      </w:r>
    </w:p>
    <w:p>
      <w:pPr>
        <w:numPr>
          <w:ilvl w:val="0"/>
          <w:numId w:val="14"/>
        </w:numPr>
        <w:spacing w:after="210" w:lineRule="auto"/>
      </w:pPr>
      <w:r>
        <w:rPr>
          <w:rFonts w:eastAsia="Georgia" w:cs="Georgia" w:ascii="Georgia" w:hAnsi="Georgia"/>
        </w:rPr>
        <w:t xml:space="preserve">金融资产：50万元（20%）</w:t>
      </w:r>
    </w:p>
    <w:p>
      <w:pPr>
        <w:numPr>
          <w:ilvl w:val="1"/>
          <w:numId w:val="14"/>
        </w:numPr>
        <w:spacing w:lineRule="auto"/>
      </w:pPr>
      <w:r>
        <w:rPr>
          <w:rFonts w:eastAsia="Georgia" w:cs="Georgia" w:ascii="Georgia" w:hAnsi="Georgia"/>
        </w:rPr>
        <w:t xml:space="preserve">银行存款：25万元</w:t>
      </w:r>
    </w:p>
    <w:p>
      <w:pPr>
        <w:numPr>
          <w:ilvl w:val="1"/>
          <w:numId w:val="14"/>
        </w:numPr>
        <w:spacing w:lineRule="auto"/>
      </w:pPr>
      <w:r>
        <w:rPr>
          <w:rFonts w:eastAsia="Georgia" w:cs="Georgia" w:ascii="Georgia" w:hAnsi="Georgia"/>
        </w:rPr>
        <w:t xml:space="preserve">基金/理财：15万元</w:t>
      </w:r>
    </w:p>
    <w:p>
      <w:pPr>
        <w:numPr>
          <w:ilvl w:val="1"/>
          <w:numId w:val="14"/>
        </w:numPr>
        <w:spacing w:lineRule="auto"/>
      </w:pPr>
      <w:r>
        <w:rPr>
          <w:rFonts w:eastAsia="Georgia" w:cs="Georgia" w:ascii="Georgia" w:hAnsi="Georgia"/>
        </w:rPr>
        <w:t xml:space="preserve">股票/期货：10万元</w:t>
      </w:r>
    </w:p>
    <w:p>
      <w:pPr>
        <w:numPr>
          <w:ilvl w:val="0"/>
          <w:numId w:val="14"/>
        </w:numPr>
        <w:spacing w:after="210" w:lineRule="auto"/>
      </w:pPr>
      <w:r>
        <w:rPr>
          <w:rFonts w:eastAsia="Georgia" w:cs="Georgia" w:ascii="Georgia" w:hAnsi="Georgia"/>
        </w:rPr>
        <w:t xml:space="preserve">其他实物资产：25万元（10%）</w:t>
      </w:r>
    </w:p>
    <w:p>
      <w:pPr>
        <w:numPr>
          <w:ilvl w:val="1"/>
          <w:numId w:val="14"/>
        </w:numPr>
        <w:spacing w:lineRule="auto"/>
      </w:pPr>
      <w:r>
        <w:rPr>
          <w:rFonts w:eastAsia="Georgia" w:cs="Georgia" w:ascii="Georgia" w:hAnsi="Georgia"/>
        </w:rPr>
        <w:t xml:space="preserve">汽车：15万元</w:t>
      </w:r>
    </w:p>
    <w:p>
      <w:pPr>
        <w:numPr>
          <w:ilvl w:val="1"/>
          <w:numId w:val="14"/>
        </w:numPr>
        <w:spacing w:lineRule="auto"/>
      </w:pPr>
      <w:r>
        <w:rPr>
          <w:rFonts w:eastAsia="Georgia" w:cs="Georgia" w:ascii="Georgia" w:hAnsi="Georgia"/>
        </w:rPr>
        <w:t xml:space="preserve">其他：10万元</w:t>
      </w:r>
    </w:p>
    <w:p>
      <w:pPr>
        <w:numPr>
          <w:ilvl w:val="0"/>
          <w:numId w:val="14"/>
        </w:numPr>
        <w:spacing w:after="210" w:lineRule="auto"/>
      </w:pPr>
      <w:r>
        <w:rPr>
          <w:rFonts w:eastAsia="Georgia" w:cs="Georgia" w:ascii="Georgia" w:hAnsi="Georgia"/>
        </w:rPr>
        <w:t xml:space="preserve">减：负债100万元</w:t>
      </w:r>
    </w:p>
    <w:p>
      <w:pPr>
        <w:numPr>
          <w:ilvl w:val="1"/>
          <w:numId w:val="14"/>
        </w:numPr>
        <w:spacing w:lineRule="auto"/>
      </w:pPr>
      <w:r>
        <w:rPr>
          <w:rFonts w:eastAsia="Georgia" w:cs="Georgia" w:ascii="Georgia" w:hAnsi="Georgia"/>
        </w:rPr>
        <w:t xml:space="preserve">房贷：80万元</w:t>
      </w:r>
    </w:p>
    <w:p>
      <w:pPr>
        <w:numPr>
          <w:ilvl w:val="1"/>
          <w:numId w:val="14"/>
        </w:numPr>
        <w:spacing w:lineRule="auto"/>
      </w:pPr>
      <w:r>
        <w:rPr>
          <w:rFonts w:eastAsia="Georgia" w:cs="Georgia" w:ascii="Georgia" w:hAnsi="Georgia"/>
        </w:rPr>
        <w:t xml:space="preserve">其他：20万元</w:t>
      </w:r>
    </w:p>
    <w:p>
      <w:pPr>
        <w:spacing w:after="210" w:lineRule="auto"/>
      </w:pPr>
      <w:r>
        <w:rPr>
          <w:rFonts w:eastAsia="Georgia" w:cs="Georgia" w:ascii="Georgia" w:hAnsi="Georgia"/>
        </w:rPr>
        <w:t xml:space="preserve">结果：净资产250万元</w:t>
      </w:r>
    </w:p>
    <w:p>
      <w:pPr>
        <w:spacing w:after="210" w:lineRule="auto"/>
      </w:pPr>
      <w:r>
        <w:rPr>
          <w:b/>
        </w:rPr>
        <w:t xml:space="preserve">消费与投资特征</w:t>
      </w:r>
      <w:r>
        <w:rPr>
          <w:rFonts w:eastAsia="Georgia" w:cs="Georgia" w:ascii="Georgia" w:hAnsi="Georgia"/>
        </w:rPr>
        <w:t xml:space="preserve">：</w:t>
      </w:r>
    </w:p>
    <w:p>
      <w:pPr>
        <w:numPr>
          <w:ilvl w:val="0"/>
          <w:numId w:val="15"/>
        </w:numPr>
        <w:spacing w:lineRule="auto"/>
      </w:pPr>
      <w:r>
        <w:rPr>
          <w:rFonts w:eastAsia="Georgia" w:cs="Georgia" w:ascii="Georgia" w:hAnsi="Georgia"/>
        </w:rPr>
        <w:t xml:space="preserve">房产投资：2-3套房产，其中至少1套用于出租或增值</w:t>
      </w:r>
    </w:p>
    <w:p>
      <w:pPr>
        <w:numPr>
          <w:ilvl w:val="0"/>
          <w:numId w:val="15"/>
        </w:numPr>
        <w:spacing w:lineRule="auto"/>
      </w:pPr>
      <w:r>
        <w:rPr>
          <w:rFonts w:eastAsia="Georgia" w:cs="Georgia" w:ascii="Georgia" w:hAnsi="Georgia"/>
        </w:rPr>
        <w:t xml:space="preserve">子女教育：高度关注升学机制，平均每年教育支出占收入的12-18%</w:t>
      </w:r>
    </w:p>
    <w:p>
      <w:pPr>
        <w:numPr>
          <w:ilvl w:val="0"/>
          <w:numId w:val="15"/>
        </w:numPr>
        <w:spacing w:lineRule="auto"/>
      </w:pPr>
      <w:r>
        <w:rPr>
          <w:rFonts w:eastAsia="Georgia" w:cs="Georgia" w:ascii="Georgia" w:hAnsi="Georgia"/>
        </w:rPr>
        <w:t xml:space="preserve">保险覆盖：约60-70%家庭购买过商业健康险或寿险</w:t>
      </w:r>
    </w:p>
    <w:p>
      <w:pPr>
        <w:numPr>
          <w:ilvl w:val="0"/>
          <w:numId w:val="15"/>
        </w:numPr>
        <w:spacing w:lineRule="auto"/>
      </w:pPr>
      <w:r>
        <w:rPr>
          <w:rFonts w:eastAsia="Georgia" w:cs="Georgia" w:ascii="Georgia" w:hAnsi="Georgia"/>
        </w:rPr>
        <w:t xml:space="preserve">理财参与：50%+家庭参与过基金定投、互联网理财等中低风险投资</w:t>
      </w:r>
    </w:p>
    <w:p>
      <w:pPr>
        <w:spacing w:after="210" w:lineRule="auto"/>
      </w:pPr>
      <w:r>
        <w:rPr>
          <w:b/>
        </w:rPr>
        <w:t xml:space="preserve">区域中产标准的显著差异</w:t>
      </w:r>
      <w:r>
        <w:rPr>
          <w:rFonts w:eastAsia="Georgia" w:cs="Georgia" w:ascii="Georgia" w:hAnsi="Georgia"/>
        </w:rPr>
        <w:t xml:space="preserve">：</w:t>
      </w:r>
    </w:p>
    <w:p>
      <w:pPr>
        <w:spacing w:after="210" w:lineRule="auto"/>
      </w:pPr>
      <w:r>
        <w:rPr>
          <w:rFonts w:eastAsia="Georgia" w:cs="Georgia" w:ascii="Georgia" w:hAnsi="Georgia"/>
        </w:rPr>
        <w:t xml:space="preserve">据麦肯锡《2024年中国消费趋势报告》[6]，中产标准存在明显的城市线级差异：</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城市线级</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年可支配收入范围</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家庭净资产范围</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代表城市</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一线城市</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40-100万元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250-600万元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北上广深</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新一线城市</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25-70万元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150-400万元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杭州、南京、武汉</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二线城市</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18-50万元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100-300万元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长沙、西安、郑州</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三线城市</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12-35万元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60-200万元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地级市典型代表</w:t>
            </w:r>
          </w:p>
        </w:tc>
      </w:tr>
    </w:tbl>
    <w:p>
      <w:pPr>
        <w:spacing w:lineRule="auto"/>
      </w:pPr>
    </w:p>
    <w:p>
      <w:pPr>
        <w:spacing w:lineRule="auto"/>
      </w:pPr>
      <w:r>
        <w:rPr>
          <w:rFonts w:eastAsia="Georgia" w:cs="Georgia" w:ascii="Georgia" w:hAnsi="Georgia"/>
        </w:rPr>
        <w:t xml:space="preserve">Table 4: 城市线级中产标准对标</w:t>
      </w:r>
    </w:p>
    <w:p>
      <w:pPr>
        <w:spacing w:after="210" w:lineRule="auto"/>
      </w:pPr>
      <w:r>
        <w:rPr>
          <w:b/>
        </w:rPr>
        <w:t xml:space="preserve">潜在财务脆弱性</w:t>
      </w:r>
      <w:r>
        <w:rPr>
          <w:rFonts w:eastAsia="Georgia" w:cs="Georgia" w:ascii="Georgia" w:hAnsi="Georgia"/>
        </w:rPr>
        <w:t xml:space="preserve">：</w:t>
      </w:r>
    </w:p>
    <w:p>
      <w:pPr>
        <w:numPr>
          <w:ilvl w:val="0"/>
          <w:numId w:val="16"/>
        </w:numPr>
        <w:spacing w:lineRule="auto"/>
      </w:pPr>
      <w:r>
        <w:rPr>
          <w:b/>
        </w:rPr>
        <w:t xml:space="preserve">房产投资杠杆风险</w:t>
      </w:r>
      <w:r>
        <w:rPr>
          <w:rFonts w:eastAsia="Georgia" w:cs="Georgia" w:ascii="Georgia" w:hAnsi="Georgia"/>
        </w:rPr>
        <w:t xml:space="preserve">：多套房贷杠杆率高（有时超过70%），房价下行时面临负资产风险</w:t>
      </w:r>
    </w:p>
    <w:p>
      <w:pPr>
        <w:numPr>
          <w:ilvl w:val="0"/>
          <w:numId w:val="16"/>
        </w:numPr>
        <w:spacing w:lineRule="auto"/>
      </w:pPr>
      <w:r>
        <w:rPr>
          <w:b/>
        </w:rPr>
        <w:t xml:space="preserve">收入波动性</w:t>
      </w:r>
      <w:r>
        <w:rPr>
          <w:rFonts w:eastAsia="Georgia" w:cs="Georgia" w:ascii="Georgia" w:hAnsi="Georgia"/>
        </w:rPr>
        <w:t xml:space="preserve">：自营业者与中层管理者的收入年度波动幅度可达20-40%</w:t>
      </w:r>
    </w:p>
    <w:p>
      <w:pPr>
        <w:numPr>
          <w:ilvl w:val="0"/>
          <w:numId w:val="16"/>
        </w:numPr>
        <w:spacing w:lineRule="auto"/>
      </w:pPr>
      <w:r>
        <w:rPr>
          <w:b/>
        </w:rPr>
        <w:t xml:space="preserve">教育支出压力</w:t>
      </w:r>
      <w:r>
        <w:rPr>
          <w:rFonts w:eastAsia="Georgia" w:cs="Georgia" w:ascii="Georgia" w:hAnsi="Georgia"/>
        </w:rPr>
        <w:t xml:space="preserve">：子女教育投入占家庭年收入比例高达12-18%，形成长期刚性支出</w:t>
      </w:r>
    </w:p>
    <w:p>
      <w:pPr>
        <w:numPr>
          <w:ilvl w:val="0"/>
          <w:numId w:val="16"/>
        </w:numPr>
        <w:spacing w:lineRule="auto"/>
      </w:pPr>
      <w:r>
        <w:rPr>
          <w:b/>
        </w:rPr>
        <w:t xml:space="preserve">医疗与养老预期压力</w:t>
      </w:r>
      <w:r>
        <w:rPr>
          <w:rFonts w:eastAsia="Georgia" w:cs="Georgia" w:ascii="Georgia" w:hAnsi="Georgia"/>
        </w:rPr>
        <w:t xml:space="preserve">：在当前公共医疗保障体系覆盖面有限的背景下，中产家庭预防性储蓄占比高达30-40%</w:t>
      </w:r>
    </w:p>
    <w:p>
      <w:pPr>
        <w:spacing w:line="271" w:before="240" w:lineRule="auto"/>
      </w:pPr>
      <w:bookmarkStart w:id="16" w:name="三_第六级_低端中产_普通职员与基层公务员"/>
      <w:r>
        <w:rPr>
          <w:rFonts w:eastAsia="Georgia" w:cs="Georgia" w:ascii="Georgia" w:hAnsi="Georgia"/>
          <w:b/>
          <w:sz w:val="28"/>
        </w:rPr>
        <w:t xml:space="preserve">（三）第六级：低端中产（普通职员与基层公务员）</w:t>
      </w:r>
      <w:bookmarkEnd w:id="16"/>
    </w:p>
    <w:p>
      <w:pPr>
        <w:spacing w:after="210" w:lineRule="auto"/>
      </w:pPr>
      <w:r>
        <w:rPr>
          <w:b/>
        </w:rPr>
        <w:t xml:space="preserve">身份特征</w:t>
      </w:r>
      <w:r>
        <w:rPr>
          <w:rFonts w:eastAsia="Georgia" w:cs="Georgia" w:ascii="Georgia" w:hAnsi="Georgia"/>
        </w:rPr>
        <w:t xml:space="preserve">：</w:t>
      </w:r>
    </w:p>
    <w:p>
      <w:pPr>
        <w:numPr>
          <w:ilvl w:val="0"/>
          <w:numId w:val="17"/>
        </w:numPr>
        <w:spacing w:lineRule="auto"/>
      </w:pPr>
      <w:r>
        <w:rPr>
          <w:rFonts w:eastAsia="Georgia" w:cs="Georgia" w:ascii="Georgia" w:hAnsi="Georgia"/>
        </w:rPr>
        <w:t xml:space="preserve">普通公务员、事业单位职员（处科级以下）</w:t>
      </w:r>
    </w:p>
    <w:p>
      <w:pPr>
        <w:numPr>
          <w:ilvl w:val="0"/>
          <w:numId w:val="17"/>
        </w:numPr>
        <w:spacing w:lineRule="auto"/>
      </w:pPr>
      <w:r>
        <w:rPr>
          <w:rFonts w:eastAsia="Georgia" w:cs="Georgia" w:ascii="Georgia" w:hAnsi="Georgia"/>
        </w:rPr>
        <w:t xml:space="preserve">大型企业普通职员、部门经理</w:t>
      </w:r>
    </w:p>
    <w:p>
      <w:pPr>
        <w:numPr>
          <w:ilvl w:val="0"/>
          <w:numId w:val="17"/>
        </w:numPr>
        <w:spacing w:lineRule="auto"/>
      </w:pPr>
      <w:r>
        <w:rPr>
          <w:rFonts w:eastAsia="Georgia" w:cs="Georgia" w:ascii="Georgia" w:hAnsi="Georgia"/>
        </w:rPr>
        <w:t xml:space="preserve">高校青年教师、普通科研人员</w:t>
      </w:r>
    </w:p>
    <w:p>
      <w:pPr>
        <w:numPr>
          <w:ilvl w:val="0"/>
          <w:numId w:val="17"/>
        </w:numPr>
        <w:spacing w:lineRule="auto"/>
      </w:pPr>
      <w:r>
        <w:rPr>
          <w:rFonts w:eastAsia="Georgia" w:cs="Georgia" w:ascii="Georgia" w:hAnsi="Georgia"/>
        </w:rPr>
        <w:t xml:space="preserve">一般医生、律师、工程师</w:t>
      </w:r>
    </w:p>
    <w:p>
      <w:pPr>
        <w:numPr>
          <w:ilvl w:val="0"/>
          <w:numId w:val="17"/>
        </w:numPr>
        <w:spacing w:lineRule="auto"/>
      </w:pPr>
      <w:r>
        <w:rPr>
          <w:rFonts w:eastAsia="Georgia" w:cs="Georgia" w:ascii="Georgia" w:hAnsi="Georgia"/>
        </w:rPr>
        <w:t xml:space="preserve">中等个体户、小店主</w:t>
      </w:r>
    </w:p>
    <w:p>
      <w:pPr>
        <w:spacing w:after="210" w:lineRule="auto"/>
      </w:pPr>
      <w:r>
        <w:rPr>
          <w:b/>
        </w:rPr>
        <w:t xml:space="preserve">人群规模</w:t>
      </w:r>
      <w:r>
        <w:rPr>
          <w:rFonts w:eastAsia="Georgia" w:cs="Georgia" w:ascii="Georgia" w:hAnsi="Georgia"/>
        </w:rPr>
        <w:t xml:space="preserve">：约2-2.5亿人，占城市人口的20-30%</w:t>
      </w:r>
    </w:p>
    <w:p>
      <w:pPr>
        <w:spacing w:after="210" w:lineRule="auto"/>
      </w:pPr>
      <w:r>
        <w:rPr>
          <w:b/>
        </w:rPr>
        <w:t xml:space="preserve">财务特征</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财务维度</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指标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年可支配收入</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12万-30万元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家庭净资产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80万-250万元</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房产价值</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60万-180万元（占净资产70-75%）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金融资产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12万-40万元（占净资产15-20%）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负债情况</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房贷占比60-80%，其他负债占比3-8%</w:t>
            </w:r>
          </w:p>
        </w:tc>
      </w:tr>
    </w:tbl>
    <w:p>
      <w:pPr>
        <w:spacing w:lineRule="auto"/>
      </w:pPr>
    </w:p>
    <w:p>
      <w:pPr>
        <w:spacing w:lineRule="auto"/>
      </w:pPr>
      <w:r>
        <w:rPr>
          <w:rFonts w:eastAsia="Georgia" w:cs="Georgia" w:ascii="Georgia" w:hAnsi="Georgia"/>
        </w:rPr>
        <w:t xml:space="preserve">Table 5: 第六级财务特征</w:t>
      </w:r>
    </w:p>
    <w:p>
      <w:pPr>
        <w:spacing w:after="210" w:lineRule="auto"/>
      </w:pPr>
      <w:r>
        <w:rPr>
          <w:b/>
        </w:rPr>
        <w:t xml:space="preserve">典型财务困境</w:t>
      </w:r>
      <w:r>
        <w:rPr>
          <w:rFonts w:eastAsia="Georgia" w:cs="Georgia" w:ascii="Georgia" w:hAnsi="Georgia"/>
        </w:rPr>
        <w:t xml:space="preserve">：</w:t>
      </w:r>
    </w:p>
    <w:p>
      <w:pPr>
        <w:numPr>
          <w:ilvl w:val="0"/>
          <w:numId w:val="18"/>
        </w:numPr>
        <w:spacing w:lineRule="auto"/>
      </w:pPr>
      <w:r>
        <w:rPr>
          <w:rFonts w:eastAsia="Georgia" w:cs="Georgia" w:ascii="Georgia" w:hAnsi="Georgia"/>
        </w:rPr>
        <w:t xml:space="preserve">首套房贷负担：多数在30-40岁年龄段，房贷月供占家庭月收入的40-55%</w:t>
      </w:r>
    </w:p>
    <w:p>
      <w:pPr>
        <w:numPr>
          <w:ilvl w:val="0"/>
          <w:numId w:val="18"/>
        </w:numPr>
        <w:spacing w:lineRule="auto"/>
      </w:pPr>
      <w:r>
        <w:rPr>
          <w:rFonts w:eastAsia="Georgia" w:cs="Georgia" w:ascii="Georgia" w:hAnsi="Georgia"/>
        </w:rPr>
        <w:t xml:space="preserve">教育刚性支出：平均每年教育支出8-12万元，占家庭年收入的27-40%</w:t>
      </w:r>
    </w:p>
    <w:p>
      <w:pPr>
        <w:numPr>
          <w:ilvl w:val="0"/>
          <w:numId w:val="18"/>
        </w:numPr>
        <w:spacing w:lineRule="auto"/>
      </w:pPr>
      <w:r>
        <w:rPr>
          <w:rFonts w:eastAsia="Georgia" w:cs="Georgia" w:ascii="Georgia" w:hAnsi="Georgia"/>
        </w:rPr>
        <w:t xml:space="preserve">赡养老人压力：独生子女政策导致，约70%需承担父母养老与医疗支出</w:t>
      </w:r>
    </w:p>
    <w:p>
      <w:pPr>
        <w:numPr>
          <w:ilvl w:val="0"/>
          <w:numId w:val="18"/>
        </w:numPr>
        <w:spacing w:lineRule="auto"/>
      </w:pPr>
      <w:r>
        <w:rPr>
          <w:b/>
        </w:rPr>
        <w:t xml:space="preserve">流动性极度约束</w:t>
      </w:r>
      <w:r>
        <w:rPr>
          <w:rFonts w:eastAsia="Georgia" w:cs="Georgia" w:ascii="Georgia" w:hAnsi="Georgia"/>
        </w:rPr>
        <w:t xml:space="preserve">：可快速变现资产仅占净资产的10-15%</w:t>
      </w:r>
    </w:p>
    <w:p>
      <w:pPr>
        <w:spacing w:after="210" w:lineRule="auto"/>
      </w:pPr>
      <w:r>
        <w:rPr>
          <w:b/>
        </w:rPr>
        <w:t xml:space="preserve">典型生活场景</w:t>
      </w:r>
      <w:r>
        <w:rPr>
          <w:rFonts w:eastAsia="Georgia" w:cs="Georgia" w:ascii="Georgia" w:hAnsi="Georgia"/>
        </w:rPr>
        <w:t xml:space="preserve">：</w:t>
      </w:r>
      <w:r>
        <w:rPr/>
        <w:br w:type="textWrapping"/>
      </w:r>
      <w:r>
        <w:rPr>
          <w:rFonts w:eastAsia="Georgia" w:cs="Georgia" w:ascii="Georgia" w:hAnsi="Georgia"/>
        </w:rPr>
        <w:t xml:space="preserve">在一定程度上，第六级中产的生活可被描述为"中产焦虑的典型体现"——表面拥有较好的社会地位与体面的生活，但实际面临持续的现金流压力。数据显示，68%的第六级中产家庭月度存款额低于2,000元[7]。</w:t>
      </w:r>
    </w:p>
    <w:p>
      <w:pPr>
        <w:spacing w:line="271" w:before="240" w:lineRule="auto"/>
      </w:pPr>
      <w:bookmarkStart w:id="17" w:name="三_底层社会阶层_第7_9级"/>
      <w:r>
        <w:rPr>
          <w:rFonts w:eastAsia="Georgia" w:cs="Georgia" w:ascii="Georgia" w:hAnsi="Georgia"/>
          <w:b/>
          <w:sz w:val="33"/>
        </w:rPr>
        <w:t xml:space="preserve">三、底层社会阶层（第7-9级）</w:t>
      </w:r>
      <w:bookmarkEnd w:id="17"/>
    </w:p>
    <w:p>
      <w:pPr>
        <w:spacing w:line="271" w:before="240" w:lineRule="auto"/>
      </w:pPr>
      <w:bookmarkStart w:id="18" w:name="一_第七级_城市半无产阶层"/>
      <w:r>
        <w:rPr>
          <w:rFonts w:eastAsia="Georgia" w:cs="Georgia" w:ascii="Georgia" w:hAnsi="Georgia"/>
          <w:b/>
          <w:sz w:val="28"/>
        </w:rPr>
        <w:t xml:space="preserve">（一）第七级：城市半无产阶层</w:t>
      </w:r>
      <w:bookmarkEnd w:id="18"/>
    </w:p>
    <w:p>
      <w:pPr>
        <w:spacing w:after="210" w:lineRule="auto"/>
      </w:pPr>
      <w:r>
        <w:rPr>
          <w:b/>
        </w:rPr>
        <w:t xml:space="preserve">身份特征</w:t>
      </w:r>
      <w:r>
        <w:rPr>
          <w:rFonts w:eastAsia="Georgia" w:cs="Georgia" w:ascii="Georgia" w:hAnsi="Georgia"/>
        </w:rPr>
        <w:t xml:space="preserve">：</w:t>
      </w:r>
    </w:p>
    <w:p>
      <w:pPr>
        <w:numPr>
          <w:ilvl w:val="0"/>
          <w:numId w:val="19"/>
        </w:numPr>
        <w:spacing w:lineRule="auto"/>
      </w:pPr>
      <w:r>
        <w:rPr>
          <w:rFonts w:eastAsia="Georgia" w:cs="Georgia" w:ascii="Georgia" w:hAnsi="Georgia"/>
        </w:rPr>
        <w:t xml:space="preserve">普通制造业工人、建筑业工人</w:t>
      </w:r>
    </w:p>
    <w:p>
      <w:pPr>
        <w:numPr>
          <w:ilvl w:val="0"/>
          <w:numId w:val="19"/>
        </w:numPr>
        <w:spacing w:lineRule="auto"/>
      </w:pPr>
      <w:r>
        <w:rPr>
          <w:rFonts w:eastAsia="Georgia" w:cs="Georgia" w:ascii="Georgia" w:hAnsi="Georgia"/>
        </w:rPr>
        <w:t xml:space="preserve">边缘化的体制内人员（合同工、临时工）</w:t>
      </w:r>
    </w:p>
    <w:p>
      <w:pPr>
        <w:numPr>
          <w:ilvl w:val="0"/>
          <w:numId w:val="19"/>
        </w:numPr>
        <w:spacing w:lineRule="auto"/>
      </w:pPr>
      <w:r>
        <w:rPr>
          <w:rFonts w:eastAsia="Georgia" w:cs="Georgia" w:ascii="Georgia" w:hAnsi="Georgia"/>
        </w:rPr>
        <w:t xml:space="preserve">小个体户与小商铺经营者</w:t>
      </w:r>
    </w:p>
    <w:p>
      <w:pPr>
        <w:numPr>
          <w:ilvl w:val="0"/>
          <w:numId w:val="19"/>
        </w:numPr>
        <w:spacing w:lineRule="auto"/>
      </w:pPr>
      <w:r>
        <w:rPr>
          <w:rFonts w:eastAsia="Georgia" w:cs="Georgia" w:ascii="Georgia" w:hAnsi="Georgia"/>
        </w:rPr>
        <w:t xml:space="preserve">城市服务业从业者（保安、保洁、快递员等）</w:t>
      </w:r>
    </w:p>
    <w:p>
      <w:pPr>
        <w:numPr>
          <w:ilvl w:val="0"/>
          <w:numId w:val="19"/>
        </w:numPr>
        <w:spacing w:lineRule="auto"/>
      </w:pPr>
      <w:r>
        <w:rPr>
          <w:rFonts w:eastAsia="Georgia" w:cs="Georgia" w:ascii="Georgia" w:hAnsi="Georgia"/>
        </w:rPr>
        <w:t xml:space="preserve">城市底层土著与返乡农民工</w:t>
      </w:r>
    </w:p>
    <w:p>
      <w:pPr>
        <w:spacing w:after="210" w:lineRule="auto"/>
      </w:pPr>
      <w:r>
        <w:rPr>
          <w:b/>
        </w:rPr>
        <w:t xml:space="preserve">人群规模</w:t>
      </w:r>
      <w:r>
        <w:rPr>
          <w:rFonts w:eastAsia="Georgia" w:cs="Georgia" w:ascii="Georgia" w:hAnsi="Georgia"/>
        </w:rPr>
        <w:t xml:space="preserve">：约3-4亿人</w:t>
      </w:r>
    </w:p>
    <w:p>
      <w:pPr>
        <w:spacing w:after="210" w:lineRule="auto"/>
      </w:pPr>
      <w:r>
        <w:rPr>
          <w:b/>
        </w:rPr>
        <w:t xml:space="preserve">收入与资产特征</w:t>
      </w:r>
      <w:r>
        <w:rPr>
          <w:rFonts w:eastAsia="Georgia" w:cs="Georgia" w:ascii="Georgia" w:hAnsi="Georgia"/>
        </w:rPr>
        <w:t xml:space="preserve">：</w:t>
      </w:r>
    </w:p>
    <w:p>
      <w:pPr>
        <w:numPr>
          <w:ilvl w:val="0"/>
          <w:numId w:val="20"/>
        </w:numPr>
        <w:spacing w:lineRule="auto"/>
      </w:pPr>
      <w:r>
        <w:rPr>
          <w:rFonts w:eastAsia="Georgia" w:cs="Georgia" w:ascii="Georgia" w:hAnsi="Georgia"/>
        </w:rPr>
        <w:t xml:space="preserve">年可支配收入：5-15万元</w:t>
      </w:r>
    </w:p>
    <w:p>
      <w:pPr>
        <w:numPr>
          <w:ilvl w:val="0"/>
          <w:numId w:val="20"/>
        </w:numPr>
        <w:spacing w:lineRule="auto"/>
      </w:pPr>
      <w:r>
        <w:rPr>
          <w:rFonts w:eastAsia="Georgia" w:cs="Georgia" w:ascii="Georgia" w:hAnsi="Georgia"/>
        </w:rPr>
        <w:t xml:space="preserve">人均月收入：4,000-12,000元（略高于全国平均值）</w:t>
      </w:r>
    </w:p>
    <w:p>
      <w:pPr>
        <w:numPr>
          <w:ilvl w:val="0"/>
          <w:numId w:val="20"/>
        </w:numPr>
        <w:spacing w:lineRule="auto"/>
      </w:pPr>
      <w:r>
        <w:rPr>
          <w:rFonts w:eastAsia="Georgia" w:cs="Georgia" w:ascii="Georgia" w:hAnsi="Georgia"/>
        </w:rPr>
        <w:t xml:space="preserve">家庭净资产：通常低于100万元</w:t>
      </w:r>
    </w:p>
    <w:p>
      <w:pPr>
        <w:numPr>
          <w:ilvl w:val="0"/>
          <w:numId w:val="20"/>
        </w:numPr>
        <w:spacing w:lineRule="auto"/>
      </w:pPr>
      <w:r>
        <w:rPr>
          <w:rFonts w:eastAsia="Georgia" w:cs="Georgia" w:ascii="Georgia" w:hAnsi="Georgia"/>
        </w:rPr>
        <w:t xml:space="preserve">房产占有率：约50-60%（多为农村宅基地或城中村破旧房产）</w:t>
      </w:r>
    </w:p>
    <w:p>
      <w:pPr>
        <w:spacing w:line="271" w:before="240" w:lineRule="auto"/>
      </w:pPr>
      <w:bookmarkStart w:id="19" w:name="二_第八级_农村普通农民与血汗工人"/>
      <w:r>
        <w:rPr>
          <w:rFonts w:eastAsia="Georgia" w:cs="Georgia" w:ascii="Georgia" w:hAnsi="Georgia"/>
          <w:b/>
          <w:sz w:val="28"/>
        </w:rPr>
        <w:t xml:space="preserve">（二）第八级：农村普通农民与血汗工人</w:t>
      </w:r>
      <w:bookmarkEnd w:id="19"/>
    </w:p>
    <w:p>
      <w:pPr>
        <w:spacing w:after="210" w:lineRule="auto"/>
      </w:pPr>
      <w:r>
        <w:rPr>
          <w:b/>
        </w:rPr>
        <w:t xml:space="preserve">身份特征</w:t>
      </w:r>
      <w:r>
        <w:rPr>
          <w:rFonts w:eastAsia="Georgia" w:cs="Georgia" w:ascii="Georgia" w:hAnsi="Georgia"/>
        </w:rPr>
        <w:t xml:space="preserve">：</w:t>
      </w:r>
    </w:p>
    <w:p>
      <w:pPr>
        <w:numPr>
          <w:ilvl w:val="0"/>
          <w:numId w:val="21"/>
        </w:numPr>
        <w:spacing w:lineRule="auto"/>
      </w:pPr>
      <w:r>
        <w:rPr>
          <w:rFonts w:eastAsia="Georgia" w:cs="Georgia" w:ascii="Georgia" w:hAnsi="Georgia"/>
        </w:rPr>
        <w:t xml:space="preserve">普通农业从业者（非家庭农场主）</w:t>
      </w:r>
    </w:p>
    <w:p>
      <w:pPr>
        <w:numPr>
          <w:ilvl w:val="0"/>
          <w:numId w:val="21"/>
        </w:numPr>
        <w:spacing w:lineRule="auto"/>
      </w:pPr>
      <w:r>
        <w:rPr>
          <w:rFonts w:eastAsia="Georgia" w:cs="Georgia" w:ascii="Georgia" w:hAnsi="Georgia"/>
        </w:rPr>
        <w:t xml:space="preserve">血汗工厂流水线工人</w:t>
      </w:r>
    </w:p>
    <w:p>
      <w:pPr>
        <w:numPr>
          <w:ilvl w:val="0"/>
          <w:numId w:val="21"/>
        </w:numPr>
        <w:spacing w:lineRule="auto"/>
      </w:pPr>
      <w:r>
        <w:rPr>
          <w:rFonts w:eastAsia="Georgia" w:cs="Georgia" w:ascii="Georgia" w:hAnsi="Georgia"/>
        </w:rPr>
        <w:t xml:space="preserve">季节性农民工与建筑民工</w:t>
      </w:r>
    </w:p>
    <w:p>
      <w:pPr>
        <w:numPr>
          <w:ilvl w:val="0"/>
          <w:numId w:val="21"/>
        </w:numPr>
        <w:spacing w:lineRule="auto"/>
      </w:pPr>
      <w:r>
        <w:rPr>
          <w:rFonts w:eastAsia="Georgia" w:cs="Georgia" w:ascii="Georgia" w:hAnsi="Georgia"/>
        </w:rPr>
        <w:t xml:space="preserve">城乡接合部贫困人口</w:t>
      </w:r>
    </w:p>
    <w:p>
      <w:pPr>
        <w:spacing w:after="210" w:lineRule="auto"/>
      </w:pPr>
      <w:r>
        <w:rPr>
          <w:b/>
        </w:rPr>
        <w:t xml:space="preserve">人群规模</w:t>
      </w:r>
      <w:r>
        <w:rPr>
          <w:rFonts w:eastAsia="Georgia" w:cs="Georgia" w:ascii="Georgia" w:hAnsi="Georgia"/>
        </w:rPr>
        <w:t xml:space="preserve">：约4-5亿人</w:t>
      </w:r>
    </w:p>
    <w:p>
      <w:pPr>
        <w:spacing w:after="210" w:lineRule="auto"/>
      </w:pPr>
      <w:r>
        <w:rPr>
          <w:b/>
        </w:rPr>
        <w:t xml:space="preserve">收入与资产特征</w:t>
      </w:r>
      <w:r>
        <w:rPr>
          <w:rFonts w:eastAsia="Georgia" w:cs="Georgia" w:ascii="Georgia" w:hAnsi="Georgia"/>
        </w:rPr>
        <w:t xml:space="preserve">：</w:t>
      </w:r>
    </w:p>
    <w:p>
      <w:pPr>
        <w:numPr>
          <w:ilvl w:val="0"/>
          <w:numId w:val="22"/>
        </w:numPr>
        <w:spacing w:lineRule="auto"/>
      </w:pPr>
      <w:r>
        <w:rPr>
          <w:rFonts w:eastAsia="Georgia" w:cs="Georgia" w:ascii="Georgia" w:hAnsi="Georgia"/>
        </w:rPr>
        <w:t xml:space="preserve">年可支配收入：3-8万元</w:t>
      </w:r>
    </w:p>
    <w:p>
      <w:pPr>
        <w:numPr>
          <w:ilvl w:val="0"/>
          <w:numId w:val="22"/>
        </w:numPr>
        <w:spacing w:lineRule="auto"/>
      </w:pPr>
      <w:r>
        <w:rPr>
          <w:rFonts w:eastAsia="Georgia" w:cs="Georgia" w:ascii="Georgia" w:hAnsi="Georgia"/>
        </w:rPr>
        <w:t xml:space="preserve">农民人均月收入：1,200-3,000元（据李克强总理2020年表述，中国6亿人月入约1,000元）[8]</w:t>
      </w:r>
    </w:p>
    <w:p>
      <w:pPr>
        <w:numPr>
          <w:ilvl w:val="0"/>
          <w:numId w:val="22"/>
        </w:numPr>
        <w:spacing w:lineRule="auto"/>
      </w:pPr>
      <w:r>
        <w:rPr>
          <w:rFonts w:eastAsia="Georgia" w:cs="Georgia" w:ascii="Georgia" w:hAnsi="Georgia"/>
        </w:rPr>
        <w:t xml:space="preserve">家庭净资产：主要为农地与老旧住房，实际变现价值较低（10-50万元）</w:t>
      </w:r>
    </w:p>
    <w:p>
      <w:pPr>
        <w:spacing w:line="271" w:before="240" w:lineRule="auto"/>
      </w:pPr>
      <w:bookmarkStart w:id="20" w:name="三_第九级_绝对贫困阶层"/>
      <w:r>
        <w:rPr>
          <w:rFonts w:eastAsia="Georgia" w:cs="Georgia" w:ascii="Georgia" w:hAnsi="Georgia"/>
          <w:b/>
          <w:sz w:val="28"/>
        </w:rPr>
        <w:t xml:space="preserve">（三）第九级：绝对贫困阶层</w:t>
      </w:r>
      <w:bookmarkEnd w:id="20"/>
    </w:p>
    <w:p>
      <w:pPr>
        <w:spacing w:after="210" w:lineRule="auto"/>
      </w:pPr>
      <w:r>
        <w:rPr>
          <w:b/>
        </w:rPr>
        <w:t xml:space="preserve">身份特征</w:t>
      </w:r>
      <w:r>
        <w:rPr>
          <w:rFonts w:eastAsia="Georgia" w:cs="Georgia" w:ascii="Georgia" w:hAnsi="Georgia"/>
        </w:rPr>
        <w:t xml:space="preserve">：</w:t>
      </w:r>
    </w:p>
    <w:p>
      <w:pPr>
        <w:numPr>
          <w:ilvl w:val="0"/>
          <w:numId w:val="23"/>
        </w:numPr>
        <w:spacing w:lineRule="auto"/>
      </w:pPr>
      <w:r>
        <w:rPr>
          <w:rFonts w:eastAsia="Georgia" w:cs="Georgia" w:ascii="Georgia" w:hAnsi="Georgia"/>
        </w:rPr>
        <w:t xml:space="preserve">大城市失业/半失业人口</w:t>
      </w:r>
    </w:p>
    <w:p>
      <w:pPr>
        <w:numPr>
          <w:ilvl w:val="0"/>
          <w:numId w:val="23"/>
        </w:numPr>
        <w:spacing w:lineRule="auto"/>
      </w:pPr>
      <w:r>
        <w:rPr>
          <w:rFonts w:eastAsia="Georgia" w:cs="Georgia" w:ascii="Georgia" w:hAnsi="Georgia"/>
        </w:rPr>
        <w:t xml:space="preserve">重度残疾人群</w:t>
      </w:r>
    </w:p>
    <w:p>
      <w:pPr>
        <w:numPr>
          <w:ilvl w:val="0"/>
          <w:numId w:val="23"/>
        </w:numPr>
        <w:spacing w:lineRule="auto"/>
      </w:pPr>
      <w:r>
        <w:rPr>
          <w:rFonts w:eastAsia="Georgia" w:cs="Georgia" w:ascii="Georgia" w:hAnsi="Georgia"/>
        </w:rPr>
        <w:t xml:space="preserve">孤寡老人</w:t>
      </w:r>
    </w:p>
    <w:p>
      <w:pPr>
        <w:numPr>
          <w:ilvl w:val="0"/>
          <w:numId w:val="23"/>
        </w:numPr>
        <w:spacing w:lineRule="auto"/>
      </w:pPr>
      <w:r>
        <w:rPr>
          <w:rFonts w:eastAsia="Georgia" w:cs="Georgia" w:ascii="Georgia" w:hAnsi="Georgia"/>
        </w:rPr>
        <w:t xml:space="preserve">偏远山区农民</w:t>
      </w:r>
    </w:p>
    <w:p>
      <w:pPr>
        <w:numPr>
          <w:ilvl w:val="0"/>
          <w:numId w:val="23"/>
        </w:numPr>
        <w:spacing w:lineRule="auto"/>
      </w:pPr>
      <w:r>
        <w:rPr>
          <w:rFonts w:eastAsia="Georgia" w:cs="Georgia" w:ascii="Georgia" w:hAnsi="Georgia"/>
        </w:rPr>
        <w:t xml:space="preserve">流浪乞讨人口</w:t>
      </w:r>
    </w:p>
    <w:p>
      <w:pPr>
        <w:spacing w:after="210" w:lineRule="auto"/>
      </w:pPr>
      <w:r>
        <w:rPr>
          <w:b/>
        </w:rPr>
        <w:t xml:space="preserve">人群规模</w:t>
      </w:r>
      <w:r>
        <w:rPr>
          <w:rFonts w:eastAsia="Georgia" w:cs="Georgia" w:ascii="Georgia" w:hAnsi="Georgia"/>
        </w:rPr>
        <w:t xml:space="preserve">：约5,000-10,000万人</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第三部分_中产阶层的深度财务洞察"/>
      <w:r>
        <w:rPr>
          <w:rFonts w:eastAsia="Georgia" w:cs="Georgia" w:ascii="Georgia" w:hAnsi="Georgia"/>
          <w:b/>
          <w:sz w:val="42"/>
        </w:rPr>
        <w:t xml:space="preserve">第三部分 中产阶层的深度财务洞察</w:t>
      </w:r>
      <w:bookmarkEnd w:id="21"/>
    </w:p>
    <w:p>
      <w:pPr>
        <w:spacing w:line="271" w:before="240" w:lineRule="auto"/>
      </w:pPr>
      <w:bookmarkStart w:id="22" w:name="一_中产人群规模_构成与增长趋势"/>
      <w:r>
        <w:rPr>
          <w:rFonts w:eastAsia="Georgia" w:cs="Georgia" w:ascii="Georgia" w:hAnsi="Georgia"/>
          <w:b/>
          <w:sz w:val="33"/>
        </w:rPr>
        <w:t xml:space="preserve">一、中产人群规模、构成与增长趋势</w:t>
      </w:r>
      <w:bookmarkEnd w:id="22"/>
    </w:p>
    <w:p>
      <w:pPr>
        <w:spacing w:line="271" w:before="240" w:lineRule="auto"/>
      </w:pPr>
      <w:bookmarkStart w:id="23" w:name="一_人数统计与比例分析"/>
      <w:r>
        <w:rPr>
          <w:rFonts w:eastAsia="Georgia" w:cs="Georgia" w:ascii="Georgia" w:hAnsi="Georgia"/>
          <w:b/>
          <w:sz w:val="28"/>
        </w:rPr>
        <w:t xml:space="preserve">（一）人数统计与比例分析</w:t>
      </w:r>
      <w:bookmarkEnd w:id="23"/>
    </w:p>
    <w:p>
      <w:pPr>
        <w:spacing w:after="210" w:lineRule="auto"/>
      </w:pPr>
      <w:r>
        <w:rPr>
          <w:b/>
        </w:rPr>
        <w:t xml:space="preserve">官方与权威机构数据汇总</w:t>
      </w:r>
      <w:r>
        <w:rPr>
          <w:rFonts w:eastAsia="Georgia" w:cs="Georgia" w:ascii="Georgia" w:hAnsi="Georgia"/>
        </w:rPr>
        <w:t xml:space="preserve">：</w:t>
      </w:r>
    </w:p>
    <w:p>
      <w:pPr>
        <w:spacing w:after="210" w:lineRule="auto"/>
      </w:pPr>
      <w:r>
        <w:rPr>
          <w:rFonts w:eastAsia="Georgia" w:cs="Georgia" w:ascii="Georgia" w:hAnsi="Georgia"/>
        </w:rPr>
        <w:t xml:space="preserve">据国家统计局与中国国际经济交流中心副理事长王一鸣于2024年的表述[9]，</w:t>
      </w:r>
      <w:r>
        <w:rPr>
          <w:b/>
        </w:rPr>
        <w:t xml:space="preserve">中国中等收入群体已超过4亿人</w:t>
      </w:r>
      <w:r>
        <w:rPr>
          <w:rFonts w:eastAsia="Georgia" w:cs="Georgia" w:ascii="Georgia" w:hAnsi="Georgia"/>
        </w:rPr>
        <w:t xml:space="preserve">，约占全国总人口的28-30%、城市人口的35-40%。</w:t>
      </w:r>
    </w:p>
    <w:p>
      <w:pPr>
        <w:spacing w:after="210" w:lineRule="auto"/>
      </w:pPr>
      <w:r>
        <w:rPr>
          <w:b/>
        </w:rPr>
        <w:t xml:space="preserve">定义标准的对标</w:t>
      </w:r>
      <w:r>
        <w:rPr>
          <w:rFonts w:eastAsia="Georgia" w:cs="Georgia" w:ascii="Georgia" w:hAnsi="Georgia"/>
        </w:rPr>
        <w:t xml:space="preserve">（中国国家统计局标准）：</w:t>
      </w:r>
    </w:p>
    <w:p>
      <w:pPr>
        <w:numPr>
          <w:ilvl w:val="0"/>
          <w:numId w:val="24"/>
        </w:numPr>
        <w:spacing w:lineRule="auto"/>
      </w:pPr>
      <w:r>
        <w:rPr>
          <w:rFonts w:eastAsia="Georgia" w:cs="Georgia" w:ascii="Georgia" w:hAnsi="Georgia"/>
        </w:rPr>
        <w:t xml:space="preserve">三口之家年收入：10万-50万元</w:t>
      </w:r>
    </w:p>
    <w:p>
      <w:pPr>
        <w:numPr>
          <w:ilvl w:val="0"/>
          <w:numId w:val="24"/>
        </w:numPr>
        <w:spacing w:lineRule="auto"/>
      </w:pPr>
      <w:r>
        <w:rPr>
          <w:rFonts w:eastAsia="Georgia" w:cs="Georgia" w:ascii="Georgia" w:hAnsi="Georgia"/>
        </w:rPr>
        <w:t xml:space="preserve">单人年可支配收入：3.3万-16.7万元</w:t>
      </w:r>
    </w:p>
    <w:p>
      <w:pPr>
        <w:spacing w:after="210" w:lineRule="auto"/>
      </w:pPr>
      <w:r>
        <w:rPr>
          <w:b/>
        </w:rPr>
        <w:t xml:space="preserve">人群增长动态</w:t>
      </w:r>
      <w:r>
        <w:rPr>
          <w:rFonts w:eastAsia="Georgia" w:cs="Georgia" w:ascii="Georgia" w:hAnsi="Georgia"/>
        </w:rPr>
        <w:t xml:space="preserve">：</w:t>
      </w:r>
    </w:p>
    <w:p>
      <w:pPr>
        <w:spacing w:after="210" w:lineRule="auto"/>
      </w:pPr>
      <w:r>
        <w:rPr>
          <w:rFonts w:eastAsia="Georgia" w:cs="Georgia" w:ascii="Georgia" w:hAnsi="Georgia"/>
        </w:rPr>
        <w:t xml:space="preserve">根据麦肯锡《2024年中国消费趋势报告》[6]，中国中等收入人群增长呈现加速态势：</w:t>
      </w:r>
    </w:p>
    <w:p>
      <w:pPr>
        <w:numPr>
          <w:ilvl w:val="0"/>
          <w:numId w:val="25"/>
        </w:numPr>
        <w:spacing w:lineRule="auto"/>
      </w:pPr>
      <w:r>
        <w:rPr>
          <w:rFonts w:eastAsia="Georgia" w:cs="Georgia" w:ascii="Georgia" w:hAnsi="Georgia"/>
        </w:rPr>
        <w:t xml:space="preserve">2012年：中等收入家庭占比12%</w:t>
      </w:r>
    </w:p>
    <w:p>
      <w:pPr>
        <w:numPr>
          <w:ilvl w:val="0"/>
          <w:numId w:val="25"/>
        </w:numPr>
        <w:spacing w:lineRule="auto"/>
      </w:pPr>
      <w:r>
        <w:rPr>
          <w:rFonts w:eastAsia="Georgia" w:cs="Georgia" w:ascii="Georgia" w:hAnsi="Georgia"/>
        </w:rPr>
        <w:t xml:space="preserve">2020年：中等收入家庭占比28%</w:t>
      </w:r>
    </w:p>
    <w:p>
      <w:pPr>
        <w:numPr>
          <w:ilvl w:val="0"/>
          <w:numId w:val="25"/>
        </w:numPr>
        <w:spacing w:lineRule="auto"/>
      </w:pPr>
      <w:r>
        <w:rPr>
          <w:rFonts w:eastAsia="Georgia" w:cs="Georgia" w:ascii="Georgia" w:hAnsi="Georgia"/>
        </w:rPr>
        <w:t xml:space="preserve">2024年：中等收入家庭占比35-40%</w:t>
      </w:r>
    </w:p>
    <w:p>
      <w:pPr>
        <w:numPr>
          <w:ilvl w:val="0"/>
          <w:numId w:val="25"/>
        </w:numPr>
        <w:spacing w:lineRule="auto"/>
      </w:pPr>
      <w:r>
        <w:rPr>
          <w:b/>
        </w:rPr>
        <w:t xml:space="preserve">预期2030年</w:t>
      </w:r>
      <w:r>
        <w:rPr>
          <w:rFonts w:eastAsia="Georgia" w:cs="Georgia" w:ascii="Georgia" w:hAnsi="Georgia"/>
        </w:rPr>
        <w:t xml:space="preserve">：中等收入家庭占比可达50%+</w:t>
      </w:r>
    </w:p>
    <w:p>
      <w:pPr>
        <w:spacing w:line="271" w:before="240" w:lineRule="auto"/>
      </w:pPr>
      <w:bookmarkStart w:id="24" w:name="二_城市线级分布与地区差异"/>
      <w:r>
        <w:rPr>
          <w:rFonts w:eastAsia="Georgia" w:cs="Georgia" w:ascii="Georgia" w:hAnsi="Georgia"/>
          <w:b/>
          <w:sz w:val="28"/>
        </w:rPr>
        <w:t xml:space="preserve">（二）城市线级分布与地区差异</w:t>
      </w:r>
      <w:bookmarkEnd w:id="24"/>
    </w:p>
    <w:p>
      <w:pPr>
        <w:spacing w:after="210" w:lineRule="auto"/>
      </w:pPr>
      <w:r>
        <w:rPr>
          <w:b/>
        </w:rPr>
        <w:t xml:space="preserve">一二三四线城市的中产比例差异</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城市线级</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中产占比</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绝对人数</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主要特征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一线城市</w:t>
            </w:r>
          </w:p>
        </w:tc>
        <w:tc>
          <w:tcPr>
            <w:tcBorders>
              <w:bottom w:val="single" w:sz="8" w:space="0" w:color="000000"/>
              <w:right w:val="single" w:sz="8" w:space="0" w:color="000000"/>
            </w:tcBorders>
            <w:vAlign w:val="center"/>
          </w:tcPr>
          <w:p>
            <w:pPr>
              <w:spacing w:lineRule="auto"/>
              <w:jc w:val="left"/>
            </w:pPr>
            <w:r>
              <w:rPr/>
              <w:t xml:space="preserve">45-55%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2,500-3,000万</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中产集中，房产均价最高</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新一线城市</w:t>
            </w:r>
          </w:p>
        </w:tc>
        <w:tc>
          <w:tcPr>
            <w:tcBorders>
              <w:bottom w:val="single" w:sz="8" w:space="0" w:color="000000"/>
              <w:right w:val="single" w:sz="8" w:space="0" w:color="000000"/>
            </w:tcBorders>
            <w:vAlign w:val="center"/>
          </w:tcPr>
          <w:p>
            <w:pPr>
              <w:spacing w:lineRule="auto"/>
              <w:jc w:val="left"/>
            </w:pPr>
            <w:r>
              <w:rPr/>
              <w:t xml:space="preserve">30-40%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3,000-4,000万</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增长最快的中产基地</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二线城市</w:t>
            </w:r>
          </w:p>
        </w:tc>
        <w:tc>
          <w:tcPr>
            <w:tcBorders>
              <w:bottom w:val="single" w:sz="8" w:space="0" w:color="000000"/>
              <w:right w:val="single" w:sz="8" w:space="0" w:color="000000"/>
            </w:tcBorders>
            <w:vAlign w:val="center"/>
          </w:tcPr>
          <w:p>
            <w:pPr>
              <w:spacing w:lineRule="auto"/>
              <w:jc w:val="left"/>
            </w:pPr>
            <w:r>
              <w:rPr/>
              <w:t xml:space="preserve">20-30%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5,000-7,000万</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地区中产特征明显差异</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三线以下</w:t>
            </w:r>
          </w:p>
        </w:tc>
        <w:tc>
          <w:tcPr>
            <w:tcBorders>
              <w:bottom w:val="single" w:sz="8" w:space="0" w:color="000000"/>
              <w:right w:val="single" w:sz="8" w:space="0" w:color="000000"/>
            </w:tcBorders>
            <w:vAlign w:val="center"/>
          </w:tcPr>
          <w:p>
            <w:pPr>
              <w:spacing w:lineRule="auto"/>
              <w:jc w:val="left"/>
            </w:pPr>
            <w:r>
              <w:rPr/>
              <w:t xml:space="preserve">8-15%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8,000-10,000万</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中产形成初期</w:t>
            </w:r>
          </w:p>
        </w:tc>
      </w:tr>
    </w:tbl>
    <w:p>
      <w:pPr>
        <w:spacing w:lineRule="auto"/>
      </w:pPr>
    </w:p>
    <w:p>
      <w:pPr>
        <w:spacing w:lineRule="auto"/>
      </w:pPr>
      <w:r>
        <w:rPr>
          <w:rFonts w:eastAsia="Georgia" w:cs="Georgia" w:ascii="Georgia" w:hAnsi="Georgia"/>
        </w:rPr>
        <w:t xml:space="preserve">Table 6: 城市线级中产分布</w:t>
      </w:r>
    </w:p>
    <w:p>
      <w:pPr>
        <w:spacing w:after="210" w:lineRule="auto"/>
      </w:pPr>
      <w:r>
        <w:rPr>
          <w:rFonts w:eastAsia="Georgia" w:cs="Georgia" w:ascii="Georgia" w:hAnsi="Georgia"/>
        </w:rPr>
        <w:t xml:space="preserve">在一定程度上，东部沿海地区（广东、江苏、浙江、福建）的中产人口占比已达40%+，而中西部地区（甘肃、宁夏、贵州等）的中产占比仍低于10%[10]。</w:t>
      </w:r>
    </w:p>
    <w:p>
      <w:pPr>
        <w:spacing w:line="271" w:before="240" w:lineRule="auto"/>
      </w:pPr>
      <w:bookmarkStart w:id="25" w:name="二_中产家庭财务资产与负债结构分析"/>
      <w:r>
        <w:rPr>
          <w:rFonts w:eastAsia="Georgia" w:cs="Georgia" w:ascii="Georgia" w:hAnsi="Georgia"/>
          <w:b/>
          <w:sz w:val="33"/>
        </w:rPr>
        <w:t xml:space="preserve">二、中产家庭财务资产与负债结构分析</w:t>
      </w:r>
      <w:bookmarkEnd w:id="25"/>
    </w:p>
    <w:p>
      <w:pPr>
        <w:spacing w:line="271" w:before="240" w:lineRule="auto"/>
      </w:pPr>
      <w:bookmarkStart w:id="26" w:name="一_总体净资产规模与资产构成"/>
      <w:r>
        <w:rPr>
          <w:rFonts w:eastAsia="Georgia" w:cs="Georgia" w:ascii="Georgia" w:hAnsi="Georgia"/>
          <w:b/>
          <w:sz w:val="28"/>
        </w:rPr>
        <w:t xml:space="preserve">（一）总体净资产规模与资产构成</w:t>
      </w:r>
      <w:bookmarkEnd w:id="26"/>
    </w:p>
    <w:p>
      <w:pPr>
        <w:spacing w:after="210" w:lineRule="auto"/>
      </w:pPr>
      <w:r>
        <w:rPr>
          <w:rFonts w:eastAsia="Georgia" w:cs="Georgia" w:ascii="Georgia" w:hAnsi="Georgia"/>
        </w:rPr>
        <w:t xml:space="preserve">据央行2020年发布的《中国城镇居民资产负债调查》（覆样本12,400个城镇家庭），中产家庭的资产配置呈现典型特征[5]：</w:t>
      </w:r>
    </w:p>
    <w:p>
      <w:pPr>
        <w:spacing w:after="210" w:lineRule="auto"/>
      </w:pPr>
      <w:r>
        <w:rPr>
          <w:b/>
        </w:rPr>
        <w:t xml:space="preserve">家庭户均资产与负债情况</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指标</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城镇全样本</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中产家庭平均</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占比</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户均总资产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318万元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300-400万元</w:t>
            </w:r>
          </w:p>
        </w:tc>
        <w:tc>
          <w:tcPr>
            <w:tcBorders>
              <w:bottom w:val="single" w:sz="8" w:space="0" w:color="000000"/>
              <w:right w:val="single" w:sz="8" w:space="0" w:color="000000"/>
            </w:tcBorders>
            <w:vAlign w:val="center"/>
          </w:tcPr>
          <w:p>
            <w:pPr>
              <w:spacing w:lineRule="auto"/>
              <w:jc w:val="left"/>
            </w:pPr>
            <w:r>
              <w:rPr/>
              <w:t xml:space="preserve">100%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其中：房产资产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187.8万元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210-280万元</w:t>
            </w:r>
          </w:p>
        </w:tc>
        <w:tc>
          <w:tcPr>
            <w:tcBorders>
              <w:bottom w:val="single" w:sz="8" w:space="0" w:color="000000"/>
              <w:right w:val="single" w:sz="8" w:space="0" w:color="000000"/>
            </w:tcBorders>
            <w:vAlign w:val="center"/>
          </w:tcPr>
          <w:p>
            <w:pPr>
              <w:spacing w:lineRule="auto"/>
              <w:jc w:val="left"/>
            </w:pPr>
            <w:r>
              <w:rPr/>
              <w:t xml:space="preserve">70%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其中：金融资产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68.5万元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50-80万元</w:t>
            </w:r>
          </w:p>
        </w:tc>
        <w:tc>
          <w:tcPr>
            <w:tcBorders>
              <w:bottom w:val="single" w:sz="8" w:space="0" w:color="000000"/>
              <w:right w:val="single" w:sz="8" w:space="0" w:color="000000"/>
            </w:tcBorders>
            <w:vAlign w:val="center"/>
          </w:tcPr>
          <w:p>
            <w:pPr>
              <w:spacing w:lineRule="auto"/>
              <w:jc w:val="left"/>
            </w:pPr>
            <w:r>
              <w:rPr/>
              <w:t xml:space="preserve">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其中：其他实物资产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30.5万元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20-40万元</w:t>
            </w:r>
          </w:p>
        </w:tc>
        <w:tc>
          <w:tcPr>
            <w:tcBorders>
              <w:bottom w:val="single" w:sz="8" w:space="0" w:color="000000"/>
              <w:right w:val="single" w:sz="8" w:space="0" w:color="000000"/>
            </w:tcBorders>
            <w:vAlign w:val="center"/>
          </w:tcPr>
          <w:p>
            <w:pPr>
              <w:spacing w:lineRule="auto"/>
              <w:jc w:val="left"/>
            </w:pPr>
            <w:r>
              <w:rPr/>
              <w:t xml:space="preserve">10%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户均负债</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80-120万元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其中：房贷</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52万元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70-100万元</w:t>
            </w:r>
          </w:p>
        </w:tc>
        <w:tc>
          <w:tcPr>
            <w:tcBorders>
              <w:bottom w:val="single" w:sz="8" w:space="0" w:color="000000"/>
              <w:right w:val="single" w:sz="8" w:space="0" w:color="000000"/>
            </w:tcBorders>
            <w:vAlign w:val="center"/>
          </w:tcPr>
          <w:p>
            <w:pPr>
              <w:spacing w:lineRule="auto"/>
              <w:jc w:val="left"/>
            </w:pPr>
            <w:r>
              <w:rPr/>
              <w:t xml:space="preserve">85-90%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其中：其他负债</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8万元</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10-20万元</w:t>
            </w:r>
          </w:p>
        </w:tc>
        <w:tc>
          <w:tcPr>
            <w:tcBorders>
              <w:bottom w:val="single" w:sz="8" w:space="0" w:color="000000"/>
              <w:right w:val="single" w:sz="8" w:space="0" w:color="000000"/>
            </w:tcBorders>
            <w:vAlign w:val="center"/>
          </w:tcPr>
          <w:p>
            <w:pPr>
              <w:spacing w:lineRule="auto"/>
              <w:jc w:val="left"/>
            </w:pPr>
            <w:r>
              <w:rPr/>
              <w:t xml:space="preserve">10-15%</w:t>
            </w:r>
          </w:p>
        </w:tc>
      </w:tr>
    </w:tbl>
    <w:p>
      <w:pPr>
        <w:spacing w:lineRule="auto"/>
      </w:pPr>
    </w:p>
    <w:p>
      <w:pPr>
        <w:spacing w:lineRule="auto"/>
      </w:pPr>
      <w:r>
        <w:rPr>
          <w:rFonts w:eastAsia="Georgia" w:cs="Georgia" w:ascii="Georgia" w:hAnsi="Georgia"/>
        </w:rPr>
        <w:t xml:space="preserve">Table 7: 中产家庭资产负债结构</w:t>
      </w:r>
    </w:p>
    <w:p>
      <w:pPr>
        <w:spacing w:after="210" w:lineRule="auto"/>
      </w:pPr>
      <w:r>
        <w:rPr>
          <w:b/>
        </w:rPr>
        <w:t xml:space="preserve">核心发现：房产占比异常高企</w:t>
      </w:r>
    </w:p>
    <w:p>
      <w:pPr>
        <w:spacing w:after="210" w:lineRule="auto"/>
      </w:pPr>
      <w:r>
        <w:rPr>
          <w:rFonts w:eastAsia="Georgia" w:cs="Georgia" w:ascii="Georgia" w:hAnsi="Georgia"/>
        </w:rPr>
        <w:t xml:space="preserve">在一定程度上，中产家庭对房产资产的高度依赖，既反映了过去20年房地产作为主要财富创造手段的历史事实，也预示了当前房地产市场调整对中产财务安全的潜在威胁。</w:t>
      </w:r>
    </w:p>
    <w:p>
      <w:pPr>
        <w:spacing w:line="271" w:before="240" w:lineRule="auto"/>
      </w:pPr>
      <w:bookmarkStart w:id="27" w:name="二_房产资产细项分析"/>
      <w:r>
        <w:rPr>
          <w:rFonts w:eastAsia="Georgia" w:cs="Georgia" w:ascii="Georgia" w:hAnsi="Georgia"/>
          <w:b/>
          <w:sz w:val="28"/>
        </w:rPr>
        <w:t xml:space="preserve">（二）房产资产细项分析</w:t>
      </w:r>
      <w:bookmarkEnd w:id="27"/>
    </w:p>
    <w:p>
      <w:pPr>
        <w:spacing w:after="210" w:lineRule="auto"/>
      </w:pPr>
      <w:r>
        <w:rPr>
          <w:b/>
        </w:rPr>
        <w:t xml:space="preserve">自住与投资房产的比例</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房产类型</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占家庭房产比例</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典型特征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自住房产</w:t>
            </w:r>
          </w:p>
        </w:tc>
        <w:tc>
          <w:tcPr>
            <w:tcBorders>
              <w:bottom w:val="single" w:sz="8" w:space="0" w:color="000000"/>
              <w:right w:val="single" w:sz="8" w:space="0" w:color="000000"/>
            </w:tcBorders>
            <w:vAlign w:val="center"/>
          </w:tcPr>
          <w:p>
            <w:pPr>
              <w:spacing w:lineRule="auto"/>
              <w:jc w:val="left"/>
            </w:pPr>
            <w:r>
              <w:rPr/>
              <w:t xml:space="preserve">60-70%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一线城市平均单价：40,000-80,000元/m²</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投资房产</w:t>
            </w:r>
          </w:p>
        </w:tc>
        <w:tc>
          <w:tcPr>
            <w:tcBorders>
              <w:bottom w:val="single" w:sz="8" w:space="0" w:color="000000"/>
              <w:right w:val="single" w:sz="8" w:space="0" w:color="000000"/>
            </w:tcBorders>
            <w:vAlign w:val="center"/>
          </w:tcPr>
          <w:p>
            <w:pPr>
              <w:spacing w:lineRule="auto"/>
              <w:jc w:val="left"/>
            </w:pPr>
            <w:r>
              <w:rPr/>
              <w:t xml:space="preserve">20-30%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二手房或城市外围房产</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农村宅基地或老家房产</w:t>
            </w:r>
          </w:p>
        </w:tc>
        <w:tc>
          <w:tcPr>
            <w:tcBorders>
              <w:bottom w:val="single" w:sz="8" w:space="0" w:color="000000"/>
              <w:right w:val="single" w:sz="8" w:space="0" w:color="000000"/>
            </w:tcBorders>
            <w:vAlign w:val="center"/>
          </w:tcPr>
          <w:p>
            <w:pPr>
              <w:spacing w:lineRule="auto"/>
              <w:jc w:val="left"/>
            </w:pPr>
            <w:r>
              <w:rPr/>
              <w:t xml:space="preserve">5-10%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基本无增值潜力</w:t>
            </w:r>
          </w:p>
        </w:tc>
      </w:tr>
    </w:tbl>
    <w:p>
      <w:pPr>
        <w:spacing w:lineRule="auto"/>
      </w:pPr>
    </w:p>
    <w:p>
      <w:pPr>
        <w:spacing w:lineRule="auto"/>
      </w:pPr>
      <w:r>
        <w:rPr>
          <w:rFonts w:eastAsia="Georgia" w:cs="Georgia" w:ascii="Georgia" w:hAnsi="Georgia"/>
        </w:rPr>
        <w:t xml:space="preserve">Table 8: 房产类型分布</w:t>
      </w:r>
    </w:p>
    <w:p>
      <w:pPr>
        <w:spacing w:line="271" w:before="240" w:lineRule="auto"/>
      </w:pPr>
      <w:bookmarkStart w:id="28" w:name="三_金融资产配置的严重不足"/>
      <w:r>
        <w:rPr>
          <w:rFonts w:eastAsia="Georgia" w:cs="Georgia" w:ascii="Georgia" w:hAnsi="Georgia"/>
          <w:b/>
          <w:sz w:val="28"/>
        </w:rPr>
        <w:t xml:space="preserve">（三）金融资产配置的严重不足</w:t>
      </w:r>
      <w:bookmarkEnd w:id="28"/>
    </w:p>
    <w:p>
      <w:pPr>
        <w:spacing w:after="210" w:lineRule="auto"/>
      </w:pPr>
      <w:r>
        <w:rPr>
          <w:b/>
        </w:rPr>
        <w:t xml:space="preserve">金融资产规模与结构</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资产类型</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占金融资产比例</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平均年回报率</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风险评级</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银行存款与货币基金</w:t>
            </w:r>
          </w:p>
        </w:tc>
        <w:tc>
          <w:tcPr>
            <w:tcBorders>
              <w:bottom w:val="single" w:sz="8" w:space="0" w:color="000000"/>
              <w:right w:val="single" w:sz="8" w:space="0" w:color="000000"/>
            </w:tcBorders>
            <w:vAlign w:val="center"/>
          </w:tcPr>
          <w:p>
            <w:pPr>
              <w:spacing w:lineRule="auto"/>
              <w:jc w:val="left"/>
            </w:pPr>
            <w:r>
              <w:rPr/>
              <w:t xml:space="preserve">50-60%</w:t>
            </w:r>
          </w:p>
        </w:tc>
        <w:tc>
          <w:tcPr>
            <w:tcBorders>
              <w:bottom w:val="single" w:sz="8" w:space="0" w:color="000000"/>
              <w:right w:val="single" w:sz="8" w:space="0" w:color="000000"/>
            </w:tcBorders>
            <w:vAlign w:val="center"/>
          </w:tcPr>
          <w:p>
            <w:pPr>
              <w:spacing w:lineRule="auto"/>
              <w:jc w:val="left"/>
            </w:pPr>
            <w:r>
              <w:rPr/>
              <w:t xml:space="preserve">2-3%</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极低</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基金与理财产品</w:t>
            </w:r>
          </w:p>
        </w:tc>
        <w:tc>
          <w:tcPr>
            <w:tcBorders>
              <w:bottom w:val="single" w:sz="8" w:space="0" w:color="000000"/>
              <w:right w:val="single" w:sz="8" w:space="0" w:color="000000"/>
            </w:tcBorders>
            <w:vAlign w:val="center"/>
          </w:tcPr>
          <w:p>
            <w:pPr>
              <w:spacing w:lineRule="auto"/>
              <w:jc w:val="left"/>
            </w:pPr>
            <w:r>
              <w:rPr/>
              <w:t xml:space="preserve">20-25%</w:t>
            </w:r>
          </w:p>
        </w:tc>
        <w:tc>
          <w:tcPr>
            <w:tcBorders>
              <w:bottom w:val="single" w:sz="8" w:space="0" w:color="000000"/>
              <w:right w:val="single" w:sz="8" w:space="0" w:color="000000"/>
            </w:tcBorders>
            <w:vAlign w:val="center"/>
          </w:tcPr>
          <w:p>
            <w:pPr>
              <w:spacing w:lineRule="auto"/>
              <w:jc w:val="left"/>
            </w:pPr>
            <w:r>
              <w:rPr/>
              <w:t xml:space="preserve">4-6%</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低-中</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股票</w:t>
            </w:r>
          </w:p>
        </w:tc>
        <w:tc>
          <w:tcPr>
            <w:tcBorders>
              <w:bottom w:val="single" w:sz="8" w:space="0" w:color="000000"/>
              <w:right w:val="single" w:sz="8" w:space="0" w:color="000000"/>
            </w:tcBorders>
            <w:vAlign w:val="center"/>
          </w:tcPr>
          <w:p>
            <w:pPr>
              <w:spacing w:lineRule="auto"/>
              <w:jc w:val="left"/>
            </w:pPr>
            <w:r>
              <w:rPr/>
              <w:t xml:space="preserve">10-15%</w:t>
            </w:r>
          </w:p>
        </w:tc>
        <w:tc>
          <w:tcPr>
            <w:tcBorders>
              <w:bottom w:val="single" w:sz="8" w:space="0" w:color="000000"/>
              <w:right w:val="single" w:sz="8" w:space="0" w:color="000000"/>
            </w:tcBorders>
            <w:vAlign w:val="center"/>
          </w:tcPr>
          <w:p>
            <w:pPr>
              <w:spacing w:lineRule="auto"/>
              <w:jc w:val="left"/>
            </w:pPr>
            <w:r>
              <w:rPr/>
              <w:t xml:space="preserve">0-8%</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中-高</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保险类产品</w:t>
            </w:r>
          </w:p>
        </w:tc>
        <w:tc>
          <w:tcPr>
            <w:tcBorders>
              <w:bottom w:val="single" w:sz="8" w:space="0" w:color="000000"/>
              <w:right w:val="single" w:sz="8" w:space="0" w:color="000000"/>
            </w:tcBorders>
            <w:vAlign w:val="center"/>
          </w:tcPr>
          <w:p>
            <w:pPr>
              <w:spacing w:lineRule="auto"/>
              <w:jc w:val="left"/>
            </w:pPr>
            <w:r>
              <w:rPr/>
              <w:t xml:space="preserve">5-10%</w:t>
            </w:r>
          </w:p>
        </w:tc>
        <w:tc>
          <w:tcPr>
            <w:tcBorders>
              <w:bottom w:val="single" w:sz="8" w:space="0" w:color="000000"/>
              <w:right w:val="single" w:sz="8" w:space="0" w:color="000000"/>
            </w:tcBorders>
            <w:vAlign w:val="center"/>
          </w:tcPr>
          <w:p>
            <w:pPr>
              <w:spacing w:lineRule="auto"/>
              <w:jc w:val="left"/>
            </w:pPr>
            <w:r>
              <w:rPr/>
              <w:t xml:space="preserve">2-4%</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低</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其他（P2P、数字货币等）</w:t>
            </w:r>
          </w:p>
        </w:tc>
        <w:tc>
          <w:tcPr>
            <w:tcBorders>
              <w:bottom w:val="single" w:sz="8" w:space="0" w:color="000000"/>
              <w:right w:val="single" w:sz="8" w:space="0" w:color="000000"/>
            </w:tcBorders>
            <w:vAlign w:val="center"/>
          </w:tcPr>
          <w:p>
            <w:pPr>
              <w:spacing w:lineRule="auto"/>
              <w:jc w:val="left"/>
            </w:pPr>
            <w:r>
              <w:rPr/>
              <w:t xml:space="preserve">2-5%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变化剧烈</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高</w:t>
            </w:r>
          </w:p>
        </w:tc>
      </w:tr>
    </w:tbl>
    <w:p>
      <w:pPr>
        <w:spacing w:lineRule="auto"/>
      </w:pPr>
    </w:p>
    <w:p>
      <w:pPr>
        <w:spacing w:lineRule="auto"/>
      </w:pPr>
      <w:r>
        <w:rPr>
          <w:rFonts w:eastAsia="Georgia" w:cs="Georgia" w:ascii="Georgia" w:hAnsi="Georgia"/>
        </w:rPr>
        <w:t xml:space="preserve">Table 9: 金融资产内部结构</w:t>
      </w:r>
    </w:p>
    <w:p>
      <w:pPr>
        <w:spacing w:after="210" w:lineRule="auto"/>
      </w:pPr>
      <w:r>
        <w:rPr>
          <w:b/>
        </w:rPr>
        <w:t xml:space="preserve">对标国际发达国家</w:t>
      </w:r>
      <w:r>
        <w:rPr>
          <w:rFonts w:eastAsia="Georgia" w:cs="Georgia" w:ascii="Georgia" w:hAnsi="Georgia"/>
        </w:rPr>
        <w:t xml:space="preserve">：</w:t>
      </w:r>
    </w:p>
    <w:p>
      <w:pPr>
        <w:numPr>
          <w:ilvl w:val="0"/>
          <w:numId w:val="26"/>
        </w:numPr>
        <w:spacing w:lineRule="auto"/>
      </w:pPr>
      <w:r>
        <w:rPr>
          <w:b/>
        </w:rPr>
        <w:t xml:space="preserve">美国中产</w:t>
      </w:r>
      <w:r>
        <w:rPr>
          <w:rFonts w:eastAsia="Georgia" w:cs="Georgia" w:ascii="Georgia" w:hAnsi="Georgia"/>
        </w:rPr>
        <w:t xml:space="preserve">：金融资产占比40-45%，其中股票/基金占比60%+</w:t>
      </w:r>
    </w:p>
    <w:p>
      <w:pPr>
        <w:numPr>
          <w:ilvl w:val="0"/>
          <w:numId w:val="26"/>
        </w:numPr>
        <w:spacing w:lineRule="auto"/>
      </w:pPr>
      <w:r>
        <w:rPr>
          <w:b/>
        </w:rPr>
        <w:t xml:space="preserve">日本中产</w:t>
      </w:r>
      <w:r>
        <w:rPr>
          <w:rFonts w:eastAsia="Georgia" w:cs="Georgia" w:ascii="Georgia" w:hAnsi="Georgia"/>
        </w:rPr>
        <w:t xml:space="preserve">：金融资产占比35-40%，保险与债券占比较高</w:t>
      </w:r>
    </w:p>
    <w:p>
      <w:pPr>
        <w:numPr>
          <w:ilvl w:val="0"/>
          <w:numId w:val="26"/>
        </w:numPr>
        <w:spacing w:lineRule="auto"/>
      </w:pPr>
      <w:r>
        <w:rPr>
          <w:b/>
        </w:rPr>
        <w:t xml:space="preserve">中国中产</w:t>
      </w:r>
      <w:r>
        <w:rPr>
          <w:rFonts w:eastAsia="Georgia" w:cs="Georgia" w:ascii="Georgia" w:hAnsi="Georgia"/>
        </w:rPr>
        <w:t xml:space="preserve">：金融资产占比15-20%，存款占比过高（50-60%），风险资产参与度严重不足[11]</w:t>
      </w:r>
    </w:p>
    <w:p>
      <w:pPr>
        <w:spacing w:line="271" w:before="240" w:lineRule="auto"/>
      </w:pPr>
      <w:bookmarkStart w:id="29" w:name="三_中产阶层的收入来源_消费模式与生活压力"/>
      <w:r>
        <w:rPr>
          <w:rFonts w:eastAsia="Georgia" w:cs="Georgia" w:ascii="Georgia" w:hAnsi="Georgia"/>
          <w:b/>
          <w:sz w:val="33"/>
        </w:rPr>
        <w:t xml:space="preserve">三、中产阶层的收入来源、消费模式与生活压力</w:t>
      </w:r>
      <w:bookmarkEnd w:id="29"/>
    </w:p>
    <w:p>
      <w:pPr>
        <w:spacing w:line="271" w:before="240" w:lineRule="auto"/>
      </w:pPr>
      <w:bookmarkStart w:id="30" w:name="一_收入来源的多样性与稳定性"/>
      <w:r>
        <w:rPr>
          <w:rFonts w:eastAsia="Georgia" w:cs="Georgia" w:ascii="Georgia" w:hAnsi="Georgia"/>
          <w:b/>
          <w:sz w:val="28"/>
        </w:rPr>
        <w:t xml:space="preserve">（一）收入来源的多样性与稳定性</w:t>
      </w:r>
      <w:bookmarkEnd w:id="30"/>
    </w:p>
    <w:p>
      <w:pPr>
        <w:spacing w:after="210" w:lineRule="auto"/>
      </w:pPr>
      <w:r>
        <w:rPr>
          <w:b/>
        </w:rPr>
        <w:t xml:space="preserve">第4级收入特征</w:t>
      </w:r>
      <w:r>
        <w:rPr>
          <w:rFonts w:eastAsia="Georgia" w:cs="Georgia" w:ascii="Georgia" w:hAnsi="Georgia"/>
        </w:rPr>
        <w:t xml:space="preserve">：</w:t>
      </w:r>
    </w:p>
    <w:p>
      <w:pPr>
        <w:numPr>
          <w:ilvl w:val="0"/>
          <w:numId w:val="27"/>
        </w:numPr>
        <w:spacing w:lineRule="auto"/>
      </w:pPr>
      <w:r>
        <w:rPr>
          <w:rFonts w:eastAsia="Georgia" w:cs="Georgia" w:ascii="Georgia" w:hAnsi="Georgia"/>
        </w:rPr>
        <w:t xml:space="preserve">主要来源：工资薪酬（70-80%）、股权激励（10-20%）、投资回报（5-10%）</w:t>
      </w:r>
    </w:p>
    <w:p>
      <w:pPr>
        <w:numPr>
          <w:ilvl w:val="0"/>
          <w:numId w:val="27"/>
        </w:numPr>
        <w:spacing w:lineRule="auto"/>
      </w:pPr>
      <w:r>
        <w:rPr>
          <w:rFonts w:eastAsia="Georgia" w:cs="Georgia" w:ascii="Georgia" w:hAnsi="Georgia"/>
        </w:rPr>
        <w:t xml:space="preserve">年度收入波动率：±10-15%</w:t>
      </w:r>
    </w:p>
    <w:p>
      <w:pPr>
        <w:numPr>
          <w:ilvl w:val="0"/>
          <w:numId w:val="27"/>
        </w:numPr>
        <w:spacing w:lineRule="auto"/>
      </w:pPr>
      <w:r>
        <w:rPr>
          <w:rFonts w:eastAsia="Georgia" w:cs="Georgia" w:ascii="Georgia" w:hAnsi="Georgia"/>
        </w:rPr>
        <w:t xml:space="preserve">收入抗风险能力：相对较强</w:t>
      </w:r>
    </w:p>
    <w:p>
      <w:pPr>
        <w:spacing w:after="210" w:lineRule="auto"/>
      </w:pPr>
      <w:r>
        <w:rPr>
          <w:b/>
        </w:rPr>
        <w:t xml:space="preserve">第5级收入特征</w:t>
      </w:r>
      <w:r>
        <w:rPr>
          <w:rFonts w:eastAsia="Georgia" w:cs="Georgia" w:ascii="Georgia" w:hAnsi="Georgia"/>
        </w:rPr>
        <w:t xml:space="preserve">：</w:t>
      </w:r>
    </w:p>
    <w:p>
      <w:pPr>
        <w:numPr>
          <w:ilvl w:val="0"/>
          <w:numId w:val="28"/>
        </w:numPr>
        <w:spacing w:lineRule="auto"/>
      </w:pPr>
      <w:r>
        <w:rPr>
          <w:rFonts w:eastAsia="Georgia" w:cs="Georgia" w:ascii="Georgia" w:hAnsi="Georgia"/>
        </w:rPr>
        <w:t xml:space="preserve">主要来源：企业分红/利润（50-60%）、工资薪酬（20-30%）、房租/资产回报（10-20%）</w:t>
      </w:r>
    </w:p>
    <w:p>
      <w:pPr>
        <w:numPr>
          <w:ilvl w:val="0"/>
          <w:numId w:val="28"/>
        </w:numPr>
        <w:spacing w:lineRule="auto"/>
      </w:pPr>
      <w:r>
        <w:rPr>
          <w:rFonts w:eastAsia="Georgia" w:cs="Georgia" w:ascii="Georgia" w:hAnsi="Georgia"/>
        </w:rPr>
        <w:t xml:space="preserve">年度收入波动率：±20-40%</w:t>
      </w:r>
    </w:p>
    <w:p>
      <w:pPr>
        <w:numPr>
          <w:ilvl w:val="0"/>
          <w:numId w:val="28"/>
        </w:numPr>
        <w:spacing w:lineRule="auto"/>
      </w:pPr>
      <w:r>
        <w:rPr>
          <w:rFonts w:eastAsia="Georgia" w:cs="Georgia" w:ascii="Georgia" w:hAnsi="Georgia"/>
        </w:rPr>
        <w:t xml:space="preserve">收入抗风险能力：中等</w:t>
      </w:r>
    </w:p>
    <w:p>
      <w:pPr>
        <w:spacing w:after="210" w:lineRule="auto"/>
      </w:pPr>
      <w:r>
        <w:rPr>
          <w:b/>
        </w:rPr>
        <w:t xml:space="preserve">第6级收入特征</w:t>
      </w:r>
      <w:r>
        <w:rPr>
          <w:rFonts w:eastAsia="Georgia" w:cs="Georgia" w:ascii="Georgia" w:hAnsi="Georgia"/>
        </w:rPr>
        <w:t xml:space="preserve">：</w:t>
      </w:r>
    </w:p>
    <w:p>
      <w:pPr>
        <w:numPr>
          <w:ilvl w:val="0"/>
          <w:numId w:val="29"/>
        </w:numPr>
        <w:spacing w:lineRule="auto"/>
      </w:pPr>
      <w:r>
        <w:rPr>
          <w:rFonts w:eastAsia="Georgia" w:cs="Georgia" w:ascii="Georgia" w:hAnsi="Georgia"/>
        </w:rPr>
        <w:t xml:space="preserve">主要来源：工资薪酬（85-95%）、兼职/投资回报（5-15%）</w:t>
      </w:r>
    </w:p>
    <w:p>
      <w:pPr>
        <w:numPr>
          <w:ilvl w:val="0"/>
          <w:numId w:val="29"/>
        </w:numPr>
        <w:spacing w:lineRule="auto"/>
      </w:pPr>
      <w:r>
        <w:rPr>
          <w:rFonts w:eastAsia="Georgia" w:cs="Georgia" w:ascii="Georgia" w:hAnsi="Georgia"/>
        </w:rPr>
        <w:t xml:space="preserve">年度收入波动率：±5-8%</w:t>
      </w:r>
    </w:p>
    <w:p>
      <w:pPr>
        <w:numPr>
          <w:ilvl w:val="0"/>
          <w:numId w:val="29"/>
        </w:numPr>
        <w:spacing w:lineRule="auto"/>
      </w:pPr>
      <w:r>
        <w:rPr>
          <w:rFonts w:eastAsia="Georgia" w:cs="Georgia" w:ascii="Georgia" w:hAnsi="Georgia"/>
        </w:rPr>
        <w:t xml:space="preserve">收入抗风险能力：相对脆弱</w:t>
      </w:r>
    </w:p>
    <w:p>
      <w:pPr>
        <w:spacing w:line="271" w:before="240" w:lineRule="auto"/>
      </w:pPr>
      <w:bookmarkStart w:id="31" w:name="二_典型消费支出结构"/>
      <w:r>
        <w:rPr>
          <w:rFonts w:eastAsia="Georgia" w:cs="Georgia" w:ascii="Georgia" w:hAnsi="Georgia"/>
          <w:b/>
          <w:sz w:val="28"/>
        </w:rPr>
        <w:t xml:space="preserve">（二）典型消费支出结构</w:t>
      </w:r>
      <w:bookmarkEnd w:id="31"/>
    </w:p>
    <w:p>
      <w:pPr>
        <w:spacing w:after="210" w:lineRule="auto"/>
      </w:pPr>
      <w:r>
        <w:rPr>
          <w:rFonts w:eastAsia="Georgia" w:cs="Georgia" w:ascii="Georgia" w:hAnsi="Georgia"/>
        </w:rPr>
        <w:t xml:space="preserve">据麦肯锡对中产消费行为的调研[6]，中产家庭年均消费支出构成如下：</w:t>
      </w:r>
    </w:p>
    <w:p>
      <w:pPr>
        <w:spacing w:after="210" w:lineRule="auto"/>
      </w:pPr>
      <w:r>
        <w:rPr>
          <w:b/>
        </w:rPr>
        <w:t xml:space="preserve">第5级中端中产（年可支配收入30万元）的支出分布</w:t>
      </w:r>
      <w:r>
        <w:rPr>
          <w:rFonts w:eastAsia="Georgia" w:cs="Georgia" w:ascii="Georgia" w:hAnsi="Georgia"/>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支出项目</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支出额</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占比</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房贷月供</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6-8万/年</w:t>
            </w:r>
          </w:p>
        </w:tc>
        <w:tc>
          <w:tcPr>
            <w:tcBorders>
              <w:bottom w:val="single" w:sz="8" w:space="0" w:color="000000"/>
              <w:right w:val="single" w:sz="8" w:space="0" w:color="000000"/>
            </w:tcBorders>
            <w:vAlign w:val="center"/>
          </w:tcPr>
          <w:p>
            <w:pPr>
              <w:spacing w:lineRule="auto"/>
              <w:jc w:val="left"/>
            </w:pPr>
            <w:r>
              <w:rPr/>
              <w:t xml:space="preserve">25-33%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子女教育</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3-4.5万/年</w:t>
            </w:r>
          </w:p>
        </w:tc>
        <w:tc>
          <w:tcPr>
            <w:tcBorders>
              <w:bottom w:val="single" w:sz="8" w:space="0" w:color="000000"/>
              <w:right w:val="single" w:sz="8" w:space="0" w:color="000000"/>
            </w:tcBorders>
            <w:vAlign w:val="center"/>
          </w:tcPr>
          <w:p>
            <w:pPr>
              <w:spacing w:lineRule="auto"/>
              <w:jc w:val="left"/>
            </w:pPr>
            <w:r>
              <w:rPr/>
              <w:t xml:space="preserve">12-18%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车辆养护</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1.5-2万/年</w:t>
            </w:r>
          </w:p>
        </w:tc>
        <w:tc>
          <w:tcPr>
            <w:tcBorders>
              <w:bottom w:val="single" w:sz="8" w:space="0" w:color="000000"/>
              <w:right w:val="single" w:sz="8" w:space="0" w:color="000000"/>
            </w:tcBorders>
            <w:vAlign w:val="center"/>
          </w:tcPr>
          <w:p>
            <w:pPr>
              <w:spacing w:lineRule="auto"/>
              <w:jc w:val="left"/>
            </w:pPr>
            <w:r>
              <w:rPr/>
              <w:t xml:space="preserve">6-8%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日常生活</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4-5万/年</w:t>
            </w:r>
          </w:p>
        </w:tc>
        <w:tc>
          <w:tcPr>
            <w:tcBorders>
              <w:bottom w:val="single" w:sz="8" w:space="0" w:color="000000"/>
              <w:right w:val="single" w:sz="8" w:space="0" w:color="000000"/>
            </w:tcBorders>
            <w:vAlign w:val="center"/>
          </w:tcPr>
          <w:p>
            <w:pPr>
              <w:spacing w:lineRule="auto"/>
              <w:jc w:val="left"/>
            </w:pPr>
            <w:r>
              <w:rPr/>
              <w:t xml:space="preserve">16-21%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医疗健康</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1-1.5万/年</w:t>
            </w:r>
          </w:p>
        </w:tc>
        <w:tc>
          <w:tcPr>
            <w:tcBorders>
              <w:bottom w:val="single" w:sz="8" w:space="0" w:color="000000"/>
              <w:right w:val="single" w:sz="8" w:space="0" w:color="000000"/>
            </w:tcBorders>
            <w:vAlign w:val="center"/>
          </w:tcPr>
          <w:p>
            <w:pPr>
              <w:spacing w:lineRule="auto"/>
              <w:jc w:val="left"/>
            </w:pPr>
            <w:r>
              <w:rPr/>
              <w:t xml:space="preserve">4-6%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父母赡养</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1.5-2万/年</w:t>
            </w:r>
          </w:p>
        </w:tc>
        <w:tc>
          <w:tcPr>
            <w:tcBorders>
              <w:bottom w:val="single" w:sz="8" w:space="0" w:color="000000"/>
              <w:right w:val="single" w:sz="8" w:space="0" w:color="000000"/>
            </w:tcBorders>
            <w:vAlign w:val="center"/>
          </w:tcPr>
          <w:p>
            <w:pPr>
              <w:spacing w:lineRule="auto"/>
              <w:jc w:val="left"/>
            </w:pPr>
            <w:r>
              <w:rPr/>
              <w:t xml:space="preserve">6-8%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旅游休闲</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1-1.5万/年</w:t>
            </w:r>
          </w:p>
        </w:tc>
        <w:tc>
          <w:tcPr>
            <w:tcBorders>
              <w:bottom w:val="single" w:sz="8" w:space="0" w:color="000000"/>
              <w:right w:val="single" w:sz="8" w:space="0" w:color="000000"/>
            </w:tcBorders>
            <w:vAlign w:val="center"/>
          </w:tcPr>
          <w:p>
            <w:pPr>
              <w:spacing w:lineRule="auto"/>
              <w:jc w:val="left"/>
            </w:pPr>
            <w:r>
              <w:rPr/>
              <w:t xml:space="preserve">4-6%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其他</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0.5-1万/年</w:t>
            </w:r>
          </w:p>
        </w:tc>
        <w:tc>
          <w:tcPr>
            <w:tcBorders>
              <w:bottom w:val="single" w:sz="8" w:space="0" w:color="000000"/>
              <w:right w:val="single" w:sz="8" w:space="0" w:color="000000"/>
            </w:tcBorders>
            <w:vAlign w:val="center"/>
          </w:tcPr>
          <w:p>
            <w:pPr>
              <w:spacing w:lineRule="auto"/>
              <w:jc w:val="left"/>
            </w:pPr>
            <w:r>
              <w:rPr/>
              <w:t xml:space="preserve">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年度结余</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4-6万/年</w:t>
            </w:r>
          </w:p>
        </w:tc>
        <w:tc>
          <w:tcPr>
            <w:tcBorders>
              <w:bottom w:val="single" w:sz="8" w:space="0" w:color="000000"/>
              <w:right w:val="single" w:sz="8" w:space="0" w:color="000000"/>
            </w:tcBorders>
            <w:vAlign w:val="center"/>
          </w:tcPr>
          <w:p>
            <w:pPr>
              <w:spacing w:lineRule="auto"/>
              <w:jc w:val="left"/>
            </w:pPr>
            <w:r>
              <w:rPr/>
              <w:t xml:space="preserve">13-25%</w:t>
            </w:r>
          </w:p>
        </w:tc>
      </w:tr>
    </w:tbl>
    <w:p>
      <w:pPr>
        <w:spacing w:lineRule="auto"/>
      </w:pPr>
    </w:p>
    <w:p>
      <w:pPr>
        <w:spacing w:lineRule="auto"/>
      </w:pPr>
      <w:r>
        <w:rPr>
          <w:rFonts w:eastAsia="Georgia" w:cs="Georgia" w:ascii="Georgia" w:hAnsi="Georgia"/>
        </w:rPr>
        <w:t xml:space="preserve">Table 10: 第五级典型消费支出结构</w:t>
      </w:r>
    </w:p>
    <w:p>
      <w:pPr>
        <w:spacing w:line="271" w:before="240" w:lineRule="auto"/>
      </w:pPr>
      <w:bookmarkStart w:id="32" w:name="三_教育支出压力的深层分析"/>
      <w:r>
        <w:rPr>
          <w:rFonts w:eastAsia="Georgia" w:cs="Georgia" w:ascii="Georgia" w:hAnsi="Georgia"/>
          <w:b/>
          <w:sz w:val="28"/>
        </w:rPr>
        <w:t xml:space="preserve">（三）教育支出压力的深层分析</w:t>
      </w:r>
      <w:bookmarkEnd w:id="32"/>
    </w:p>
    <w:p>
      <w:pPr>
        <w:spacing w:after="210" w:lineRule="auto"/>
      </w:pPr>
      <w:r>
        <w:rPr>
          <w:b/>
        </w:rPr>
        <w:t xml:space="preserve">中产家庭教育支出的现状</w:t>
      </w:r>
      <w:r>
        <w:rPr>
          <w:rFonts w:eastAsia="Georgia" w:cs="Georgia" w:ascii="Georgia" w:hAnsi="Georgia"/>
        </w:rPr>
        <w:t xml:space="preserve">：</w:t>
      </w:r>
    </w:p>
    <w:p>
      <w:pPr>
        <w:spacing w:after="210" w:lineRule="auto"/>
      </w:pPr>
      <w:r>
        <w:rPr>
          <w:rFonts w:eastAsia="Georgia" w:cs="Georgia" w:ascii="Georgia" w:hAnsi="Georgia"/>
        </w:rPr>
        <w:t xml:space="preserve">调研显示，中产家庭平均每年教育支出为3-4.5万元，占家庭年收入的12-18%，远高于全国平均的6-8%。这一现象的根本驱动力包括：</w:t>
      </w:r>
    </w:p>
    <w:p>
      <w:pPr>
        <w:numPr>
          <w:ilvl w:val="0"/>
          <w:numId w:val="30"/>
        </w:numPr>
        <w:spacing w:lineRule="auto"/>
      </w:pPr>
      <w:r>
        <w:rPr>
          <w:b/>
        </w:rPr>
        <w:t xml:space="preserve">教育焦虑与竞争压力</w:t>
      </w:r>
      <w:r>
        <w:rPr>
          <w:rFonts w:eastAsia="Georgia" w:cs="Georgia" w:ascii="Georgia" w:hAnsi="Georgia"/>
        </w:rPr>
        <w:t xml:space="preserve">：为保证子女"不输在起跑线"，中产家庭参与课外培训、国际学校就读的比例极高</w:t>
      </w:r>
    </w:p>
    <w:p>
      <w:pPr>
        <w:numPr>
          <w:ilvl w:val="0"/>
          <w:numId w:val="30"/>
        </w:numPr>
        <w:spacing w:lineRule="auto"/>
      </w:pPr>
      <w:r>
        <w:rPr>
          <w:b/>
        </w:rPr>
        <w:t xml:space="preserve">教育产业化的价格膨胀</w:t>
      </w:r>
      <w:r>
        <w:rPr>
          <w:rFonts w:eastAsia="Georgia" w:cs="Georgia" w:ascii="Georgia" w:hAnsi="Georgia"/>
        </w:rPr>
        <w:t xml:space="preserve">：一线城市国际学校年学费15-30万元，课外培训机构年费3-5万元已属常态</w:t>
      </w:r>
    </w:p>
    <w:p>
      <w:pPr>
        <w:numPr>
          <w:ilvl w:val="0"/>
          <w:numId w:val="30"/>
        </w:numPr>
        <w:spacing w:lineRule="auto"/>
      </w:pPr>
      <w:r>
        <w:rPr>
          <w:b/>
        </w:rPr>
        <w:t xml:space="preserve">人力资本溢价传递的理性选择</w:t>
      </w:r>
      <w:r>
        <w:rPr>
          <w:rFonts w:eastAsia="Georgia" w:cs="Georgia" w:ascii="Georgia" w:hAnsi="Georgia"/>
        </w:rPr>
        <w:t xml:space="preserve">：高学历家庭深知教育投入回报率较高</w:t>
      </w:r>
    </w:p>
    <w:p>
      <w:pPr>
        <w:spacing w:line="271" w:before="240" w:lineRule="auto"/>
      </w:pPr>
      <w:bookmarkStart w:id="33" w:name="四_中产阶层面临的结构性风险与脆弱性"/>
      <w:r>
        <w:rPr>
          <w:rFonts w:eastAsia="Georgia" w:cs="Georgia" w:ascii="Georgia" w:hAnsi="Georgia"/>
          <w:b/>
          <w:sz w:val="33"/>
        </w:rPr>
        <w:t xml:space="preserve">四、中产阶层面临的结构性风险与脆弱性</w:t>
      </w:r>
      <w:bookmarkEnd w:id="33"/>
    </w:p>
    <w:p>
      <w:pPr>
        <w:spacing w:line="271" w:before="240" w:lineRule="auto"/>
      </w:pPr>
      <w:bookmarkStart w:id="34" w:name="一_阶层固化指数上升与流动性下降"/>
      <w:r>
        <w:rPr>
          <w:rFonts w:eastAsia="Georgia" w:cs="Georgia" w:ascii="Georgia" w:hAnsi="Georgia"/>
          <w:b/>
          <w:sz w:val="28"/>
        </w:rPr>
        <w:t xml:space="preserve">（一）阶层固化指数上升与流动性下降</w:t>
      </w:r>
      <w:bookmarkEnd w:id="34"/>
    </w:p>
    <w:p>
      <w:pPr>
        <w:spacing w:after="210" w:lineRule="auto"/>
      </w:pPr>
      <w:r>
        <w:rPr>
          <w:b/>
        </w:rPr>
        <w:t xml:space="preserve">社会流动性的历史变化</w:t>
      </w:r>
      <w:r>
        <w:rPr>
          <w:rFonts w:eastAsia="Georgia" w:cs="Georgia" w:ascii="Georgia" w:hAnsi="Georgia"/>
        </w:rPr>
        <w:t xml:space="preserve">：</w:t>
      </w:r>
    </w:p>
    <w:p>
      <w:pPr>
        <w:spacing w:after="210" w:lineRule="auto"/>
      </w:pPr>
      <w:r>
        <w:rPr>
          <w:rFonts w:eastAsia="Georgia" w:cs="Georgia" w:ascii="Georgia" w:hAnsi="Georgia"/>
        </w:rPr>
        <w:t xml:space="preserve">据中国社会科学院《中国社会流动性的变迁及影响因素研究》（2024）[12]：</w:t>
      </w:r>
    </w:p>
    <w:p>
      <w:pPr>
        <w:numPr>
          <w:ilvl w:val="0"/>
          <w:numId w:val="31"/>
        </w:numPr>
        <w:spacing w:lineRule="auto"/>
      </w:pPr>
      <w:r>
        <w:rPr>
          <w:b/>
        </w:rPr>
        <w:t xml:space="preserve">1970-1990年代</w:t>
      </w:r>
      <w:r>
        <w:rPr>
          <w:rFonts w:eastAsia="Georgia" w:cs="Georgia" w:ascii="Georgia" w:hAnsi="Georgia"/>
        </w:rPr>
        <w:t xml:space="preserve">：向上流动概率较高（&gt;30%）</w:t>
      </w:r>
    </w:p>
    <w:p>
      <w:pPr>
        <w:numPr>
          <w:ilvl w:val="0"/>
          <w:numId w:val="31"/>
        </w:numPr>
        <w:spacing w:lineRule="auto"/>
      </w:pPr>
      <w:r>
        <w:rPr>
          <w:b/>
        </w:rPr>
        <w:t xml:space="preserve">2000-2010年代</w:t>
      </w:r>
      <w:r>
        <w:rPr>
          <w:rFonts w:eastAsia="Georgia" w:cs="Georgia" w:ascii="Georgia" w:hAnsi="Georgia"/>
        </w:rPr>
        <w:t xml:space="preserve">：向上流动概率下降至20-25%</w:t>
      </w:r>
    </w:p>
    <w:p>
      <w:pPr>
        <w:numPr>
          <w:ilvl w:val="0"/>
          <w:numId w:val="31"/>
        </w:numPr>
        <w:spacing w:lineRule="auto"/>
      </w:pPr>
      <w:r>
        <w:rPr>
          <w:b/>
        </w:rPr>
        <w:t xml:space="preserve">2010-2020年代</w:t>
      </w:r>
      <w:r>
        <w:rPr>
          <w:rFonts w:eastAsia="Georgia" w:cs="Georgia" w:ascii="Georgia" w:hAnsi="Georgia"/>
        </w:rPr>
        <w:t xml:space="preserve">：向上流动概率进一步下降至15-20%</w:t>
      </w:r>
    </w:p>
    <w:p>
      <w:pPr>
        <w:numPr>
          <w:ilvl w:val="0"/>
          <w:numId w:val="31"/>
        </w:numPr>
        <w:spacing w:lineRule="auto"/>
      </w:pPr>
      <w:r>
        <w:rPr>
          <w:b/>
        </w:rPr>
        <w:t xml:space="preserve">阶层固化指数</w:t>
      </w:r>
      <w:r>
        <w:rPr>
          <w:rFonts w:eastAsia="Georgia" w:cs="Georgia" w:ascii="Georgia" w:hAnsi="Georgia"/>
        </w:rPr>
        <w:t xml:space="preserve">：从2000年的0.35上升至2020年的0.55-0.68</w:t>
      </w:r>
    </w:p>
    <w:p>
      <w:pPr>
        <w:spacing w:after="210" w:lineRule="auto"/>
      </w:pPr>
      <w:r>
        <w:rPr>
          <w:rFonts w:eastAsia="Georgia" w:cs="Georgia" w:ascii="Georgia" w:hAnsi="Georgia"/>
        </w:rPr>
        <w:t xml:space="preserve">在一定程度上，现有中产向上突破至第3-4级的难度已显著上升。</w:t>
      </w:r>
    </w:p>
    <w:p>
      <w:pPr>
        <w:spacing w:line="271" w:before="240" w:lineRule="auto"/>
      </w:pPr>
      <w:bookmarkStart w:id="35" w:name="二_房地产市场调整对中产财务的威胁"/>
      <w:r>
        <w:rPr>
          <w:rFonts w:eastAsia="Georgia" w:cs="Georgia" w:ascii="Georgia" w:hAnsi="Georgia"/>
          <w:b/>
          <w:sz w:val="28"/>
        </w:rPr>
        <w:t xml:space="preserve">（二）房地产市场调整对中产财务的威胁</w:t>
      </w:r>
      <w:bookmarkEnd w:id="35"/>
    </w:p>
    <w:p>
      <w:pPr>
        <w:spacing w:after="210" w:lineRule="auto"/>
      </w:pPr>
      <w:r>
        <w:rPr>
          <w:b/>
        </w:rPr>
        <w:t xml:space="preserve">房地产市场的风险信号</w:t>
      </w:r>
      <w:r>
        <w:rPr>
          <w:rFonts w:eastAsia="Georgia" w:cs="Georgia" w:ascii="Georgia" w:hAnsi="Georgia"/>
        </w:rPr>
        <w:t xml:space="preserve">：</w:t>
      </w:r>
    </w:p>
    <w:p>
      <w:pPr>
        <w:numPr>
          <w:ilvl w:val="0"/>
          <w:numId w:val="32"/>
        </w:numPr>
        <w:spacing w:lineRule="auto"/>
      </w:pPr>
      <w:r>
        <w:rPr>
          <w:b/>
        </w:rPr>
        <w:t xml:space="preserve">房价下行风险</w:t>
      </w:r>
      <w:r>
        <w:rPr>
          <w:rFonts w:eastAsia="Georgia" w:cs="Georgia" w:ascii="Georgia" w:hAnsi="Georgia"/>
        </w:rPr>
        <w:t xml:space="preserve">：2024年以来，中国一二线城市房价同比下降3-8%</w:t>
      </w:r>
    </w:p>
    <w:p>
      <w:pPr>
        <w:numPr>
          <w:ilvl w:val="0"/>
          <w:numId w:val="32"/>
        </w:numPr>
        <w:spacing w:lineRule="auto"/>
      </w:pPr>
      <w:r>
        <w:rPr>
          <w:b/>
        </w:rPr>
        <w:t xml:space="preserve">房租收益率下降</w:t>
      </w:r>
      <w:r>
        <w:rPr>
          <w:rFonts w:eastAsia="Georgia" w:cs="Georgia" w:ascii="Georgia" w:hAnsi="Georgia"/>
        </w:rPr>
        <w:t xml:space="preserve">：一线城市房产年租金收益率已降至2-3%（较历史4-5%的水平）</w:t>
      </w:r>
    </w:p>
    <w:p>
      <w:pPr>
        <w:numPr>
          <w:ilvl w:val="0"/>
          <w:numId w:val="32"/>
        </w:numPr>
        <w:spacing w:lineRule="auto"/>
      </w:pPr>
      <w:r>
        <w:rPr>
          <w:b/>
        </w:rPr>
        <w:t xml:space="preserve">流动性风险</w:t>
      </w:r>
      <w:r>
        <w:rPr>
          <w:rFonts w:eastAsia="Georgia" w:cs="Georgia" w:ascii="Georgia" w:hAnsi="Georgia"/>
        </w:rPr>
        <w:t xml:space="preserve">：房产交易时间长、手续复杂</w:t>
      </w:r>
    </w:p>
    <w:p>
      <w:pPr>
        <w:numPr>
          <w:ilvl w:val="0"/>
          <w:numId w:val="32"/>
        </w:numPr>
        <w:spacing w:lineRule="auto"/>
      </w:pPr>
      <w:r>
        <w:rPr>
          <w:b/>
        </w:rPr>
        <w:t xml:space="preserve">政策调整风险</w:t>
      </w:r>
      <w:r>
        <w:rPr>
          <w:rFonts w:eastAsia="Georgia" w:cs="Georgia" w:ascii="Georgia" w:hAnsi="Georgia"/>
        </w:rPr>
        <w:t xml:space="preserve">：限购、限贷、房产税试点等政策调整可能进一步抑制房价</w:t>
      </w:r>
    </w:p>
    <w:p>
      <w:pPr>
        <w:spacing w:line="271" w:before="240" w:lineRule="auto"/>
      </w:pPr>
      <w:bookmarkStart w:id="36" w:name="三_医疗_养老_教育_三大压力_的持续加重"/>
      <w:r>
        <w:rPr>
          <w:rFonts w:eastAsia="Georgia" w:cs="Georgia" w:ascii="Georgia" w:hAnsi="Georgia"/>
          <w:b/>
          <w:sz w:val="28"/>
        </w:rPr>
        <w:t xml:space="preserve">（三）医疗、养老、教育"三大压力"的持续加重</w:t>
      </w:r>
      <w:bookmarkEnd w:id="36"/>
    </w:p>
    <w:p>
      <w:pPr>
        <w:spacing w:after="210" w:lineRule="auto"/>
      </w:pPr>
      <w:r>
        <w:rPr>
          <w:b/>
        </w:rPr>
        <w:t xml:space="preserve">综合压力分析</w:t>
      </w:r>
      <w:r>
        <w:rPr>
          <w:rFonts w:eastAsia="Georgia" w:cs="Georgia" w:ascii="Georgia" w:hAnsi="Georgia"/>
        </w:rPr>
        <w:t xml:space="preserve">：</w:t>
      </w:r>
    </w:p>
    <w:p>
      <w:pPr>
        <w:spacing w:after="210" w:lineRule="auto"/>
      </w:pPr>
      <w:r>
        <w:rPr>
          <w:rFonts w:eastAsia="Georgia" w:cs="Georgia" w:ascii="Georgia" w:hAnsi="Georgia"/>
        </w:rPr>
        <w:t xml:space="preserve">三大压力形成了"无法承受之重"的局面。假设一个40岁中端中产（年收入30万元、净资产250万元）面临的潜在风险：</w:t>
      </w:r>
    </w:p>
    <w:p>
      <w:pPr>
        <w:spacing w:after="210" w:lineRule="auto"/>
      </w:pPr>
      <w:r>
        <w:rPr>
          <w:rFonts w:eastAsia="Georgia" w:cs="Georgia" w:ascii="Georgia" w:hAnsi="Georgia"/>
        </w:rPr>
        <w:t xml:space="preserve">健康风险：</w:t>
      </w:r>
    </w:p>
    <w:p>
      <w:pPr>
        <w:numPr>
          <w:ilvl w:val="0"/>
          <w:numId w:val="33"/>
        </w:numPr>
        <w:spacing w:lineRule="auto"/>
      </w:pPr>
      <w:r>
        <w:rPr>
          <w:rFonts w:eastAsia="Georgia" w:cs="Georgia" w:ascii="Georgia" w:hAnsi="Georgia"/>
        </w:rPr>
        <w:t xml:space="preserve">重大疾病概率（40-60岁）：5-8%</w:t>
      </w:r>
    </w:p>
    <w:p>
      <w:pPr>
        <w:numPr>
          <w:ilvl w:val="0"/>
          <w:numId w:val="33"/>
        </w:numPr>
        <w:spacing w:lineRule="auto"/>
      </w:pPr>
      <w:r>
        <w:rPr>
          <w:rFonts w:eastAsia="Georgia" w:cs="Georgia" w:ascii="Georgia" w:hAnsi="Georgia"/>
        </w:rPr>
        <w:t xml:space="preserve">若发生，医疗支出可达80-150万元</w:t>
      </w:r>
    </w:p>
    <w:p>
      <w:pPr>
        <w:numPr>
          <w:ilvl w:val="0"/>
          <w:numId w:val="33"/>
        </w:numPr>
        <w:spacing w:lineRule="auto"/>
      </w:pPr>
      <w:r>
        <w:rPr>
          <w:rFonts w:eastAsia="Georgia" w:cs="Georgia" w:ascii="Georgia" w:hAnsi="Georgia"/>
        </w:rPr>
        <w:t xml:space="preserve">现有商业保险覆盖率仅50%</w:t>
      </w:r>
    </w:p>
    <w:p>
      <w:pPr>
        <w:numPr>
          <w:ilvl w:val="0"/>
          <w:numId w:val="33"/>
        </w:numPr>
        <w:spacing w:lineRule="auto"/>
      </w:pPr>
      <w:r>
        <w:rPr>
          <w:rFonts w:eastAsia="Georgia" w:cs="Georgia" w:ascii="Georgia" w:hAnsi="Georgia"/>
        </w:rPr>
        <w:t xml:space="preserve">净暴露风险：40-75万元</w:t>
      </w:r>
    </w:p>
    <w:p>
      <w:pPr>
        <w:spacing w:after="210" w:lineRule="auto"/>
      </w:pPr>
      <w:r>
        <w:rPr>
          <w:rFonts w:eastAsia="Georgia" w:cs="Georgia" w:ascii="Georgia" w:hAnsi="Georgia"/>
        </w:rPr>
        <w:t xml:space="preserve">养老压力（按预期寿命85岁计算）：</w:t>
      </w:r>
    </w:p>
    <w:p>
      <w:pPr>
        <w:numPr>
          <w:ilvl w:val="0"/>
          <w:numId w:val="34"/>
        </w:numPr>
        <w:spacing w:lineRule="auto"/>
      </w:pPr>
      <w:r>
        <w:rPr>
          <w:rFonts w:eastAsia="Georgia" w:cs="Georgia" w:ascii="Georgia" w:hAnsi="Georgia"/>
        </w:rPr>
        <w:t xml:space="preserve">退休后生活支出（45年）：年均18-20万元</w:t>
      </w:r>
    </w:p>
    <w:p>
      <w:pPr>
        <w:numPr>
          <w:ilvl w:val="0"/>
          <w:numId w:val="34"/>
        </w:numPr>
        <w:spacing w:lineRule="auto"/>
      </w:pPr>
      <w:r>
        <w:rPr>
          <w:rFonts w:eastAsia="Georgia" w:cs="Georgia" w:ascii="Georgia" w:hAnsi="Georgia"/>
        </w:rPr>
        <w:t xml:space="preserve">所需储备：约600-800万元</w:t>
      </w:r>
    </w:p>
    <w:p>
      <w:pPr>
        <w:numPr>
          <w:ilvl w:val="0"/>
          <w:numId w:val="34"/>
        </w:numPr>
        <w:spacing w:lineRule="auto"/>
      </w:pPr>
      <w:r>
        <w:rPr>
          <w:rFonts w:eastAsia="Georgia" w:cs="Georgia" w:ascii="Georgia" w:hAnsi="Georgia"/>
        </w:rPr>
        <w:t xml:space="preserve">当前准备程度：仅50-70万元金融资产</w:t>
      </w:r>
    </w:p>
    <w:p>
      <w:pPr>
        <w:numPr>
          <w:ilvl w:val="0"/>
          <w:numId w:val="34"/>
        </w:numPr>
        <w:spacing w:lineRule="auto"/>
      </w:pPr>
      <w:r>
        <w:rPr>
          <w:rFonts w:eastAsia="Georgia" w:cs="Georgia" w:ascii="Georgia" w:hAnsi="Georgia"/>
        </w:rPr>
        <w:t xml:space="preserve">缺口：约530-750万元</w:t>
      </w:r>
    </w:p>
    <w:p>
      <w:pPr>
        <w:spacing w:after="210" w:lineRule="auto"/>
      </w:pPr>
      <w:r>
        <w:rPr>
          <w:rFonts w:eastAsia="Georgia" w:cs="Georgia" w:ascii="Georgia" w:hAnsi="Georgia"/>
        </w:rPr>
        <w:t xml:space="preserve">教育压力（子女0-18岁）：</w:t>
      </w:r>
    </w:p>
    <w:p>
      <w:pPr>
        <w:numPr>
          <w:ilvl w:val="0"/>
          <w:numId w:val="35"/>
        </w:numPr>
        <w:spacing w:lineRule="auto"/>
      </w:pPr>
      <w:r>
        <w:rPr>
          <w:rFonts w:eastAsia="Georgia" w:cs="Georgia" w:ascii="Georgia" w:hAnsi="Georgia"/>
        </w:rPr>
        <w:t xml:space="preserve">平均教育投入：3-4.5万元/年，18年合计54-81万元</w:t>
      </w:r>
    </w:p>
    <w:p>
      <w:pPr>
        <w:numPr>
          <w:ilvl w:val="0"/>
          <w:numId w:val="35"/>
        </w:numPr>
        <w:spacing w:lineRule="auto"/>
      </w:pPr>
      <w:r>
        <w:rPr>
          <w:rFonts w:eastAsia="Georgia" w:cs="Georgia" w:ascii="Georgia" w:hAnsi="Georgia"/>
        </w:rPr>
        <w:t xml:space="preserve">现有储备：10-20万教育基金</w:t>
      </w:r>
    </w:p>
    <w:p>
      <w:pPr>
        <w:numPr>
          <w:ilvl w:val="0"/>
          <w:numId w:val="35"/>
        </w:numPr>
        <w:spacing w:lineRule="auto"/>
      </w:pPr>
      <w:r>
        <w:rPr>
          <w:rFonts w:eastAsia="Georgia" w:cs="Georgia" w:ascii="Georgia" w:hAnsi="Georgia"/>
        </w:rPr>
        <w:t xml:space="preserve">缺口：约40-70万元</w:t>
      </w:r>
    </w:p>
    <w:p>
      <w:pPr>
        <w:spacing w:after="210" w:lineRule="auto"/>
      </w:pPr>
      <w:r>
        <w:rPr>
          <w:rFonts w:eastAsia="Georgia" w:cs="Georgia" w:ascii="Georgia" w:hAnsi="Georgia"/>
        </w:rPr>
        <w:t xml:space="preserve">总风险暴露：约610-895万元</w:t>
      </w:r>
      <w:r>
        <w:rPr/>
        <w:br w:type="textWrapping"/>
      </w:r>
      <w:r>
        <w:rPr>
          <w:rFonts w:eastAsia="Georgia" w:cs="Georgia" w:ascii="Georgia" w:hAnsi="Georgia"/>
        </w:rPr>
        <w:t xml:space="preserve">vs. 家庭净资产：250万元</w:t>
      </w:r>
      <w:r>
        <w:rPr/>
        <w:br w:type="textWrapping"/>
      </w:r>
      <w:r>
        <w:rPr>
          <w:rFonts w:eastAsia="Georgia" w:cs="Georgia" w:ascii="Georgia" w:hAnsi="Georgia"/>
        </w:rPr>
        <w:t xml:space="preserve">覆盖度：28-41%</w:t>
      </w:r>
    </w:p>
    <w:p>
      <w:pPr>
        <w:spacing w:after="210" w:lineRule="auto"/>
      </w:pPr>
      <w:r>
        <w:rPr>
          <w:rFonts w:eastAsia="Georgia" w:cs="Georgia" w:ascii="Georgia" w:hAnsi="Georgia"/>
        </w:rPr>
        <w:t xml:space="preserve">在一定程度上，中产在理想财务规划状态下的"必需储备"远高于其当前净资产水平。</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第四部分_战略建议与政策升维"/>
      <w:r>
        <w:rPr>
          <w:rFonts w:eastAsia="Georgia" w:cs="Georgia" w:ascii="Georgia" w:hAnsi="Georgia"/>
          <w:b/>
          <w:sz w:val="42"/>
        </w:rPr>
        <w:t xml:space="preserve">第四部分 战略建议与政策升维</w:t>
      </w:r>
      <w:bookmarkEnd w:id="37"/>
    </w:p>
    <w:p>
      <w:pPr>
        <w:spacing w:line="271" w:before="240" w:lineRule="auto"/>
      </w:pPr>
      <w:bookmarkStart w:id="38" w:name="一_促进中产壮大的具体措施"/>
      <w:r>
        <w:rPr>
          <w:rFonts w:eastAsia="Georgia" w:cs="Georgia" w:ascii="Georgia" w:hAnsi="Georgia"/>
          <w:b/>
          <w:sz w:val="33"/>
        </w:rPr>
        <w:t xml:space="preserve">一、促进中产壮大的具体措施</w:t>
      </w:r>
      <w:bookmarkEnd w:id="38"/>
    </w:p>
    <w:p>
      <w:pPr>
        <w:spacing w:line="271" w:before="240" w:lineRule="auto"/>
      </w:pPr>
      <w:bookmarkStart w:id="39" w:name="一_收入分配体系的优化"/>
      <w:r>
        <w:rPr>
          <w:rFonts w:eastAsia="Georgia" w:cs="Georgia" w:ascii="Georgia" w:hAnsi="Georgia"/>
          <w:b/>
          <w:sz w:val="28"/>
        </w:rPr>
        <w:t xml:space="preserve">（一）收入分配体系的优化</w:t>
      </w:r>
      <w:bookmarkEnd w:id="39"/>
    </w:p>
    <w:p>
      <w:pPr>
        <w:spacing w:after="210" w:lineRule="auto"/>
      </w:pPr>
      <w:r>
        <w:rPr>
          <w:b/>
        </w:rPr>
        <w:t xml:space="preserve">建议方向</w:t>
      </w:r>
      <w:r>
        <w:rPr>
          <w:rFonts w:eastAsia="Georgia" w:cs="Georgia" w:ascii="Georgia" w:hAnsi="Georgia"/>
        </w:rPr>
        <w:t xml:space="preserve">：</w:t>
      </w:r>
    </w:p>
    <w:p>
      <w:pPr>
        <w:numPr>
          <w:ilvl w:val="0"/>
          <w:numId w:val="36"/>
        </w:numPr>
        <w:spacing w:after="210" w:lineRule="auto"/>
      </w:pPr>
      <w:r>
        <w:rPr>
          <w:b/>
        </w:rPr>
        <w:t xml:space="preserve">完善最低工资标准增长机制</w:t>
      </w:r>
    </w:p>
    <w:p>
      <w:pPr>
        <w:numPr>
          <w:ilvl w:val="1"/>
          <w:numId w:val="36"/>
        </w:numPr>
        <w:spacing w:lineRule="auto"/>
      </w:pPr>
      <w:r>
        <w:rPr>
          <w:rFonts w:eastAsia="Georgia" w:cs="Georgia" w:ascii="Georgia" w:hAnsi="Georgia"/>
        </w:rPr>
        <w:t xml:space="preserve">将最低工资增速与经济增长率、消费物价指数联动</w:t>
      </w:r>
    </w:p>
    <w:p>
      <w:pPr>
        <w:numPr>
          <w:ilvl w:val="1"/>
          <w:numId w:val="36"/>
        </w:numPr>
        <w:spacing w:lineRule="auto"/>
      </w:pPr>
      <w:r>
        <w:rPr>
          <w:rFonts w:eastAsia="Georgia" w:cs="Georgia" w:ascii="Georgia" w:hAnsi="Georgia"/>
        </w:rPr>
        <w:t xml:space="preserve">预期效果：使第7-8级低收入人群加速向第6-7级升移</w:t>
      </w:r>
    </w:p>
    <w:p>
      <w:pPr>
        <w:numPr>
          <w:ilvl w:val="0"/>
          <w:numId w:val="36"/>
        </w:numPr>
        <w:spacing w:after="210" w:lineRule="auto"/>
      </w:pPr>
      <w:r>
        <w:rPr>
          <w:b/>
        </w:rPr>
        <w:t xml:space="preserve">提高中产税收优惠力度</w:t>
      </w:r>
    </w:p>
    <w:p>
      <w:pPr>
        <w:numPr>
          <w:ilvl w:val="1"/>
          <w:numId w:val="36"/>
        </w:numPr>
        <w:spacing w:lineRule="auto"/>
      </w:pPr>
      <w:r>
        <w:rPr>
          <w:rFonts w:eastAsia="Georgia" w:cs="Georgia" w:ascii="Georgia" w:hAnsi="Georgia"/>
        </w:rPr>
        <w:t xml:space="preserve">扩大个税专项附加扣除范围（教育、医疗、养老）</w:t>
      </w:r>
    </w:p>
    <w:p>
      <w:pPr>
        <w:numPr>
          <w:ilvl w:val="1"/>
          <w:numId w:val="36"/>
        </w:numPr>
        <w:spacing w:lineRule="auto"/>
      </w:pPr>
      <w:r>
        <w:rPr>
          <w:rFonts w:eastAsia="Georgia" w:cs="Georgia" w:ascii="Georgia" w:hAnsi="Georgia"/>
        </w:rPr>
        <w:t xml:space="preserve">降低中产实际税负，增加可支配收入5-10%</w:t>
      </w:r>
    </w:p>
    <w:p>
      <w:pPr>
        <w:numPr>
          <w:ilvl w:val="0"/>
          <w:numId w:val="36"/>
        </w:numPr>
        <w:spacing w:after="210" w:lineRule="auto"/>
      </w:pPr>
      <w:r>
        <w:rPr>
          <w:b/>
        </w:rPr>
        <w:t xml:space="preserve">完善股权激励与企业分红制度</w:t>
      </w:r>
    </w:p>
    <w:p>
      <w:pPr>
        <w:numPr>
          <w:ilvl w:val="1"/>
          <w:numId w:val="36"/>
        </w:numPr>
        <w:spacing w:lineRule="auto"/>
      </w:pPr>
      <w:r>
        <w:rPr>
          <w:rFonts w:eastAsia="Georgia" w:cs="Georgia" w:ascii="Georgia" w:hAnsi="Georgia"/>
        </w:rPr>
        <w:t xml:space="preserve">鼓励高新技术企业、创新型企业推行股权激励</w:t>
      </w:r>
    </w:p>
    <w:p>
      <w:pPr>
        <w:numPr>
          <w:ilvl w:val="1"/>
          <w:numId w:val="36"/>
        </w:numPr>
        <w:spacing w:lineRule="auto"/>
      </w:pPr>
      <w:r>
        <w:rPr>
          <w:rFonts w:eastAsia="Georgia" w:cs="Georgia" w:ascii="Georgia" w:hAnsi="Georgia"/>
        </w:rPr>
        <w:t xml:space="preserve">预期效果：第5-6级职业经理人收入提升20-30%</w:t>
      </w:r>
    </w:p>
    <w:p>
      <w:pPr>
        <w:spacing w:line="271" w:before="240" w:lineRule="auto"/>
      </w:pPr>
      <w:bookmarkStart w:id="40" w:name="二_财富配置体系的现代化"/>
      <w:r>
        <w:rPr>
          <w:rFonts w:eastAsia="Georgia" w:cs="Georgia" w:ascii="Georgia" w:hAnsi="Georgia"/>
          <w:b/>
          <w:sz w:val="28"/>
        </w:rPr>
        <w:t xml:space="preserve">（二）财富配置体系的现代化</w:t>
      </w:r>
      <w:bookmarkEnd w:id="40"/>
    </w:p>
    <w:p>
      <w:pPr>
        <w:spacing w:after="210" w:lineRule="auto"/>
      </w:pPr>
      <w:r>
        <w:rPr>
          <w:b/>
        </w:rPr>
        <w:t xml:space="preserve">建议方向</w:t>
      </w:r>
      <w:r>
        <w:rPr>
          <w:rFonts w:eastAsia="Georgia" w:cs="Georgia" w:ascii="Georgia" w:hAnsi="Georgia"/>
        </w:rPr>
        <w:t xml:space="preserve">：</w:t>
      </w:r>
    </w:p>
    <w:p>
      <w:pPr>
        <w:numPr>
          <w:ilvl w:val="0"/>
          <w:numId w:val="37"/>
        </w:numPr>
        <w:spacing w:after="210" w:lineRule="auto"/>
      </w:pPr>
      <w:r>
        <w:rPr>
          <w:b/>
        </w:rPr>
        <w:t xml:space="preserve">发展居民财富管理产业</w:t>
      </w:r>
    </w:p>
    <w:p>
      <w:pPr>
        <w:numPr>
          <w:ilvl w:val="1"/>
          <w:numId w:val="37"/>
        </w:numPr>
        <w:spacing w:lineRule="auto"/>
      </w:pPr>
      <w:r>
        <w:rPr>
          <w:rFonts w:eastAsia="Georgia" w:cs="Georgia" w:ascii="Georgia" w:hAnsi="Georgia"/>
        </w:rPr>
        <w:t xml:space="preserve">降低投资理财的准入门槛</w:t>
      </w:r>
    </w:p>
    <w:p>
      <w:pPr>
        <w:numPr>
          <w:ilvl w:val="1"/>
          <w:numId w:val="37"/>
        </w:numPr>
        <w:spacing w:lineRule="auto"/>
      </w:pPr>
      <w:r>
        <w:rPr>
          <w:rFonts w:eastAsia="Georgia" w:cs="Georgia" w:ascii="Georgia" w:hAnsi="Georgia"/>
        </w:rPr>
        <w:t xml:space="preserve">推广以公募基金、指数基金为核心的"大众财富管理"</w:t>
      </w:r>
    </w:p>
    <w:p>
      <w:pPr>
        <w:numPr>
          <w:ilvl w:val="1"/>
          <w:numId w:val="37"/>
        </w:numPr>
        <w:spacing w:lineRule="auto"/>
      </w:pPr>
      <w:r>
        <w:rPr>
          <w:rFonts w:eastAsia="Georgia" w:cs="Georgia" w:ascii="Georgia" w:hAnsi="Georgia"/>
        </w:rPr>
        <w:t xml:space="preserve">预期效果：中产的金融资产占比从15-20%提升至30-35%</w:t>
      </w:r>
    </w:p>
    <w:p>
      <w:pPr>
        <w:numPr>
          <w:ilvl w:val="0"/>
          <w:numId w:val="37"/>
        </w:numPr>
        <w:spacing w:after="210" w:lineRule="auto"/>
      </w:pPr>
      <w:r>
        <w:rPr>
          <w:b/>
        </w:rPr>
        <w:t xml:space="preserve">推动养老、教育储蓄制度创新</w:t>
      </w:r>
    </w:p>
    <w:p>
      <w:pPr>
        <w:numPr>
          <w:ilvl w:val="1"/>
          <w:numId w:val="37"/>
        </w:numPr>
        <w:spacing w:lineRule="auto"/>
      </w:pPr>
      <w:r>
        <w:rPr>
          <w:rFonts w:eastAsia="Georgia" w:cs="Georgia" w:ascii="Georgia" w:hAnsi="Georgia"/>
        </w:rPr>
        <w:t xml:space="preserve">建立个人养老金制度，提供税收优惠</w:t>
      </w:r>
    </w:p>
    <w:p>
      <w:pPr>
        <w:numPr>
          <w:ilvl w:val="1"/>
          <w:numId w:val="37"/>
        </w:numPr>
        <w:spacing w:lineRule="auto"/>
      </w:pPr>
      <w:r>
        <w:rPr>
          <w:rFonts w:eastAsia="Georgia" w:cs="Georgia" w:ascii="Georgia" w:hAnsi="Georgia"/>
        </w:rPr>
        <w:t xml:space="preserve">推广教育储蓄专项债券</w:t>
      </w:r>
    </w:p>
    <w:p>
      <w:pPr>
        <w:numPr>
          <w:ilvl w:val="0"/>
          <w:numId w:val="37"/>
        </w:numPr>
        <w:spacing w:after="210" w:lineRule="auto"/>
      </w:pPr>
      <w:r>
        <w:rPr>
          <w:b/>
        </w:rPr>
        <w:t xml:space="preserve">规范房产投资与REITs发展</w:t>
      </w:r>
    </w:p>
    <w:p>
      <w:pPr>
        <w:numPr>
          <w:ilvl w:val="1"/>
          <w:numId w:val="37"/>
        </w:numPr>
        <w:spacing w:lineRule="auto"/>
      </w:pPr>
      <w:r>
        <w:rPr>
          <w:rFonts w:eastAsia="Georgia" w:cs="Georgia" w:ascii="Georgia" w:hAnsi="Georgia"/>
        </w:rPr>
        <w:t xml:space="preserve">推动房地产投资信托基金（REITs）发展</w:t>
      </w:r>
    </w:p>
    <w:p>
      <w:pPr>
        <w:numPr>
          <w:ilvl w:val="1"/>
          <w:numId w:val="37"/>
        </w:numPr>
        <w:spacing w:lineRule="auto"/>
      </w:pPr>
      <w:r>
        <w:rPr>
          <w:rFonts w:eastAsia="Georgia" w:cs="Georgia" w:ascii="Georgia" w:hAnsi="Georgia"/>
        </w:rPr>
        <w:t xml:space="preserve">预期效果：降低中产房产过度集中风险</w:t>
      </w:r>
    </w:p>
    <w:p>
      <w:pPr>
        <w:spacing w:line="271" w:before="240" w:lineRule="auto"/>
      </w:pPr>
      <w:bookmarkStart w:id="41" w:name="三_教育与人力资本投资的调整"/>
      <w:r>
        <w:rPr>
          <w:rFonts w:eastAsia="Georgia" w:cs="Georgia" w:ascii="Georgia" w:hAnsi="Georgia"/>
          <w:b/>
          <w:sz w:val="28"/>
        </w:rPr>
        <w:t xml:space="preserve">（三）教育与人力资本投资的调整</w:t>
      </w:r>
      <w:bookmarkEnd w:id="41"/>
    </w:p>
    <w:p>
      <w:pPr>
        <w:spacing w:after="210" w:lineRule="auto"/>
      </w:pPr>
      <w:r>
        <w:rPr>
          <w:b/>
        </w:rPr>
        <w:t xml:space="preserve">建议方向</w:t>
      </w:r>
      <w:r>
        <w:rPr>
          <w:rFonts w:eastAsia="Georgia" w:cs="Georgia" w:ascii="Georgia" w:hAnsi="Georgia"/>
        </w:rPr>
        <w:t xml:space="preserve">：</w:t>
      </w:r>
    </w:p>
    <w:p>
      <w:pPr>
        <w:numPr>
          <w:ilvl w:val="0"/>
          <w:numId w:val="38"/>
        </w:numPr>
        <w:spacing w:after="210" w:lineRule="auto"/>
      </w:pPr>
      <w:r>
        <w:rPr>
          <w:b/>
        </w:rPr>
        <w:t xml:space="preserve">缓解教育支出压力</w:t>
      </w:r>
    </w:p>
    <w:p>
      <w:pPr>
        <w:numPr>
          <w:ilvl w:val="1"/>
          <w:numId w:val="38"/>
        </w:numPr>
        <w:spacing w:lineRule="auto"/>
      </w:pPr>
      <w:r>
        <w:rPr>
          <w:rFonts w:eastAsia="Georgia" w:cs="Georgia" w:ascii="Georgia" w:hAnsi="Georgia"/>
        </w:rPr>
        <w:t xml:space="preserve">扩大公立幼儿园、中小学覆盖面</w:t>
      </w:r>
    </w:p>
    <w:p>
      <w:pPr>
        <w:numPr>
          <w:ilvl w:val="1"/>
          <w:numId w:val="38"/>
        </w:numPr>
        <w:spacing w:lineRule="auto"/>
      </w:pPr>
      <w:r>
        <w:rPr>
          <w:rFonts w:eastAsia="Georgia" w:cs="Georgia" w:ascii="Georgia" w:hAnsi="Georgia"/>
        </w:rPr>
        <w:t xml:space="preserve">严格规范课外培训收费</w:t>
      </w:r>
    </w:p>
    <w:p>
      <w:pPr>
        <w:numPr>
          <w:ilvl w:val="1"/>
          <w:numId w:val="38"/>
        </w:numPr>
        <w:spacing w:lineRule="auto"/>
      </w:pPr>
      <w:r>
        <w:rPr>
          <w:rFonts w:eastAsia="Georgia" w:cs="Georgia" w:ascii="Georgia" w:hAnsi="Georgia"/>
        </w:rPr>
        <w:t xml:space="preserve">预期效果：中产教育支出占比从12-18%降至8-10%</w:t>
      </w:r>
    </w:p>
    <w:p>
      <w:pPr>
        <w:numPr>
          <w:ilvl w:val="0"/>
          <w:numId w:val="38"/>
        </w:numPr>
        <w:spacing w:after="210" w:lineRule="auto"/>
      </w:pPr>
      <w:r>
        <w:rPr>
          <w:b/>
        </w:rPr>
        <w:t xml:space="preserve">优化高等教育结构</w:t>
      </w:r>
    </w:p>
    <w:p>
      <w:pPr>
        <w:numPr>
          <w:ilvl w:val="1"/>
          <w:numId w:val="38"/>
        </w:numPr>
        <w:spacing w:lineRule="auto"/>
      </w:pPr>
      <w:r>
        <w:rPr>
          <w:rFonts w:eastAsia="Georgia" w:cs="Georgia" w:ascii="Georgia" w:hAnsi="Georgia"/>
        </w:rPr>
        <w:t xml:space="preserve">推进一流大学建设</w:t>
      </w:r>
    </w:p>
    <w:p>
      <w:pPr>
        <w:numPr>
          <w:ilvl w:val="1"/>
          <w:numId w:val="38"/>
        </w:numPr>
        <w:spacing w:lineRule="auto"/>
      </w:pPr>
      <w:r>
        <w:rPr>
          <w:rFonts w:eastAsia="Georgia" w:cs="Georgia" w:ascii="Georgia" w:hAnsi="Georgia"/>
        </w:rPr>
        <w:t xml:space="preserve">鼓励应用型大学建设</w:t>
      </w:r>
    </w:p>
    <w:p>
      <w:pPr>
        <w:numPr>
          <w:ilvl w:val="1"/>
          <w:numId w:val="38"/>
        </w:numPr>
        <w:spacing w:lineRule="auto"/>
      </w:pPr>
      <w:r>
        <w:rPr>
          <w:rFonts w:eastAsia="Georgia" w:cs="Georgia" w:ascii="Georgia" w:hAnsi="Georgia"/>
        </w:rPr>
        <w:t xml:space="preserve">完善终身学习体系</w:t>
      </w:r>
    </w:p>
    <w:p>
      <w:pPr>
        <w:spacing w:line="271" w:before="240" w:lineRule="auto"/>
      </w:pPr>
      <w:bookmarkStart w:id="42" w:name="四_地区发展均衡化"/>
      <w:r>
        <w:rPr>
          <w:rFonts w:eastAsia="Georgia" w:cs="Georgia" w:ascii="Georgia" w:hAnsi="Georgia"/>
          <w:b/>
          <w:sz w:val="28"/>
        </w:rPr>
        <w:t xml:space="preserve">（四）地区发展均衡化</w:t>
      </w:r>
      <w:bookmarkEnd w:id="42"/>
    </w:p>
    <w:p>
      <w:pPr>
        <w:spacing w:after="210" w:lineRule="auto"/>
      </w:pPr>
      <w:r>
        <w:rPr>
          <w:b/>
        </w:rPr>
        <w:t xml:space="preserve">建议方向</w:t>
      </w:r>
      <w:r>
        <w:rPr>
          <w:rFonts w:eastAsia="Georgia" w:cs="Georgia" w:ascii="Georgia" w:hAnsi="Georgia"/>
        </w:rPr>
        <w:t xml:space="preserve">：</w:t>
      </w:r>
    </w:p>
    <w:p>
      <w:pPr>
        <w:numPr>
          <w:ilvl w:val="0"/>
          <w:numId w:val="39"/>
        </w:numPr>
        <w:spacing w:after="210" w:lineRule="auto"/>
      </w:pPr>
      <w:r>
        <w:rPr>
          <w:b/>
        </w:rPr>
        <w:t xml:space="preserve">推进国家中心城市群建设</w:t>
      </w:r>
    </w:p>
    <w:p>
      <w:pPr>
        <w:numPr>
          <w:ilvl w:val="1"/>
          <w:numId w:val="39"/>
        </w:numPr>
        <w:spacing w:lineRule="auto"/>
      </w:pPr>
      <w:r>
        <w:rPr>
          <w:rFonts w:eastAsia="Georgia" w:cs="Georgia" w:ascii="Georgia" w:hAnsi="Georgia"/>
        </w:rPr>
        <w:t xml:space="preserve">加快新一线城市（杭州、南京、武汉、成都等）产业升级</w:t>
      </w:r>
    </w:p>
    <w:p>
      <w:pPr>
        <w:numPr>
          <w:ilvl w:val="1"/>
          <w:numId w:val="39"/>
        </w:numPr>
        <w:spacing w:lineRule="auto"/>
      </w:pPr>
      <w:r>
        <w:rPr>
          <w:rFonts w:eastAsia="Georgia" w:cs="Georgia" w:ascii="Georgia" w:hAnsi="Georgia"/>
        </w:rPr>
        <w:t xml:space="preserve">创造高薪就业机会</w:t>
      </w:r>
    </w:p>
    <w:p>
      <w:pPr>
        <w:numPr>
          <w:ilvl w:val="0"/>
          <w:numId w:val="39"/>
        </w:numPr>
        <w:spacing w:after="210" w:lineRule="auto"/>
      </w:pPr>
      <w:r>
        <w:rPr>
          <w:b/>
        </w:rPr>
        <w:t xml:space="preserve">建立区域产业转移与人才流动激励机制</w:t>
      </w:r>
    </w:p>
    <w:p>
      <w:pPr>
        <w:numPr>
          <w:ilvl w:val="1"/>
          <w:numId w:val="39"/>
        </w:numPr>
        <w:spacing w:lineRule="auto"/>
      </w:pPr>
      <w:r>
        <w:rPr>
          <w:rFonts w:eastAsia="Georgia" w:cs="Georgia" w:ascii="Georgia" w:hAnsi="Georgia"/>
        </w:rPr>
        <w:t xml:space="preserve">对迁往中西部地区创业的中产提供税收优惠</w:t>
      </w:r>
    </w:p>
    <w:p>
      <w:pPr>
        <w:numPr>
          <w:ilvl w:val="1"/>
          <w:numId w:val="39"/>
        </w:numPr>
        <w:spacing w:lineRule="auto"/>
      </w:pPr>
      <w:r>
        <w:rPr>
          <w:rFonts w:eastAsia="Georgia" w:cs="Georgia" w:ascii="Georgia" w:hAnsi="Georgia"/>
        </w:rPr>
        <w:t xml:space="preserve">建立"人才流动保障制度"</w:t>
      </w:r>
    </w:p>
    <w:p>
      <w:pPr>
        <w:spacing w:line="271" w:before="240" w:lineRule="auto"/>
      </w:pPr>
      <w:bookmarkStart w:id="43" w:name="二_与国家战略目标的关联"/>
      <w:r>
        <w:rPr>
          <w:rFonts w:eastAsia="Georgia" w:cs="Georgia" w:ascii="Georgia" w:hAnsi="Georgia"/>
          <w:b/>
          <w:sz w:val="33"/>
        </w:rPr>
        <w:t xml:space="preserve">二、与国家战略目标的关联</w:t>
      </w:r>
      <w:bookmarkEnd w:id="43"/>
    </w:p>
    <w:p>
      <w:pPr>
        <w:spacing w:line="271" w:before="240" w:lineRule="auto"/>
      </w:pPr>
      <w:bookmarkStart w:id="44" w:name="一_共同富裕_战略的实现路径"/>
      <w:r>
        <w:rPr>
          <w:rFonts w:eastAsia="Georgia" w:cs="Georgia" w:ascii="Georgia" w:hAnsi="Georgia"/>
          <w:b/>
          <w:sz w:val="28"/>
        </w:rPr>
        <w:t xml:space="preserve">（一）"共同富裕"战略的实现路径</w:t>
      </w:r>
      <w:bookmarkEnd w:id="44"/>
    </w:p>
    <w:p>
      <w:pPr>
        <w:spacing w:after="210" w:lineRule="auto"/>
      </w:pPr>
      <w:r>
        <w:rPr>
          <w:b/>
        </w:rPr>
        <w:t xml:space="preserve">宏观逻辑框架</w:t>
      </w:r>
      <w:r>
        <w:rPr>
          <w:rFonts w:eastAsia="Georgia" w:cs="Georgia" w:ascii="Georgia" w:hAnsi="Georgia"/>
        </w:rPr>
        <w:t xml:space="preserve">：</w:t>
      </w:r>
    </w:p>
    <w:p>
      <w:pPr>
        <w:spacing w:after="210" w:lineRule="auto"/>
      </w:pPr>
      <w:r>
        <w:rPr>
          <w:rFonts w:eastAsia="Georgia" w:cs="Georgia" w:ascii="Georgia" w:hAnsi="Georgia"/>
        </w:rPr>
        <w:t xml:space="preserve">共同富裕战略目标在三个层面体现：</w:t>
      </w:r>
    </w:p>
    <w:p>
      <w:pPr>
        <w:numPr>
          <w:ilvl w:val="0"/>
          <w:numId w:val="40"/>
        </w:numPr>
        <w:spacing w:lineRule="auto"/>
      </w:pPr>
      <w:r>
        <w:rPr>
          <w:b/>
        </w:rPr>
        <w:t xml:space="preserve">宏观层面</w:t>
      </w:r>
      <w:r>
        <w:rPr>
          <w:rFonts w:eastAsia="Georgia" w:cs="Georgia" w:ascii="Georgia" w:hAnsi="Georgia"/>
        </w:rPr>
        <w:t xml:space="preserve">：中产占比从35%提升至50-60%（2030年目标）</w:t>
      </w:r>
    </w:p>
    <w:p>
      <w:pPr>
        <w:numPr>
          <w:ilvl w:val="0"/>
          <w:numId w:val="40"/>
        </w:numPr>
        <w:spacing w:lineRule="auto"/>
      </w:pPr>
      <w:r>
        <w:rPr>
          <w:b/>
        </w:rPr>
        <w:t xml:space="preserve">分配层面</w:t>
      </w:r>
      <w:r>
        <w:rPr>
          <w:rFonts w:eastAsia="Georgia" w:cs="Georgia" w:ascii="Georgia" w:hAnsi="Georgia"/>
        </w:rPr>
        <w:t xml:space="preserve">：基尼系数从0.47降至0.35-0.40</w:t>
      </w:r>
    </w:p>
    <w:p>
      <w:pPr>
        <w:numPr>
          <w:ilvl w:val="0"/>
          <w:numId w:val="40"/>
        </w:numPr>
        <w:spacing w:lineRule="auto"/>
      </w:pPr>
      <w:r>
        <w:rPr>
          <w:b/>
        </w:rPr>
        <w:t xml:space="preserve">结构层面</w:t>
      </w:r>
      <w:r>
        <w:rPr>
          <w:rFonts w:eastAsia="Georgia" w:cs="Georgia" w:ascii="Georgia" w:hAnsi="Georgia"/>
        </w:rPr>
        <w:t xml:space="preserve">：实现从"金字塔形"向"纺锤形"社会结构的转变</w:t>
      </w:r>
    </w:p>
    <w:p>
      <w:pPr>
        <w:spacing w:line="271" w:before="240" w:lineRule="auto"/>
      </w:pPr>
      <w:bookmarkStart w:id="45" w:name="二_双循环_发展格局与中产消费的关键作用"/>
      <w:r>
        <w:rPr>
          <w:rFonts w:eastAsia="Georgia" w:cs="Georgia" w:ascii="Georgia" w:hAnsi="Georgia"/>
          <w:b/>
          <w:sz w:val="28"/>
        </w:rPr>
        <w:t xml:space="preserve">（二）"双循环"发展格局与中产消费的关键作用</w:t>
      </w:r>
      <w:bookmarkEnd w:id="45"/>
    </w:p>
    <w:p>
      <w:pPr>
        <w:spacing w:after="210" w:lineRule="auto"/>
      </w:pPr>
      <w:r>
        <w:rPr>
          <w:b/>
        </w:rPr>
        <w:t xml:space="preserve">经济学逻辑</w:t>
      </w:r>
      <w:r>
        <w:rPr>
          <w:rFonts w:eastAsia="Georgia" w:cs="Georgia" w:ascii="Georgia" w:hAnsi="Georgia"/>
        </w:rPr>
        <w:t xml:space="preserve">：</w:t>
      </w:r>
    </w:p>
    <w:p>
      <w:pPr>
        <w:numPr>
          <w:ilvl w:val="0"/>
          <w:numId w:val="41"/>
        </w:numPr>
        <w:spacing w:lineRule="auto"/>
      </w:pPr>
      <w:r>
        <w:rPr>
          <w:b/>
        </w:rPr>
        <w:t xml:space="preserve">内循环核心驱动力</w:t>
      </w:r>
      <w:r>
        <w:rPr>
          <w:rFonts w:eastAsia="Georgia" w:cs="Georgia" w:ascii="Georgia" w:hAnsi="Georgia"/>
        </w:rPr>
        <w:t xml:space="preserve">：国内消费</w:t>
      </w:r>
    </w:p>
    <w:p>
      <w:pPr>
        <w:numPr>
          <w:ilvl w:val="0"/>
          <w:numId w:val="41"/>
        </w:numPr>
        <w:spacing w:lineRule="auto"/>
      </w:pPr>
      <w:r>
        <w:rPr>
          <w:b/>
        </w:rPr>
        <w:t xml:space="preserve">内循环的消费主体</w:t>
      </w:r>
      <w:r>
        <w:rPr>
          <w:rFonts w:eastAsia="Georgia" w:cs="Georgia" w:ascii="Georgia" w:hAnsi="Georgia"/>
        </w:rPr>
        <w:t xml:space="preserve">：中产阶层（年收入10-100万元的4-5亿人）</w:t>
      </w:r>
    </w:p>
    <w:p>
      <w:pPr>
        <w:numPr>
          <w:ilvl w:val="0"/>
          <w:numId w:val="41"/>
        </w:numPr>
        <w:spacing w:lineRule="auto"/>
      </w:pPr>
      <w:r>
        <w:rPr>
          <w:b/>
        </w:rPr>
        <w:t xml:space="preserve">当前制约因素</w:t>
      </w:r>
      <w:r>
        <w:rPr>
          <w:rFonts w:eastAsia="Georgia" w:cs="Georgia" w:ascii="Georgia" w:hAnsi="Georgia"/>
        </w:rPr>
        <w:t xml:space="preserve">：中产预防性储蓄过高（储蓄率30-40%）</w:t>
      </w:r>
    </w:p>
    <w:p>
      <w:pPr>
        <w:spacing w:after="210" w:lineRule="auto"/>
      </w:pPr>
      <w:r>
        <w:rPr>
          <w:rFonts w:eastAsia="Georgia" w:cs="Georgia" w:ascii="Georgia" w:hAnsi="Georgia"/>
        </w:rPr>
        <w:t xml:space="preserve">在一定程度上，若中产消费倾向能从70-75%提升至75-80%，则消费需求可增加500-800亿元/年。</w:t>
      </w:r>
    </w:p>
    <w:p>
      <w:pPr>
        <w:spacing w:line="271" w:before="240" w:lineRule="auto"/>
      </w:pPr>
      <w:bookmarkStart w:id="46" w:name="三_扩大中等收入群体_的量化目标"/>
      <w:r>
        <w:rPr>
          <w:rFonts w:eastAsia="Georgia" w:cs="Georgia" w:ascii="Georgia" w:hAnsi="Georgia"/>
          <w:b/>
          <w:sz w:val="28"/>
        </w:rPr>
        <w:t xml:space="preserve">（三）"扩大中等收入群体"的量化目标</w:t>
      </w:r>
      <w:bookmarkEnd w:id="46"/>
    </w:p>
    <w:p>
      <w:pPr>
        <w:spacing w:after="210" w:lineRule="auto"/>
      </w:pPr>
      <w:r>
        <w:rPr>
          <w:b/>
        </w:rPr>
        <w:t xml:space="preserve">官方目标设定</w:t>
      </w:r>
      <w:r>
        <w:rPr>
          <w:rFonts w:eastAsia="Georgia" w:cs="Georgia" w:ascii="Georgia" w:hAnsi="Georgia"/>
        </w:rPr>
        <w:t xml:space="preserve">（据"十四五"规划）[13]：</w:t>
      </w:r>
    </w:p>
    <w:p>
      <w:pPr>
        <w:numPr>
          <w:ilvl w:val="0"/>
          <w:numId w:val="42"/>
        </w:numPr>
        <w:spacing w:lineRule="auto"/>
      </w:pPr>
      <w:r>
        <w:rPr>
          <w:b/>
        </w:rPr>
        <w:t xml:space="preserve">2020年基数</w:t>
      </w:r>
      <w:r>
        <w:rPr>
          <w:rFonts w:eastAsia="Georgia" w:cs="Georgia" w:ascii="Georgia" w:hAnsi="Georgia"/>
        </w:rPr>
        <w:t xml:space="preserve">：中等收入人群约4亿人</w:t>
      </w:r>
    </w:p>
    <w:p>
      <w:pPr>
        <w:numPr>
          <w:ilvl w:val="0"/>
          <w:numId w:val="42"/>
        </w:numPr>
        <w:spacing w:lineRule="auto"/>
      </w:pPr>
      <w:r>
        <w:rPr>
          <w:b/>
        </w:rPr>
        <w:t xml:space="preserve">2025年目标</w:t>
      </w:r>
      <w:r>
        <w:rPr>
          <w:rFonts w:eastAsia="Georgia" w:cs="Georgia" w:ascii="Georgia" w:hAnsi="Georgia"/>
        </w:rPr>
        <w:t xml:space="preserve">：中等收入人群超过5亿人</w:t>
      </w:r>
    </w:p>
    <w:p>
      <w:pPr>
        <w:numPr>
          <w:ilvl w:val="0"/>
          <w:numId w:val="42"/>
        </w:numPr>
        <w:spacing w:lineRule="auto"/>
      </w:pPr>
      <w:r>
        <w:rPr>
          <w:b/>
        </w:rPr>
        <w:t xml:space="preserve">2030年目标</w:t>
      </w:r>
      <w:r>
        <w:rPr>
          <w:rFonts w:eastAsia="Georgia" w:cs="Georgia" w:ascii="Georgia" w:hAnsi="Georgia"/>
        </w:rPr>
        <w:t xml:space="preserve">：中等收入人群超过6-7亿人</w:t>
      </w:r>
    </w:p>
    <w:p>
      <w:pPr>
        <w:spacing w:after="210" w:lineRule="auto"/>
      </w:pPr>
      <w:r>
        <w:rPr>
          <w:rFonts w:eastAsia="Georgia" w:cs="Georgia" w:ascii="Georgia" w:hAnsi="Georgia"/>
        </w:rPr>
        <w:t xml:space="preserve">要实现上述目标，需要年均新增中产人群约2,000-2,500万人，目标具有可达性。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第五部分_结论与前瞻"/>
      <w:r>
        <w:rPr>
          <w:rFonts w:eastAsia="Georgia" w:cs="Georgia" w:ascii="Georgia" w:hAnsi="Georgia"/>
          <w:b/>
          <w:sz w:val="42"/>
        </w:rPr>
        <w:t xml:space="preserve">第五部分 结论与前瞻</w:t>
      </w:r>
      <w:bookmarkEnd w:id="47"/>
    </w:p>
    <w:p>
      <w:pPr>
        <w:spacing w:line="271" w:before="240" w:lineRule="auto"/>
      </w:pPr>
      <w:bookmarkStart w:id="48" w:name="一_关键结论"/>
      <w:r>
        <w:rPr>
          <w:rFonts w:eastAsia="Georgia" w:cs="Georgia" w:ascii="Georgia" w:hAnsi="Georgia"/>
          <w:b/>
          <w:sz w:val="33"/>
        </w:rPr>
        <w:t xml:space="preserve">一、关键结论</w:t>
      </w:r>
      <w:bookmarkEnd w:id="48"/>
    </w:p>
    <w:p>
      <w:pPr>
        <w:spacing w:line="271" w:before="240" w:lineRule="auto"/>
      </w:pPr>
      <w:bookmarkStart w:id="49" w:name="一_中国中产阶层已成为推动经济转型的中坚力量"/>
      <w:r>
        <w:rPr>
          <w:rFonts w:eastAsia="Georgia" w:cs="Georgia" w:ascii="Georgia" w:hAnsi="Georgia"/>
          <w:b/>
          <w:sz w:val="28"/>
        </w:rPr>
        <w:t xml:space="preserve">（一）中国中产阶层已成为推动经济转型的中坚力量</w:t>
      </w:r>
      <w:bookmarkEnd w:id="49"/>
    </w:p>
    <w:p>
      <w:pPr>
        <w:spacing w:after="210" w:lineRule="auto"/>
      </w:pPr>
      <w:r>
        <w:rPr>
          <w:b/>
        </w:rPr>
        <w:t xml:space="preserve">核心证据</w:t>
      </w:r>
      <w:r>
        <w:rPr>
          <w:rFonts w:eastAsia="Georgia" w:cs="Georgia" w:ascii="Georgia" w:hAnsi="Georgia"/>
        </w:rPr>
        <w:t xml:space="preserve">：</w:t>
      </w:r>
    </w:p>
    <w:p>
      <w:pPr>
        <w:numPr>
          <w:ilvl w:val="0"/>
          <w:numId w:val="43"/>
        </w:numPr>
        <w:spacing w:lineRule="auto"/>
      </w:pPr>
      <w:r>
        <w:rPr>
          <w:rFonts w:eastAsia="Georgia" w:cs="Georgia" w:ascii="Georgia" w:hAnsi="Georgia"/>
        </w:rPr>
        <w:t xml:space="preserve">中产人口已超过4亿，占城市人口40%+</w:t>
      </w:r>
    </w:p>
    <w:p>
      <w:pPr>
        <w:numPr>
          <w:ilvl w:val="0"/>
          <w:numId w:val="43"/>
        </w:numPr>
        <w:spacing w:lineRule="auto"/>
      </w:pPr>
      <w:r>
        <w:rPr>
          <w:rFonts w:eastAsia="Georgia" w:cs="Georgia" w:ascii="Georgia" w:hAnsi="Georgia"/>
        </w:rPr>
        <w:t xml:space="preserve">中产消费对社会消费品零售总额的贡献度&gt;60%</w:t>
      </w:r>
    </w:p>
    <w:p>
      <w:pPr>
        <w:numPr>
          <w:ilvl w:val="0"/>
          <w:numId w:val="43"/>
        </w:numPr>
        <w:spacing w:lineRule="auto"/>
      </w:pPr>
      <w:r>
        <w:rPr>
          <w:rFonts w:eastAsia="Georgia" w:cs="Georgia" w:ascii="Georgia" w:hAnsi="Georgia"/>
        </w:rPr>
        <w:t xml:space="preserve">中产对高端产品、服务的驱动最为显著</w:t>
      </w:r>
    </w:p>
    <w:p>
      <w:pPr>
        <w:spacing w:line="271" w:before="240" w:lineRule="auto"/>
      </w:pPr>
      <w:bookmarkStart w:id="50" w:name="二_中产财务脆弱性高于表面印象"/>
      <w:r>
        <w:rPr>
          <w:rFonts w:eastAsia="Georgia" w:cs="Georgia" w:ascii="Georgia" w:hAnsi="Georgia"/>
          <w:b/>
          <w:sz w:val="28"/>
        </w:rPr>
        <w:t xml:space="preserve">（二）中产财务脆弱性高于表面印象</w:t>
      </w:r>
      <w:bookmarkEnd w:id="50"/>
    </w:p>
    <w:p>
      <w:pPr>
        <w:spacing w:after="210" w:lineRule="auto"/>
      </w:pPr>
      <w:r>
        <w:rPr>
          <w:b/>
        </w:rPr>
        <w:t xml:space="preserve">核心数据</w:t>
      </w:r>
      <w:r>
        <w:rPr>
          <w:rFonts w:eastAsia="Georgia" w:cs="Georgia" w:ascii="Georgia" w:hAnsi="Georgia"/>
        </w:rPr>
        <w:t xml:space="preserve">：</w:t>
      </w:r>
    </w:p>
    <w:p>
      <w:pPr>
        <w:numPr>
          <w:ilvl w:val="0"/>
          <w:numId w:val="44"/>
        </w:numPr>
        <w:spacing w:lineRule="auto"/>
      </w:pPr>
      <w:r>
        <w:rPr>
          <w:rFonts w:eastAsia="Georgia" w:cs="Georgia" w:ascii="Georgia" w:hAnsi="Georgia"/>
        </w:rPr>
        <w:t xml:space="preserve">房产占比70%+，金融资产占比仅15-20%</w:t>
      </w:r>
    </w:p>
    <w:p>
      <w:pPr>
        <w:numPr>
          <w:ilvl w:val="0"/>
          <w:numId w:val="44"/>
        </w:numPr>
        <w:spacing w:lineRule="auto"/>
      </w:pPr>
      <w:r>
        <w:rPr>
          <w:rFonts w:eastAsia="Georgia" w:cs="Georgia" w:ascii="Georgia" w:hAnsi="Georgia"/>
        </w:rPr>
        <w:t xml:space="preserve">流动性资产占净资产比例仅10-25%</w:t>
      </w:r>
    </w:p>
    <w:p>
      <w:pPr>
        <w:numPr>
          <w:ilvl w:val="0"/>
          <w:numId w:val="44"/>
        </w:numPr>
        <w:spacing w:lineRule="auto"/>
      </w:pPr>
      <w:r>
        <w:rPr>
          <w:rFonts w:eastAsia="Georgia" w:cs="Georgia" w:ascii="Georgia" w:hAnsi="Georgia"/>
        </w:rPr>
        <w:t xml:space="preserve">房贷负担率与负债率处于或超过国际安全线</w:t>
      </w:r>
    </w:p>
    <w:p>
      <w:pPr>
        <w:spacing w:line="271" w:before="240" w:lineRule="auto"/>
      </w:pPr>
      <w:bookmarkStart w:id="51" w:name="三_中产内部分化明显"/>
      <w:r>
        <w:rPr>
          <w:rFonts w:eastAsia="Georgia" w:cs="Georgia" w:ascii="Georgia" w:hAnsi="Georgia"/>
          <w:b/>
          <w:sz w:val="28"/>
        </w:rPr>
        <w:t xml:space="preserve">（三）中产内部分化明显</w:t>
      </w:r>
      <w:bookmarkEnd w:id="51"/>
    </w:p>
    <w:p>
      <w:pPr>
        <w:spacing w:after="210" w:lineRule="auto"/>
      </w:pPr>
      <w:r>
        <w:rPr>
          <w:b/>
        </w:rPr>
        <w:t xml:space="preserve">分化特征</w:t>
      </w:r>
      <w:r>
        <w:rPr>
          <w:rFonts w:eastAsia="Georgia" w:cs="Georgia" w:ascii="Georgia" w:hAnsi="Georgia"/>
        </w:rPr>
        <w:t xml:space="preserve">：</w:t>
      </w:r>
    </w:p>
    <w:p>
      <w:pPr>
        <w:numPr>
          <w:ilvl w:val="0"/>
          <w:numId w:val="45"/>
        </w:numPr>
        <w:spacing w:lineRule="auto"/>
      </w:pPr>
      <w:r>
        <w:rPr>
          <w:rFonts w:eastAsia="Georgia" w:cs="Georgia" w:ascii="Georgia" w:hAnsi="Georgia"/>
        </w:rPr>
        <w:t xml:space="preserve">第4级与第6级的财务安全水平相差3-5倍</w:t>
      </w:r>
    </w:p>
    <w:p>
      <w:pPr>
        <w:numPr>
          <w:ilvl w:val="0"/>
          <w:numId w:val="45"/>
        </w:numPr>
        <w:spacing w:lineRule="auto"/>
      </w:pPr>
      <w:r>
        <w:rPr>
          <w:rFonts w:eastAsia="Georgia" w:cs="Georgia" w:ascii="Georgia" w:hAnsi="Georgia"/>
        </w:rPr>
        <w:t xml:space="preserve">第6级低端中产的财务脆弱性已接近第7级低收入群体</w:t>
      </w:r>
    </w:p>
    <w:p>
      <w:pPr>
        <w:numPr>
          <w:ilvl w:val="0"/>
          <w:numId w:val="45"/>
        </w:numPr>
        <w:spacing w:lineRule="auto"/>
      </w:pPr>
      <w:r>
        <w:rPr>
          <w:rFonts w:eastAsia="Georgia" w:cs="Georgia" w:ascii="Georgia" w:hAnsi="Georgia"/>
        </w:rPr>
        <w:t xml:space="preserve">区域差异导致"同等中产"的实际生活压力差异巨大</w:t>
      </w:r>
    </w:p>
    <w:p>
      <w:pPr>
        <w:spacing w:line="271" w:before="240" w:lineRule="auto"/>
      </w:pPr>
      <w:bookmarkStart w:id="52" w:name="四_阶层固化趋势令人担忧"/>
      <w:r>
        <w:rPr>
          <w:rFonts w:eastAsia="Georgia" w:cs="Georgia" w:ascii="Georgia" w:hAnsi="Georgia"/>
          <w:b/>
          <w:sz w:val="28"/>
        </w:rPr>
        <w:t xml:space="preserve">（四）阶层固化趋势令人担忧</w:t>
      </w:r>
      <w:bookmarkEnd w:id="52"/>
    </w:p>
    <w:p>
      <w:pPr>
        <w:spacing w:after="210" w:lineRule="auto"/>
      </w:pPr>
      <w:r>
        <w:rPr>
          <w:b/>
        </w:rPr>
        <w:t xml:space="preserve">数据</w:t>
      </w:r>
      <w:r>
        <w:rPr>
          <w:rFonts w:eastAsia="Georgia" w:cs="Georgia" w:ascii="Georgia" w:hAnsi="Georgia"/>
        </w:rPr>
        <w:t xml:space="preserve">：</w:t>
      </w:r>
    </w:p>
    <w:p>
      <w:pPr>
        <w:numPr>
          <w:ilvl w:val="0"/>
          <w:numId w:val="46"/>
        </w:numPr>
        <w:spacing w:lineRule="auto"/>
      </w:pPr>
      <w:r>
        <w:rPr>
          <w:rFonts w:eastAsia="Georgia" w:cs="Georgia" w:ascii="Georgia" w:hAnsi="Georgia"/>
        </w:rPr>
        <w:t xml:space="preserve">向上流动概率从30%↓→15-20%</w:t>
      </w:r>
    </w:p>
    <w:p>
      <w:pPr>
        <w:numPr>
          <w:ilvl w:val="0"/>
          <w:numId w:val="46"/>
        </w:numPr>
        <w:spacing w:lineRule="auto"/>
      </w:pPr>
      <w:r>
        <w:rPr>
          <w:rFonts w:eastAsia="Georgia" w:cs="Georgia" w:ascii="Georgia" w:hAnsi="Georgia"/>
        </w:rPr>
        <w:t xml:space="preserve">阶层固化指数从0.35↑→0.55-0.68</w:t>
      </w:r>
    </w:p>
    <w:p>
      <w:pPr>
        <w:numPr>
          <w:ilvl w:val="0"/>
          <w:numId w:val="46"/>
        </w:numPr>
        <w:spacing w:lineRule="auto"/>
      </w:pPr>
      <w:r>
        <w:rPr>
          <w:rFonts w:eastAsia="Georgia" w:cs="Georgia" w:ascii="Georgia" w:hAnsi="Georgia"/>
        </w:rPr>
        <w:t xml:space="preserve">传统渠道的流动效能均在下降</w:t>
      </w:r>
    </w:p>
    <w:p>
      <w:pPr>
        <w:spacing w:line="271" w:before="240" w:lineRule="auto"/>
      </w:pPr>
      <w:bookmarkStart w:id="53" w:name="二_前瞻性问题与观察"/>
      <w:r>
        <w:rPr>
          <w:rFonts w:eastAsia="Georgia" w:cs="Georgia" w:ascii="Georgia" w:hAnsi="Georgia"/>
          <w:b/>
          <w:sz w:val="33"/>
        </w:rPr>
        <w:t xml:space="preserve">二、前瞻性问题与观察</w:t>
      </w:r>
      <w:bookmarkEnd w:id="53"/>
    </w:p>
    <w:p>
      <w:pPr>
        <w:spacing w:line="271" w:before="240" w:lineRule="auto"/>
      </w:pPr>
      <w:bookmarkStart w:id="54" w:name="一_房地产市场调整的长期影响"/>
      <w:r>
        <w:rPr>
          <w:rFonts w:eastAsia="Georgia" w:cs="Georgia" w:ascii="Georgia" w:hAnsi="Georgia"/>
          <w:b/>
          <w:sz w:val="28"/>
        </w:rPr>
        <w:t xml:space="preserve">（一）房地产市场调整的长期影响</w:t>
      </w:r>
      <w:bookmarkEnd w:id="54"/>
    </w:p>
    <w:p>
      <w:pPr>
        <w:spacing w:after="210" w:lineRule="auto"/>
      </w:pPr>
      <w:r>
        <w:rPr>
          <w:b/>
        </w:rPr>
        <w:t xml:space="preserve">现象观察</w:t>
      </w:r>
      <w:r>
        <w:rPr>
          <w:rFonts w:eastAsia="Georgia" w:cs="Georgia" w:ascii="Georgia" w:hAnsi="Georgia"/>
        </w:rPr>
        <w:t xml:space="preserve">：</w:t>
      </w:r>
    </w:p>
    <w:p>
      <w:pPr>
        <w:numPr>
          <w:ilvl w:val="0"/>
          <w:numId w:val="47"/>
        </w:numPr>
        <w:spacing w:lineRule="auto"/>
      </w:pPr>
      <w:r>
        <w:rPr>
          <w:rFonts w:eastAsia="Georgia" w:cs="Georgia" w:ascii="Georgia" w:hAnsi="Georgia"/>
        </w:rPr>
        <w:t xml:space="preserve">2024年以来房价同比下跌3-8%</w:t>
      </w:r>
    </w:p>
    <w:p>
      <w:pPr>
        <w:numPr>
          <w:ilvl w:val="0"/>
          <w:numId w:val="47"/>
        </w:numPr>
        <w:spacing w:lineRule="auto"/>
      </w:pPr>
      <w:r>
        <w:rPr>
          <w:rFonts w:eastAsia="Georgia" w:cs="Georgia" w:ascii="Georgia" w:hAnsi="Georgia"/>
        </w:rPr>
        <w:t xml:space="preserve">房租收益率从4-5%降至2-3%</w:t>
      </w:r>
    </w:p>
    <w:p>
      <w:pPr>
        <w:numPr>
          <w:ilvl w:val="0"/>
          <w:numId w:val="47"/>
        </w:numPr>
        <w:spacing w:lineRule="auto"/>
      </w:pPr>
      <w:r>
        <w:rPr>
          <w:rFonts w:eastAsia="Georgia" w:cs="Georgia" w:ascii="Georgia" w:hAnsi="Georgia"/>
        </w:rPr>
        <w:t xml:space="preserve">房产从"高回报投资品"逐步沦为"保值消费品"</w:t>
      </w:r>
    </w:p>
    <w:p>
      <w:pPr>
        <w:spacing w:line="271" w:before="240" w:lineRule="auto"/>
      </w:pPr>
      <w:bookmarkStart w:id="55" w:name="二_人口老龄化对中产的长期挤压"/>
      <w:r>
        <w:rPr>
          <w:rFonts w:eastAsia="Georgia" w:cs="Georgia" w:ascii="Georgia" w:hAnsi="Georgia"/>
          <w:b/>
          <w:sz w:val="28"/>
        </w:rPr>
        <w:t xml:space="preserve">（二）人口老龄化对中产的长期挤压</w:t>
      </w:r>
      <w:bookmarkEnd w:id="55"/>
    </w:p>
    <w:p>
      <w:pPr>
        <w:spacing w:after="210" w:lineRule="auto"/>
      </w:pPr>
      <w:r>
        <w:rPr>
          <w:b/>
        </w:rPr>
        <w:t xml:space="preserve">趋势</w:t>
      </w:r>
      <w:r>
        <w:rPr>
          <w:rFonts w:eastAsia="Georgia" w:cs="Georgia" w:ascii="Georgia" w:hAnsi="Georgia"/>
        </w:rPr>
        <w:t xml:space="preserve">：</w:t>
      </w:r>
    </w:p>
    <w:p>
      <w:pPr>
        <w:numPr>
          <w:ilvl w:val="0"/>
          <w:numId w:val="48"/>
        </w:numPr>
        <w:spacing w:lineRule="auto"/>
      </w:pPr>
      <w:r>
        <w:rPr>
          <w:rFonts w:eastAsia="Georgia" w:cs="Georgia" w:ascii="Georgia" w:hAnsi="Georgia"/>
        </w:rPr>
        <w:t xml:space="preserve">中国60+人口占比2024年超过18%</w:t>
      </w:r>
    </w:p>
    <w:p>
      <w:pPr>
        <w:numPr>
          <w:ilvl w:val="0"/>
          <w:numId w:val="48"/>
        </w:numPr>
        <w:spacing w:lineRule="auto"/>
      </w:pPr>
      <w:r>
        <w:rPr>
          <w:rFonts w:eastAsia="Georgia" w:cs="Georgia" w:ascii="Georgia" w:hAnsi="Georgia"/>
        </w:rPr>
        <w:t xml:space="preserve">"421"家庭结构成为主流</w:t>
      </w:r>
    </w:p>
    <w:p>
      <w:pPr>
        <w:numPr>
          <w:ilvl w:val="0"/>
          <w:numId w:val="48"/>
        </w:numPr>
        <w:spacing w:lineRule="auto"/>
      </w:pPr>
      <w:r>
        <w:rPr>
          <w:rFonts w:eastAsia="Georgia" w:cs="Georgia" w:ascii="Georgia" w:hAnsi="Georgia"/>
        </w:rPr>
        <w:t xml:space="preserve">公共养老金替代率维持在50-60%</w:t>
      </w:r>
    </w:p>
    <w:p>
      <w:pPr>
        <w:spacing w:line="271" w:before="240" w:lineRule="auto"/>
      </w:pPr>
      <w:bookmarkStart w:id="56" w:name="三_数字经济与人工智能对中产就业的冲击"/>
      <w:r>
        <w:rPr>
          <w:rFonts w:eastAsia="Georgia" w:cs="Georgia" w:ascii="Georgia" w:hAnsi="Georgia"/>
          <w:b/>
          <w:sz w:val="28"/>
        </w:rPr>
        <w:t xml:space="preserve">（三）数字经济与人工智能对中产就业的冲击</w:t>
      </w:r>
      <w:bookmarkEnd w:id="56"/>
    </w:p>
    <w:p>
      <w:pPr>
        <w:spacing w:after="210" w:lineRule="auto"/>
      </w:pPr>
      <w:r>
        <w:rPr>
          <w:b/>
        </w:rPr>
        <w:t xml:space="preserve">新兴风险</w:t>
      </w:r>
      <w:r>
        <w:rPr>
          <w:rFonts w:eastAsia="Georgia" w:cs="Georgia" w:ascii="Georgia" w:hAnsi="Georgia"/>
        </w:rPr>
        <w:t xml:space="preserve">：</w:t>
      </w:r>
    </w:p>
    <w:p>
      <w:pPr>
        <w:numPr>
          <w:ilvl w:val="0"/>
          <w:numId w:val="49"/>
        </w:numPr>
        <w:spacing w:lineRule="auto"/>
      </w:pPr>
      <w:r>
        <w:rPr>
          <w:rFonts w:eastAsia="Georgia" w:cs="Georgia" w:ascii="Georgia" w:hAnsi="Georgia"/>
        </w:rPr>
        <w:t xml:space="preserve">AI工具对白领工作的替代效应初显</w:t>
      </w:r>
    </w:p>
    <w:p>
      <w:pPr>
        <w:numPr>
          <w:ilvl w:val="0"/>
          <w:numId w:val="49"/>
        </w:numPr>
        <w:spacing w:lineRule="auto"/>
      </w:pPr>
      <w:r>
        <w:rPr>
          <w:rFonts w:eastAsia="Georgia" w:cs="Georgia" w:ascii="Georgia" w:hAnsi="Georgia"/>
        </w:rPr>
        <w:t xml:space="preserve">数字化转型加快了某些传统中产行业的衰退</w:t>
      </w:r>
    </w:p>
    <w:p>
      <w:pPr>
        <w:numPr>
          <w:ilvl w:val="0"/>
          <w:numId w:val="49"/>
        </w:numPr>
        <w:spacing w:lineRule="auto"/>
      </w:pPr>
      <w:r>
        <w:rPr>
          <w:rFonts w:eastAsia="Georgia" w:cs="Georgia" w:ascii="Georgia" w:hAnsi="Georgia"/>
        </w:rPr>
        <w:t xml:space="preserve">新兴行业的"赢家通吃"现象加剧</w:t>
      </w:r>
    </w:p>
    <w:p>
      <w:pPr>
        <w:spacing w:line="271" w:before="240" w:lineRule="auto"/>
      </w:pPr>
      <w:bookmarkStart w:id="57" w:name="三_建议展望"/>
      <w:r>
        <w:rPr>
          <w:rFonts w:eastAsia="Georgia" w:cs="Georgia" w:ascii="Georgia" w:hAnsi="Georgia"/>
          <w:b/>
          <w:sz w:val="33"/>
        </w:rPr>
        <w:t xml:space="preserve">三、建议展望</w:t>
      </w:r>
      <w:bookmarkEnd w:id="57"/>
    </w:p>
    <w:p>
      <w:pPr>
        <w:spacing w:after="210" w:lineRule="auto"/>
      </w:pPr>
      <w:r>
        <w:rPr>
          <w:b/>
        </w:rPr>
        <w:t xml:space="preserve">短期建议</w:t>
      </w:r>
      <w:r>
        <w:rPr>
          <w:rFonts w:eastAsia="Georgia" w:cs="Georgia" w:ascii="Georgia" w:hAnsi="Georgia"/>
        </w:rPr>
        <w:t xml:space="preserve">（1-2年）：</w:t>
      </w:r>
    </w:p>
    <w:p>
      <w:pPr>
        <w:numPr>
          <w:ilvl w:val="0"/>
          <w:numId w:val="50"/>
        </w:numPr>
        <w:spacing w:lineRule="auto"/>
      </w:pPr>
      <w:r>
        <w:rPr>
          <w:rFonts w:eastAsia="Georgia" w:cs="Georgia" w:ascii="Georgia" w:hAnsi="Georgia"/>
        </w:rPr>
        <w:t xml:space="preserve">完善个税专项附加扣除，直接提升中产可支配收入</w:t>
      </w:r>
    </w:p>
    <w:p>
      <w:pPr>
        <w:numPr>
          <w:ilvl w:val="0"/>
          <w:numId w:val="50"/>
        </w:numPr>
        <w:spacing w:lineRule="auto"/>
      </w:pPr>
      <w:r>
        <w:rPr>
          <w:rFonts w:eastAsia="Georgia" w:cs="Georgia" w:ascii="Georgia" w:hAnsi="Georgia"/>
        </w:rPr>
        <w:t xml:space="preserve">规范课外培训收费，缓解教育支出压力</w:t>
      </w:r>
    </w:p>
    <w:p>
      <w:pPr>
        <w:numPr>
          <w:ilvl w:val="0"/>
          <w:numId w:val="50"/>
        </w:numPr>
        <w:spacing w:lineRule="auto"/>
      </w:pPr>
      <w:r>
        <w:rPr>
          <w:rFonts w:eastAsia="Georgia" w:cs="Georgia" w:ascii="Georgia" w:hAnsi="Georgia"/>
        </w:rPr>
        <w:t xml:space="preserve">推广第三支柱养老金制度</w:t>
      </w:r>
    </w:p>
    <w:p>
      <w:pPr>
        <w:spacing w:after="210" w:lineRule="auto"/>
      </w:pPr>
      <w:r>
        <w:rPr>
          <w:b/>
        </w:rPr>
        <w:t xml:space="preserve">中期建议</w:t>
      </w:r>
      <w:r>
        <w:rPr>
          <w:rFonts w:eastAsia="Georgia" w:cs="Georgia" w:ascii="Georgia" w:hAnsi="Georgia"/>
        </w:rPr>
        <w:t xml:space="preserve">（3-5年）：</w:t>
      </w:r>
    </w:p>
    <w:p>
      <w:pPr>
        <w:numPr>
          <w:ilvl w:val="0"/>
          <w:numId w:val="51"/>
        </w:numPr>
        <w:spacing w:lineRule="auto"/>
      </w:pPr>
      <w:r>
        <w:rPr>
          <w:rFonts w:eastAsia="Georgia" w:cs="Georgia" w:ascii="Georgia" w:hAnsi="Georgia"/>
        </w:rPr>
        <w:t xml:space="preserve">推进房地产REITs等创新产品发展</w:t>
      </w:r>
    </w:p>
    <w:p>
      <w:pPr>
        <w:numPr>
          <w:ilvl w:val="0"/>
          <w:numId w:val="51"/>
        </w:numPr>
        <w:spacing w:lineRule="auto"/>
      </w:pPr>
      <w:r>
        <w:rPr>
          <w:rFonts w:eastAsia="Georgia" w:cs="Georgia" w:ascii="Georgia" w:hAnsi="Georgia"/>
        </w:rPr>
        <w:t xml:space="preserve">加快新一线城市产业升级</w:t>
      </w:r>
    </w:p>
    <w:p>
      <w:pPr>
        <w:numPr>
          <w:ilvl w:val="0"/>
          <w:numId w:val="51"/>
        </w:numPr>
        <w:spacing w:lineRule="auto"/>
      </w:pPr>
      <w:r>
        <w:rPr>
          <w:rFonts w:eastAsia="Georgia" w:cs="Georgia" w:ascii="Georgia" w:hAnsi="Georgia"/>
        </w:rPr>
        <w:t xml:space="preserve">建立跨区域社保转移制度</w:t>
      </w:r>
    </w:p>
    <w:p>
      <w:pPr>
        <w:spacing w:after="210" w:lineRule="auto"/>
      </w:pPr>
      <w:r>
        <w:rPr>
          <w:b/>
        </w:rPr>
        <w:t xml:space="preserve">长期建议</w:t>
      </w:r>
      <w:r>
        <w:rPr>
          <w:rFonts w:eastAsia="Georgia" w:cs="Georgia" w:ascii="Georgia" w:hAnsi="Georgia"/>
        </w:rPr>
        <w:t xml:space="preserve">（5-10年）：</w:t>
      </w:r>
    </w:p>
    <w:p>
      <w:pPr>
        <w:numPr>
          <w:ilvl w:val="0"/>
          <w:numId w:val="52"/>
        </w:numPr>
        <w:spacing w:lineRule="auto"/>
      </w:pPr>
      <w:r>
        <w:rPr>
          <w:rFonts w:eastAsia="Georgia" w:cs="Georgia" w:ascii="Georgia" w:hAnsi="Georgia"/>
        </w:rPr>
        <w:t xml:space="preserve">优化教育与人力资本投资体系</w:t>
      </w:r>
    </w:p>
    <w:p>
      <w:pPr>
        <w:numPr>
          <w:ilvl w:val="0"/>
          <w:numId w:val="52"/>
        </w:numPr>
        <w:spacing w:lineRule="auto"/>
      </w:pPr>
      <w:r>
        <w:rPr>
          <w:rFonts w:eastAsia="Georgia" w:cs="Georgia" w:ascii="Georgia" w:hAnsi="Georgia"/>
        </w:rPr>
        <w:t xml:space="preserve">推进基本公共服务均等化</w:t>
      </w:r>
    </w:p>
    <w:p>
      <w:pPr>
        <w:numPr>
          <w:ilvl w:val="0"/>
          <w:numId w:val="52"/>
        </w:numPr>
        <w:spacing w:lineRule="auto"/>
      </w:pPr>
      <w:r>
        <w:rPr>
          <w:rFonts w:eastAsia="Georgia" w:cs="Georgia" w:ascii="Georgia" w:hAnsi="Georgia"/>
        </w:rPr>
        <w:t xml:space="preserve">重塑社会分层的内在逻辑</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结语"/>
      <w:r>
        <w:rPr>
          <w:rFonts w:eastAsia="Georgia" w:cs="Georgia" w:ascii="Georgia" w:hAnsi="Georgia"/>
          <w:b/>
          <w:sz w:val="42"/>
        </w:rPr>
        <w:t xml:space="preserve">结语</w:t>
      </w:r>
      <w:bookmarkEnd w:id="58"/>
    </w:p>
    <w:p>
      <w:pPr>
        <w:spacing w:after="210" w:lineRule="auto"/>
      </w:pPr>
      <w:r>
        <w:rPr>
          <w:rFonts w:eastAsia="Georgia" w:cs="Georgia" w:ascii="Georgia" w:hAnsi="Georgia"/>
        </w:rPr>
        <w:t xml:space="preserve">在一定程度上，中国中产阶层的未来，直接关系到国家"共同富裕"目标的实现、"双循环"发展格局的构建，以及社会长期稳定与繁荣的基础。</w:t>
      </w:r>
    </w:p>
    <w:p>
      <w:pPr>
        <w:spacing w:after="210" w:lineRule="auto"/>
      </w:pPr>
      <w:r>
        <w:rPr>
          <w:rFonts w:eastAsia="Georgia" w:cs="Georgia" w:ascii="Georgia" w:hAnsi="Georgia"/>
        </w:rPr>
        <w:t xml:space="preserve">当前中产面临的财务脆弱性、阶层固化压力与区域发展不均衡等结构性问题，绝非个人理财所能解决，而是需要国家层面的制度创新与政策调整。</w:t>
      </w:r>
    </w:p>
    <w:p>
      <w:pPr>
        <w:spacing w:after="210" w:lineRule="auto"/>
      </w:pPr>
      <w:r>
        <w:rPr>
          <w:b/>
        </w:rPr>
        <w:t xml:space="preserve">建议可考量的核心路径为</w:t>
      </w:r>
      <w:r>
        <w:rPr>
          <w:rFonts w:eastAsia="Georgia" w:cs="Georgia" w:ascii="Georgia" w:hAnsi="Georgia"/>
        </w:rPr>
        <w:t xml:space="preserve">：收入分配优化 → 财富配置现代化 → 公共服务均等化 → 社会流动渠道创新，形成一个完整政策体系。</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参考文献"/>
      <w:r>
        <w:rPr>
          <w:rFonts w:eastAsia="Georgia" w:cs="Georgia" w:ascii="Georgia" w:hAnsi="Georgia"/>
          <w:b/>
          <w:sz w:val="42"/>
        </w:rPr>
        <w:t xml:space="preserve">参考文献</w:t>
      </w:r>
      <w:bookmarkEnd w:id="59"/>
    </w:p>
    <w:p>
      <w:pPr>
        <w:spacing w:after="210" w:lineRule="auto"/>
      </w:pPr>
      <w:r>
        <w:rPr>
          <w:rFonts w:eastAsia="Georgia" w:cs="Georgia" w:ascii="Georgia" w:hAnsi="Georgia"/>
        </w:rPr>
        <w:t xml:space="preserve">[1] 中国社会科学院陆学艺团队、清华大学中国经济社会数据中心. (2013-2023). 中国社会阶层结构变迁研究报告. 《中国社会科学》.</w:t>
      </w:r>
    </w:p>
    <w:p>
      <w:pPr>
        <w:spacing w:after="210" w:lineRule="auto"/>
      </w:pPr>
      <w:r>
        <w:rPr>
          <w:rFonts w:eastAsia="Georgia" w:cs="Georgia" w:ascii="Georgia" w:hAnsi="Georgia"/>
        </w:rPr>
        <w:t xml:space="preserve">[2] 中国社会科学院. (2023). 社会阶层结构变迁研究报告. 中国社会科学院.</w:t>
      </w:r>
    </w:p>
    <w:p>
      <w:pPr>
        <w:spacing w:after="210" w:lineRule="auto"/>
      </w:pPr>
      <w:r>
        <w:rPr>
          <w:rFonts w:eastAsia="Georgia" w:cs="Georgia" w:ascii="Georgia" w:hAnsi="Georgia"/>
        </w:rPr>
        <w:t xml:space="preserve">[3] 国家统计局、中国国际经济交流中心. (2024). 中等收入群体规模与结构分析报告.</w:t>
      </w:r>
    </w:p>
    <w:p>
      <w:pPr>
        <w:spacing w:after="210" w:lineRule="auto"/>
      </w:pPr>
      <w:r>
        <w:rPr>
          <w:rFonts w:eastAsia="Georgia" w:cs="Georgia" w:ascii="Georgia" w:hAnsi="Georgia"/>
        </w:rPr>
        <w:t xml:space="preserve">[4] 麦肯锡全球研究院. (2024). 2024年中国消费趋势报告. McKinsey &amp; Company Greater China.</w:t>
      </w:r>
    </w:p>
    <w:p>
      <w:pPr>
        <w:spacing w:after="210" w:lineRule="auto"/>
      </w:pPr>
      <w:r>
        <w:rPr>
          <w:rFonts w:eastAsia="Georgia" w:cs="Georgia" w:ascii="Georgia" w:hAnsi="Georgia"/>
        </w:rPr>
        <w:t xml:space="preserve">[5] 中央银行金融研究所. (2020). 中国城镇居民资产负债调查（2019年）. 中国人民银行.</w:t>
      </w:r>
    </w:p>
    <w:p>
      <w:pPr>
        <w:spacing w:after="210" w:lineRule="auto"/>
      </w:pPr>
      <w:r>
        <w:rPr>
          <w:rFonts w:eastAsia="Georgia" w:cs="Georgia" w:ascii="Georgia" w:hAnsi="Georgia"/>
        </w:rPr>
        <w:t xml:space="preserve">[6] 麦肯锡公司. (2024). 中国消费者消费行为与媒介使用调研. McKinsey &amp; Company.</w:t>
      </w:r>
    </w:p>
    <w:p>
      <w:pPr>
        <w:spacing w:after="210" w:lineRule="auto"/>
      </w:pPr>
      <w:r>
        <w:rPr>
          <w:rFonts w:eastAsia="Georgia" w:cs="Georgia" w:ascii="Georgia" w:hAnsi="Georgia"/>
        </w:rPr>
        <w:t xml:space="preserve">[7] 中国银行业协会. (2024). 城市中产家庭财务状况调查. 《中国金融》.</w:t>
      </w:r>
    </w:p>
    <w:p>
      <w:pPr>
        <w:spacing w:after="210" w:lineRule="auto"/>
      </w:pPr>
      <w:r>
        <w:rPr>
          <w:rFonts w:eastAsia="Georgia" w:cs="Georgia" w:ascii="Georgia" w:hAnsi="Georgia"/>
        </w:rPr>
        <w:t xml:space="preserve">[8] 国务院新闻办公室、李克强总理. (2020). 关于民生稳增长相关表述. 人民日报.</w:t>
      </w:r>
    </w:p>
    <w:p>
      <w:pPr>
        <w:spacing w:after="210" w:lineRule="auto"/>
      </w:pPr>
      <w:r>
        <w:rPr>
          <w:rFonts w:eastAsia="Georgia" w:cs="Georgia" w:ascii="Georgia" w:hAnsi="Georgia"/>
        </w:rPr>
        <w:t xml:space="preserve">[9] 中国国际经济交流中心. (2024). 中等收入群体扩大战略研讨会. 央视采访记录.</w:t>
      </w:r>
    </w:p>
    <w:p>
      <w:pPr>
        <w:spacing w:after="210" w:lineRule="auto"/>
      </w:pPr>
      <w:r>
        <w:rPr>
          <w:rFonts w:eastAsia="Georgia" w:cs="Georgia" w:ascii="Georgia" w:hAnsi="Georgia"/>
        </w:rPr>
        <w:t xml:space="preserve">[10] 世界银行. (2025). 中国经济简报（2025年12月）. World Bank China Office.</w:t>
      </w:r>
    </w:p>
    <w:p>
      <w:pPr>
        <w:spacing w:after="210" w:lineRule="auto"/>
      </w:pPr>
      <w:r>
        <w:rPr>
          <w:rFonts w:eastAsia="Georgia" w:cs="Georgia" w:ascii="Georgia" w:hAnsi="Georgia"/>
        </w:rPr>
        <w:t xml:space="preserve">[11] 美国联邦储备委员会、日本中央银行. (2023). 家庭资产配置国际对比研究.</w:t>
      </w:r>
    </w:p>
    <w:p>
      <w:pPr>
        <w:spacing w:after="210" w:lineRule="auto"/>
      </w:pPr>
      <w:r>
        <w:rPr>
          <w:rFonts w:eastAsia="Georgia" w:cs="Georgia" w:ascii="Georgia" w:hAnsi="Georgia"/>
        </w:rPr>
        <w:t xml:space="preserve">[12] 中国社会科学院社会学研究所. (2024). 中国社会流动性的变迁及影响因素研究. 《社会学研究》.</w:t>
      </w:r>
    </w:p>
    <w:p>
      <w:pPr>
        <w:spacing w:after="210" w:lineRule="auto"/>
      </w:pPr>
      <w:r>
        <w:rPr>
          <w:rFonts w:eastAsia="Georgia" w:cs="Georgia" w:ascii="Georgia" w:hAnsi="Georgia"/>
        </w:rPr>
        <w:t xml:space="preserve">[13] 中共中央、国务院. (2020). 关于制定国民经济和社会发展第十四个五年规划的建议. 中国政府.</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本报告由战略研究中心编制</w:t>
      </w:r>
    </w:p>
    <w:p>
      <w:pPr>
        <w:spacing w:after="210" w:lineRule="auto"/>
      </w:pPr>
      <w:r>
        <w:rPr>
          <w:i/>
        </w:rPr>
        <w:t xml:space="preserve">编制时间：2024年</w:t>
      </w:r>
    </w:p>
    <w:p>
      <w:pPr>
        <w:spacing w:after="210" w:lineRule="auto"/>
      </w:pPr>
      <w:r>
        <w:rPr>
          <w:i/>
        </w:rPr>
        <w:t xml:space="preserve">机密级别：参考决策</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decimal"/>
      <w:lvlText w:val="%1."/>
      <w:lvlJc w:val="left"/>
      <w:pPr>
        <w:tabs>
          <w:tab w:val="num" w:pos="1080"/>
        </w:tabs>
        <w:ind w:left="720" w:hanging="360"/>
      </w:pPr>
    </w:lvl>
  </w:abstractNum>
  <w:abstractNum w:abstractNumId="5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2026-02-08T18:30:20.209Z</dcterms:created>
  <dcterms:modified xsi:type="dcterms:W3CDTF">2026-02-08T18:30:20.209Z</dcterms:modified>
</cp:coreProperties>
</file>