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5C65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中国不同社会阶层财富结构与中产群体经济图景深度解析报告</w:t>
      </w:r>
    </w:p>
    <w:p w14:paraId="626CA2A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 引言：宏观经济转型期下的社会财富分配重构</w:t>
      </w:r>
    </w:p>
    <w:p w14:paraId="3AA4B5E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探讨一国宏观经济的基本面与微观主体的活力时，社会阶层的财富分布与收入结构始终是最为核心的锚点。当前，中国经济正处于从高速数量型增长向高质量结构型增长跨越的关键周期。在这一宏观背景下，国民财富的积累方式、分配格局以及各阶层的财务健康度，正在经历一场</w:t>
      </w:r>
      <w:bookmarkStart w:id="0" w:name="_GoBack"/>
      <w:bookmarkEnd w:id="0"/>
      <w:r>
        <w:rPr>
          <w:rFonts w:hint="default" w:ascii="sans-serif" w:hAnsi="sans-serif" w:eastAsia="sans-serif" w:cs="sans-serif"/>
          <w:color w:val="1F1F1F"/>
          <w:bdr w:val="none" w:color="auto" w:sz="0" w:space="0"/>
        </w:rPr>
        <w:t>复杂而深刻的重构。衡量一个社会是否具备长期稳定发展潜力的重要标志，在于其是否能够成功构建起以中等收入群体为主体的“橄榄型”社会分配结构。</w:t>
      </w:r>
    </w:p>
    <w:p w14:paraId="13F4410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全面、客观且细致地描绘当前中国不同阶层的收入状况与财力水平，本报告立足于国家统计局、国际经济组织以及权威市场研究机构的最新统计数据与调研成果。通过对人均可支配收入、五等份收入分组、家庭资产负债表以及宏观消费结构的多维剖析，本报告旨在系统梳理中国社会各收入阶层的资金状况，并对备受关注的中等收入群体（中产阶层）进行全景式的深度画像，涵盖其规模界定、职业特征、资产负债状况以及在“新常态”下的消费心理演变。</w:t>
      </w:r>
    </w:p>
    <w:p w14:paraId="2DE27F9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二、 全球视野与本土统计：中国居民收入的宏观分层基准</w:t>
      </w:r>
    </w:p>
    <w:p w14:paraId="49B9987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要准确刻画中国社会的收入阶层，必须建立在严谨的宏观统计框架之上。从整体国民财富的绝对体量来看，中国居民的收入水平在2024年依然保持了稳健的上升态势，展现出国民经济的深层韧性。</w:t>
      </w:r>
    </w:p>
    <w:p w14:paraId="1C5A552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根据国家统计局发布的2024年国民经济运行情况，全年全国居民人均可支配收入达到41,314元人民币，比上年名义增长5.3%，在扣除价格因素后，实际增长率为5.1% 。这一平均数据构成了我们理解国民整体财力水平的基准线。与之相对应的全国居民人均可支配收入中位数为34,707元，名义增长5.1%，中位数是平均数的84.0% 。中位数低于平均数的统计现象，直观地反映出社会财富在一定程度上存在向高收入群体集中的分布偏态。</w:t>
      </w:r>
    </w:p>
    <w:p w14:paraId="28FED2E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在城乡二元结构的演化中，收入分配差距正在呈现出结构性的收敛趋势。2024年，城镇居民人均可支配收入达到54,188元，实际增长4.4%；而农村居民人均可支配收入为23,119元，实际增长6.3% 。农村居民收入增速持续快于城镇居民，这不仅是乡村振兴战略与转移支付政策发力的直接体现，也意味着处于社会财富相对底层的农村群体正在经历更为显著的财富边际改善进程。</w:t>
      </w:r>
    </w:p>
    <w:p w14:paraId="77DCB0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更具解析力地透视不同阶层的财力状况，国家统计局采用的“全国居民五等份收入分组”提供了一个严密的结构化视角。该方法将所有调查户按人均收入水平从低到高顺序排列，平均分为五个等份，从而清晰地界定了中国社会的五大收入阶层基准。</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07"/>
        <w:gridCol w:w="2548"/>
        <w:gridCol w:w="4861"/>
      </w:tblGrid>
      <w:tr w14:paraId="5D214DE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3D6655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收入阶层分组</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29C40A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2024年人均可支配收入（元/年）</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64C8FC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阶层财力状况与生存图景简述</w:t>
            </w:r>
          </w:p>
        </w:tc>
      </w:tr>
      <w:tr w14:paraId="37A4A0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0DCAC6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低收入组</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D2998D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9,542</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927B56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收入极度微薄，高度依赖农业微薄收益或政府转移支付，财务抗风险能力极度脆弱。</w:t>
            </w:r>
          </w:p>
        </w:tc>
      </w:tr>
      <w:tr w14:paraId="14E884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AE6C06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中间偏下收入组</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54E1E4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21,608</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4BBEC6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刚迈过温饱线，多为中西部农村居民及城镇底层务工者，消费支出被基本生活刚需锁定。</w:t>
            </w:r>
          </w:p>
        </w:tc>
      </w:tr>
      <w:tr w14:paraId="417B994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26462A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中间收入组</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DDB0D2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33,925</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699FD5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处于全国收入中位数附近，生活基本稳定但缺乏结余，是向中产迈进的后备力量。</w:t>
            </w:r>
          </w:p>
        </w:tc>
      </w:tr>
      <w:tr w14:paraId="14DC4DB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A4EC83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中间偏上收入组</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D6D7D3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53,359</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F7BE59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具备一定的财富积累，开始追求生活品质，构成中国准中产及大众中产的基本盘。</w:t>
            </w:r>
          </w:p>
        </w:tc>
      </w:tr>
      <w:tr w14:paraId="57B7E8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BA252E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高收入组</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A6B974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98,809</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90710F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拥有丰厚的工资性与财产性收入，资产配置多元化，消费受预算约束极小。</w:t>
            </w:r>
          </w:p>
        </w:tc>
      </w:tr>
    </w:tbl>
    <w:p w14:paraId="7648E67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数据来源：国家统计局2024年国民经济运行情况统计数据 。</w:t>
      </w:r>
    </w:p>
    <w:p w14:paraId="603DF2F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将上述本土数据置于全球坐标系中考量，世界银行集团针对2024-2025财年按收入水平划分的国别分类标准也提供了重要的参照体系。按照地图集法衡量的人均国民总收入（GNI）新阈值，低收入国家标准为1,145美元及以下，中等偏下收入为1,146至4,515美元，中等偏上收入为4,516至14,005美元，高收入国家则为14,005美元以上 。结合中国的人均经济指标，中国整体稳居中等偏上收入国家行列。然而，宏观平均数的跨越并不能完全掩盖微观个体在财富感知上的巨大落差。当前的收入分配格局仍偏重于“哑铃型”结构，距离中间大、两头小的“橄榄型”社会理想形态仍有较大差距，这正是后续公共政策亟待调节的深水区 。</w:t>
      </w:r>
    </w:p>
    <w:p w14:paraId="64F11F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三、 两极群体的生存现实：从低收入群体的生存防御到高净值人群的现金流焦虑</w:t>
      </w:r>
    </w:p>
    <w:p w14:paraId="5757605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在深入剖析中产阶层之前，有必要先对处于财富天平两端的低收入群体与高收入群体进行特征扫描。这两个群体的资金状况与行为逻辑，构成了理解中国社会阶层全貌的重要参照系。</w:t>
      </w:r>
    </w:p>
    <w:p w14:paraId="7F363C7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处于社会财富底端的是低收入及部分中间偏下收入群体。从五等份分组数据可以看出，低收入组的人均年可支配收入仅为9,542元，中间偏下收入组为21,608元 。更为具体的学术测算指出，根据全国居民按收入五等份分组的人均可支配收入数据推算，中国有约5.64亿人月均可支配收入低于1700元人民币 。这一庞大的群体主要由广大中西部农村地区的老年人口、偏远地区的传统农业从业者以及部分城镇的低端劳务人员构成。</w:t>
      </w:r>
    </w:p>
    <w:p w14:paraId="7DF97E0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在当前的物价水平与生活成本下，其财力状况呈现出极端的脆弱性。数据显示，2023年全国30个重点城市房租费用平均已达1483元/室，这意味着1700元的月收入在核心大城市几乎难以维持最基本的生存开支 。即便在生活成本相对较低的中小城市或乡镇，这一收入水平在扣除食品、水电等刚性支出后，也几乎没有任何财务结余。该群体基本无力承担重大疾病、意外事故等突发情况带来的财务冲击，其消费结构高度锁定于满足基本温饱的生存型消费，对价格变化极其敏感，生活状态主要表现为被动的生存防御。</w:t>
      </w:r>
    </w:p>
    <w:p w14:paraId="596585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与之形成鲜明对比的是处于财富顶端的高净值群体。国家统计局数据显示高收入组人均可支配收入近10万元，但这仅仅是统计意义上占人口20%的宽泛概念 。在更为精准的财富管理市场与社会学调研中，“高净值群体”通常被严格定义为家庭可支配资产在600万元人民币以上的阶层 。这些家庭掌握着大量的金融资产、企业股权与核心地段的优质房产，拥有极高的财务自由度。</w:t>
      </w:r>
    </w:p>
    <w:p w14:paraId="4AB364A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然而，近年来的经济周期波动对这一群体同样产生了深刻的心理与实质影响。胡润研究院发布的《高净值人群消费心态及行为研究报告2025》显示，中国富裕家庭数量连续两年出现下降 。在宏观不确定性增加的环境下，高净值人群的财富观念正在发生显著的防守型转变。调研数据显示，“健康”连续四年稳居其最看重的事物首位，且重要性持续提升；而“金钱”的排名大幅跃升了7位，跃居第三，与此同时对“个人的时间”的重视度出现下降 。这种对金钱重视程度的急剧回归，并非单纯物质欲望的复辟，而是深刻反映了在复杂经济形势下，富裕阶层对“现金流安全”的理性追求 。对于这一阶层而言，健康是抵御人生风险的生理基础，而充沛的现金流与金钱储备则是维持内心安全感的最后心理底线。因此，在消费端，他们不再盲目追求外在的奢靡炫耀，而是向追求极致的健康管理、高度私密的旅行体验以及高附加值的精神满足感倾斜 。</w:t>
      </w:r>
    </w:p>
    <w:p w14:paraId="06BB245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四、 中国中等收入群体的多维画像：规模、职业与收入结构</w:t>
      </w:r>
    </w:p>
    <w:p w14:paraId="31798B3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在两极之间，中等收入群体（即广泛意义上的中产阶层）无疑是承载国家经济转型、拉动内需消费以及维持社会结构稳定的核心中坚力量。官方对中等收入群体的定义与统计标准有着明确而严格的量化界定。</w:t>
      </w:r>
    </w:p>
    <w:p w14:paraId="6082703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中等收入群体的权威定义与人口规模</w:t>
      </w:r>
    </w:p>
    <w:p w14:paraId="392EE49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按照国家发展和改革委员会及国家统计局的权威释义，中等收入群体是指一定时期内，收入稳定、家庭殷实、生活舒适、消费水平和生活方式与经济社会发展水平相适应的群体 。在具体的量化操作层面，根据住户收支与生活状况调查，典型的中等收入家庭标准是指“三口之家家庭年收入在10万元到50万元之间” 。值得注意的是，胡润研究院从资产配置的维度也提出过中产的参考指标，即家庭可支配资产在200万至600万元人民币之间 。但就宏观政策制定与统计口径而言，10万至50万的年收入区间是最为核心的准绳。</w:t>
      </w:r>
    </w:p>
    <w:p w14:paraId="7835E9F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基于这一收入标准测算，中国目前的中等收入家庭有一亿四千万户左右，涵盖的中等收入群体人口规模已超过4亿人 。这是一个在绝对数量上极其庞大的群体，约占全国总人口的30%左右 。从全球横向比较来看，4亿人的中产规模无疑是一个巨大的消费蓄水池与经济稳定器。然而，若从纵向相对比例审视，考虑到中国14亿多的人口基数，中等收入群体占整体人口的比例依然不到40% 。这意味着，如果以发达经济体普遍的“橄榄型社会”结构为标尺，中国的中产阶级不仅规模仍显不够，而且面临着极大的扩容压力与必要性 。</w:t>
      </w:r>
    </w:p>
    <w:p w14:paraId="1064C17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中产群体的职业图谱与财力依附性</w:t>
      </w:r>
    </w:p>
    <w:p w14:paraId="7CC9387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中国的中产群体在职业分布上呈现出高度的现代经济与城市化依附性。他们主要集中在各类专业技术岗位、企业中高层管理岗位、高新技术产业（如IT工程师、研发人员）、现代金融服务业以及体制内的公职人员、教师与医生等。近年来，随着新经济模式的探索与高附加值产业的发展，部分有头脑的新型职业农民、高端农业机械化智能化操作者也开始跻身中等收入群体的新生力量 。总体而言，这些职业的共同特征是要求较高的前期人力资本投入（如高等教育背景），并能提供相对体面且稳定的薪酬回报。</w:t>
      </w:r>
    </w:p>
    <w:p w14:paraId="30B4872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从收入来源的微观结构来看，中产群体的财力高度依赖于个人的劳动报酬。国家统计局2024年的宏观数据显示，在全国居民人均可支配收入中，工资性收入占据了56.5%的绝对主导地位（23,327元），其次是经营净收入占16.7%（6,908元）、转移净收入占18.5%（7,644元），而财产净收入仅占8.3%（3,435元） 。这一全国性的结构特征在中等收入群体身上体现得尤为典型：他们的财富积累第一驱动力是出卖自身的专业技能、知识与劳动时间以换取月薪或年薪。虽然部分中产家庭通过早年投资房地产或配置理财产品获得了一定比例的财产性收入，但相较于高净值群体主要依靠资本增值与企业分红获利，中产群体的财富护城河依然极其依赖于“持续、稳定的工作”。这种对工资收入的高度单一依赖，构成了该群体内心深处深层不安全感的重要根源。</w:t>
      </w:r>
    </w:p>
    <w:p w14:paraId="287480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内部异质性与脆弱的“底层中产”</w:t>
      </w:r>
    </w:p>
    <w:p w14:paraId="518BB8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必须深刻认识到，这4亿多人的中等收入群体并非一块均质的铁板，其内部存在着巨大的财富断层与抗风险能力的差异。学术界与政策研究机构在长期跟踪中指出，在过去十余年中等收入人群的增长过程中，虽然整体规模有所扩大，但由于经济结构调整与财富分配机制的制约，大量新增的群体实际上聚集在中等收入区间的下限附近 。</w:t>
      </w:r>
    </w:p>
    <w:p w14:paraId="6DE5EDE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具体而言，大量家庭的年收入刚刚跨过10万元的门槛，徘徊在10万至15万元之间。这些家庭在统计学上被归入中等收入群体，但在现实生活中，他们属于“底层的中等收入人群”，也是名副其实的“脆弱的中等收入群体” 。面对高昂的城市生活成本，他们的财务状况呈现出一种“紧平衡”状态。一方面，其收入能够勉强覆盖全家的基本生活，并在子女教育上有一定投入；另一方面，他们几乎没有冗余的抗风险资金池。这种脆弱性使得他们对宏观经济的任何风吹草动都极为敏感，一旦遭遇外部冲击，其阶层滑落的风险极高。</w:t>
      </w:r>
    </w:p>
    <w:p w14:paraId="2CFDC0A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五、 资产与负债的博弈：中产家庭的财务困境与政策疏解</w:t>
      </w:r>
    </w:p>
    <w:p w14:paraId="46784FB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理解中国中产群体的真实财力水平，不能仅仅停留在“利润表”（即每年的可支配收入）层面，更需要深入剖析其“资产负债表”。中产阶级的财富感知、消费底气与财务自由度，深刻地受制于其家庭的资产结构与沉重的隐性负债。</w:t>
      </w:r>
    </w:p>
    <w:p w14:paraId="223141D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房地产的双刃剑效应与“财富幻觉”</w:t>
      </w:r>
    </w:p>
    <w:p w14:paraId="6CCD935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在中国中等收入群体的资产负债表中，房地产占据了绝对统治地位。拥有属于自己的产权住房，不仅是社会学意义上确立城市中产身份的最核心标志，也是其家庭财富最主要的物理承载体与金融杠杆工具 。在过去二十年波澜壮阔的房地产繁荣期，房产的持续升值带来了巨大的财富溢出效应，推动了中产阶级的账面净资产迅速膨胀，这种“财富幻觉”极大地赋予了他们扩张消费、追求品质生活的底气。</w:t>
      </w:r>
    </w:p>
    <w:p w14:paraId="2FB9980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然而，随着房地产市场进入长周期的深度调整阶段，这一核心资产的价格波动正在反向重塑中产的财力认知与消费决策。2025年底的最新数据显示，一线城市二手住宅销售价格同比及环比均出现下降，呈现出同比压力加大的走势 。麦肯锡的深度调研报告明确指出，房地产等个人资产价值的贬值，是目前限制那些对未来财务状况持悲观态度人群消费的关键掣肘因素 。当家庭最大的一笔资产出现缩水，即便当期的工资收入没有实质性下降，中产家庭也会因为资产负债表的恶化预期而自发增加预防性储蓄，大幅削减非必要开支 。</w:t>
      </w:r>
    </w:p>
    <w:p w14:paraId="34B3DC4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沉重的信贷压力与高确定性支出</w:t>
      </w:r>
    </w:p>
    <w:p w14:paraId="3223A5B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与高昂的房产相伴而生的，是中产家庭沉重的负债负担。为了完成城市定居与阶层跃升，绝大多数中等收入群体在购房时都动用了极高的财务杠杆，背负了长达20至30年的个人住房按揭贷款。这意味着，在他们10万到50万元的家庭年收入中，有相当大比例的资金被刚性地锁定在每月的房贷还款上，根本无法转化为当期的自由购买力。这种沉重的负债端压力对居民的现金流构成了严厉约束。</w:t>
      </w:r>
    </w:p>
    <w:p w14:paraId="17E8FE2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除了显性的债务，中产家庭还面临着隐性且高确定性的刚性支出负担，这些负担主要集中在人力资本再生产领域，即教育、医疗与养老。中产阶级往往对下一代的阶层跃升抱有极高的期望，同时对阶层跌落充满深深的恐惧，因此在子女教育上的投入可谓不遗余力。从学前教育、海量的课外辅导到高等教育，构成了家庭支出的巨大“黑洞”。同时，随着社会人口老龄化的加剧，赡养多位老人的医疗与护理费用也逐渐攀升。</w:t>
      </w:r>
    </w:p>
    <w:p w14:paraId="2EA883A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麦肯锡的调研数据深刻揭示了这一财务痛点：在对未来持悲观预期的中产人群中，担忧负债增加以及赡养家庭成员负担加重，是显著抑制他们消费预期的核心因素 。背负着沉重可预见性支出（如子女教育费用、赡养老人等费用增加）的消费者，其预期的日常消费增长率不仅远低于平均水平，甚至呈现出不增反降的态势，平均达到了-0.3% 。这生动地刻画了在各种显性债务与隐性刚需的夹击下，中产家庭在财务支配上的身不由己。</w:t>
      </w:r>
    </w:p>
    <w:p w14:paraId="739E98F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宏观政策的靶向疏解与现金流修复</w:t>
      </w:r>
    </w:p>
    <w:p w14:paraId="00FB376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正是基于对中产家庭资产负债表恶化这一痛点的深刻洞察，国家宏观政策在近期密集出台了一系列旨在修复居民现金流的金融干预措施。2024年9月，央行宣布降低存量房贷利率并统一房贷最低首付比例，引导商业银行将存量房贷利率降至新发放房贷利率附近，平均降幅预计在0.5个百分点左右 。同时，上海等一线城市也开始面向餐饮、住宿等领域发放服务消费券 。</w:t>
      </w:r>
    </w:p>
    <w:p w14:paraId="2C9E467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这些举措具有极其深远的政策涵义。降低存量房贷利率的底层逻辑，就是通过直接减轻中产家庭每月的按揭还款压力，释放出原本被冻结的流动性。对于一个年收入30万元、背负数百万房贷的典型中产家庭而言，房贷利率的下调意味着每月可增加数千元的自由支配现金流。这笔被释放的资金，有望被重新导入消费、储蓄和投资循环，从而在宏观层面上达到提振内需、对冲经济下行压力的全局性目的 。</w:t>
      </w:r>
    </w:p>
    <w:p w14:paraId="4CDDE14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六、 宏观周期波动对中产阶层就业与信心的多维冲击</w:t>
      </w:r>
    </w:p>
    <w:p w14:paraId="61A1CF4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中国的中产群体主要依附于现代产业体系，因此他们对宏观经济周期的波动极为敏感。当前，影响中等收入人群扩容与存量稳定的深层次因素，主要集中在就业环境的严峻性与民营经济活力的起伏上。</w:t>
      </w:r>
    </w:p>
    <w:p w14:paraId="4998EA6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首先，居高不下的失业率，特别是青年群体的就业困境，构成了中产家庭最大的财务梦魇。国家统计局公布的数据显示，由于经济持续处于结构调整与动能转换期，直接影响了年轻人的就业吸纳。2024年8月，不包含在校生的16-24岁劳动力失业率达到18.8%，创下年内新高；25-29岁劳动力失业率也上升至6.9% 。失业率的攀升不仅阻断了大量年轻群体迈入中等收入行列的通道，也对现有的底层中产家庭构成了致命打击。对于那些刚刚踏进中等收入门槛的家庭来说，如果家中有一名主要劳动力失去工作，整个家庭的现金流就会瞬间断裂，存在极大的可能重新跌落回低收入人群行列 。</w:t>
      </w:r>
    </w:p>
    <w:p w14:paraId="67B4EA1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其次，民营经济活力的不足直接传导为中产阶级的降薪压力与裁员焦虑。民营企业是中国吸纳城镇中高收入就业的绝对主力军。然而，2024年前5个月的宏观数据显示，民间投资增速仅微幅增长0.1%，显著低于固定资产总体4%的投资增速和国有及国有控股7.1%的投资增速 。伴随部分外资撤离的影响，大量的非公有制企业在扩张上持谨慎态度，直接导致了中高薪酬岗位的供给萎缩 。</w:t>
      </w:r>
    </w:p>
    <w:p w14:paraId="1D489F0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这种宏观层面的就业寒气，已经深刻地传递到了微观个体的心理预期上。麦肯锡的最新调研报告显示，高达36%的受访消费者表示正经历强烈的“工作焦虑” 。这一数据与中国人民银行的相关调查高度吻合——央行的问卷调查发现，有48%的城镇居民认为当前的就业市场是“充满挑战或不确定的” 。在这种普遍的失业担忧与收入不稳定的预期下，中产群体自发地收缩财务防线，这也是导致社会总需求不足的深层次原因。</w:t>
      </w:r>
    </w:p>
    <w:p w14:paraId="4C84D8C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七、 “新常态”下的中产消费结构重塑与花钱方式演进</w:t>
      </w:r>
    </w:p>
    <w:p w14:paraId="5AFF941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在经历了宏观经济降速、资产价值重估与就业压力交织的复杂洗礼后，中国消费市场在2024年至2025年正式步入了一个以个位数增长为特征的“新常态” 。作为消费的主力军，中等收入群体的消费心理、支出结构与具体的花钱方式正在发生一系列深刻而长远的系统性重塑。</w:t>
      </w:r>
    </w:p>
    <w:p w14:paraId="78D71E4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储蓄为王与审慎的消费增长预期</w:t>
      </w:r>
    </w:p>
    <w:p w14:paraId="4D681D9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当前最显著的宏观消费心理特征是“储蓄为王”防御机制的全面回归。麦肯锡针对近1.2万名真实消费者的《2024中国消费趋势调研》揭示，展望未来，消费者对自身消费支出的增长预期极为谨慎，预期增长率被压缩在2.2%至2.4%的低位区间 。支撑这一微弱增长预期的核心动力，仅仅来源于家庭平均可支配收入的温和看涨（预期增长2.5%）以及家庭户数的自然微增（约0.4%） 。</w:t>
      </w:r>
    </w:p>
    <w:p w14:paraId="4DBB45E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更为关键的是，消费在家庭可支配收入中的占比呈现出微降趋势（降幅约为0.5%），这表明在收入即便有所增加的情况下，中产群体依然倾向于将边际增加的资金转化为银行存款，以应对未来的不确定性。消费者的储蓄意愿异常强劲，导致短期的社会消费潜力未能得到完全释放 。</w:t>
      </w:r>
    </w:p>
    <w:p w14:paraId="636CDC4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这种谨慎做派并非完全出于对国家宏观经济的全面悲观。事实上，调研显示超过三分之二的受访者对中国宏观经济依然抱有乐观态度（乐观人群占比提升至76%） 。问题的核心在于，消费意向与宏观信心之间的传统关联度正在解绑。在“新常态”下，消费者在做出花钱的决定时，越来越看重自身资产价值（如房产估值）或当期即期收入这些“硬性”指标，而不再盲目受宏观经济向好等“软性”情绪因素的驱动 。</w:t>
      </w:r>
    </w:p>
    <w:p w14:paraId="2E2F8B7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消费支出的结构性升级：从实物囤积到服务体验</w:t>
      </w:r>
    </w:p>
    <w:p w14:paraId="6B91EE7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尽管总体支出趋于理性与保守，甚至部分领域出现了所谓的“消费降级”，但中产群体的钱究竟花在了哪里？国家统计局的宏观统计与市场调研机构的微观数据共同指向了一个清晰的结论：中国家庭的消费结构正在经历从商品实物消费向服务性、体验型消费的深刻跨越。</w:t>
      </w:r>
    </w:p>
    <w:p w14:paraId="7DA1684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从全国层面的消费支出数据看，2024年全国居民人均消费支出为28,227元 。衡量食品支出比重的恩格尔系数稳定在29.8%的相对低位，较2020年的30.2%持续下降 。这意味着中国家庭早已跨越了为吃穿发愁的阶段，基本盘非常稳固。最引人注目的结构性变化在于，全国居民人均服务性消费支出实现了7.4%的高速增长，其在人均消费支出中的比重历史性地攀升至46.1%，比上年大幅提高了0.9个百分点 。</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955"/>
        <w:gridCol w:w="1952"/>
        <w:gridCol w:w="1787"/>
        <w:gridCol w:w="1922"/>
      </w:tblGrid>
      <w:tr w14:paraId="14917AE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6A4EAF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2024年居民消费支出核心流向与结构比例</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95FB74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人均支出金额（元/年）</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CBE492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较上年名义增速（%）</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F39653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占人均总支出比重（%）</w:t>
            </w:r>
          </w:p>
        </w:tc>
      </w:tr>
      <w:tr w14:paraId="2CEE33A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F83C35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食品烟酒</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06449B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8,411</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184505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5.4</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34DE88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29.8</w:t>
            </w:r>
          </w:p>
        </w:tc>
      </w:tr>
      <w:tr w14:paraId="1A3637A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AB4534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居住（含水电燃料、租房等刚需）</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043F0B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6,263</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8D3E41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2.8</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B4BED0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22.2</w:t>
            </w:r>
          </w:p>
        </w:tc>
      </w:tr>
      <w:tr w14:paraId="0A5E61D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8F582CF">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交通通信</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B0F249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3,976</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958133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8.9</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24FF6E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14.1</w:t>
            </w:r>
          </w:p>
        </w:tc>
      </w:tr>
      <w:tr w14:paraId="59A60D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E0BB4C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教育文化娱乐</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33B349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3,189</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543969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9.8</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A37D51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11.3</w:t>
            </w:r>
          </w:p>
        </w:tc>
      </w:tr>
      <w:tr w14:paraId="4EF318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6E2C25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医疗保健</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75DD65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2,547</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35717C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D25134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9.0</w:t>
            </w:r>
          </w:p>
        </w:tc>
      </w:tr>
    </w:tbl>
    <w:p w14:paraId="42053A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数据来源：国家统计局2024年国民经济运行情况统计 。</w:t>
      </w:r>
    </w:p>
    <w:p w14:paraId="1A48F57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表格数据清晰地显示，教育文化娱乐领域的支出增速高达9.8%，位居所有八大消费类别之首，交通通信同样保持着8.9%的强劲增长 。这完全契合了中等收入群体的底层消费偏好：他们有着极其强烈的意愿为文化体验、精神成长、子女教育和个人健康保障买单。麦肯锡的行业调研也印证了这一点，在众多的消费品类中，教育、食品饮料、保健用品和服务、以及旅行被识别为四个具有高确定性的“潜在成长品类” 。相反，家用电器、家具以及烟酒等传统的实物耐用品则被列为“风险品类”，面临增长停滞甚至消费降级的风险 。</w:t>
      </w:r>
    </w:p>
    <w:p w14:paraId="4F6A26B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“上层中产”的引领效应与新能源汽车的消费狂欢</w:t>
      </w:r>
    </w:p>
    <w:p w14:paraId="300F68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中产群体内部，其消费习惯也因细分阶层的财富厚度不同而呈现出显著的分化。尤其是家庭年收入位于较高区间（例如30万至50万元之间）的“上层中产”或“富裕城镇消费者”，正在成为中国未来消费趋势的绝对引领者与定义者 。</w:t>
      </w:r>
    </w:p>
    <w:p w14:paraId="425C828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与普通的大众中产相比，上层中产阶级对自身的生活质量与个人成就感有着更高的追求。调研显示，这一群体有意在2025年将日常支出增加2.6%，甚至为了维持高质量的生活标准，部分消费者表示愿意动用过往积累的储蓄来进行消费 。他们的资金不仅投向无形的服务以获取快乐，也大量流向能够显著改善生活品质的“大件”实物上，如高端房屋装修与科技感十足的新型汽车 。</w:t>
      </w:r>
    </w:p>
    <w:p w14:paraId="5D80CD1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汽车消费这一中产家庭最核心的支出领域，上层中产群体推动了一场史无前例的产业重塑。他们对科技创新与智能化体验展现出极高的热情与付费意愿。数据显示，2024年，新能源汽车（EV）在中国乘用车市场的销量占比已经飙升至46%的惊人高度，较2019年仅4%的份额实现了指数级跃升；而在2024年第三季度，这一比例更是历史性地突破了50%的临界点 。得益于中国中产对本土科技品牌的认同感提升，国内自主汽车品牌一举拿下了58%的市场总份额，并在新能源汽车细分市场中掌控了近90%的绝对统治力 。这种颠覆性的消费行为，充分展现了中国中产群体在特定科技品类上的强大购买力与极高的消费品味升级趋势。</w:t>
      </w:r>
    </w:p>
    <w:p w14:paraId="32736B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八、 结论：向“橄榄型”社会迈进的挑战与宏观政策演进</w:t>
      </w:r>
    </w:p>
    <w:p w14:paraId="34452FA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综上所述，当前中国社会的收入与财力格局呈现出复杂、多维且处于激烈变动期的特征。在宏观层面上，国家整体财富在持续增长，居民人均可支配收入稳步跨越4.1万元大关，这为国家经济的长远发展奠定了坚实的物质基础。然而，通过五等份分组数据的显微镜可以看出，在以近10万元年均可支配收入的高收入组和不足1万元的低收入组所构筑的巨大横截面之间，超过4亿规模的中等收入群体承载着国家经济动能转换、内需振兴与社会结构稳定的全部重托。</w:t>
      </w:r>
    </w:p>
    <w:p w14:paraId="388E105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这群年家庭收入在10万元至50万元之间的中产群体，是伴随着中国深度融入全球化与快速城市化进程的时代造物。他们拥有相对体面的专业技术或管理职业、受过良好的高等教育，是当下智能汽车、高品质旅游、现代教育和健康医疗服务消费的绝对支柱。然而，透过其表面的光鲜，深入其资产负债表与现金流量表可以发现，中国的中产阶级普遍处于一种“高负债杠杆（房贷）”与“低流动性资产（房产）”并存的脆弱财务结构中。</w:t>
      </w:r>
    </w:p>
    <w:p w14:paraId="17BEF41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外部宏观环境的阴晴不定、民营经济投资的持续低迷、青年就业市场的严峻挑战，以及最为核心的房地产资产价值的下行重估，都在无形中挤压着中产家庭的财务安全垫，迫使其在微观经济行为上转向“储蓄为王”的防御姿态。他们的消费结构正在发生剧烈的重组，摒弃了过往对普通实物商品的盲目囤积，转而向追求具有情绪价值的服务、极致的健康保障与智能科技体验演进。</w:t>
      </w:r>
    </w:p>
    <w:p w14:paraId="5D73003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面对这一复杂的社会财富图景，若要打破当前的经济需求收缩困局、激活这4亿多人口庞大的内需潜力，彻底构建起稳固的“中间大、两头小”的橄榄型社会分配结构，是唯一的破局之道 。这要求公共政策必须在初次分配与再分配领域实现双轮驱动与深层次变革。</w:t>
      </w:r>
    </w:p>
    <w:p w14:paraId="64CA585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一方面，在初次分配领域，必须毫不动摇地深化经济体制改革，全面落实支持民营经济与服务业发展的政策，有序放开市场限制。只有民营企业恢复投资活力，才能创造出海量的中高收入现代产业岗位，这是稳定现有中产预期、并让大量外出农民工和新型职业农民跻身中等收入群体的活水之源 。</w:t>
      </w:r>
    </w:p>
    <w:p w14:paraId="43EF639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另一方面，亟需通过更强有力的再分配政策对冲宏观风险，为中产家庭“减负”。这不仅包括继续运用金融工具降低存量房贷等债务成本，直接修复居民现金流 ，更涉及深度的财税与福利制度改革。学术界与政策智囊明确指出，提高税收的调节力度、改变政府的财政支出结构是必经之路 。特别是在人力资本投资领域，必须加快推进基本公共服务均等化，将学前教育和高中教育逐步纳入义务教育范围，从而切实斩断压在中产家庭账本上的高昂教育开支锁链 。</w:t>
      </w:r>
    </w:p>
    <w:p w14:paraId="2ACF118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唯有通过系统性的制度安排，切实解除教育、医疗、住房及养老等领域的后顾之忧，让中等收入群体摆脱高确定性支出的沉重枷锁，修复其资产负债表，他们才能真正打破“不敢消费”的心理魔咒，实现向“乐于消费”的跨越。这不仅将为中国经济的高质量韧性增长注入源源不断的内生动力，更是最终实现共同富裕宏伟目标的坚实基石。</w:t>
      </w:r>
    </w:p>
    <w:p w14:paraId="53BC917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81C8B"/>
    <w:rsid w:val="17981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2026-02-25T07:35:00Z</dcterms:created>
  <dc:creator>dyx</dc:creator>
  <cp:lastModifiedBy>dyx</cp:lastModifiedBy>
  <dcterms:modified xsi:type="dcterms:W3CDTF">2026-02-25T07:37:03Z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E7CF61C1D85F4A37ADACEBF454704BF5_11</vt:lpwstr>
  </property>
  <property fmtid="{D5CDD505-2E9C-101B-9397-08002B2CF9AE}" pid="4" name="KSOTemplateDocerSaveRecord">
    <vt:lpwstr>eyJoZGlkIjoiMzEwNTM5NzYwMDRjMzkwZTVkZjY2ODkwMGIxNGU0OTUiLCJ1c2VySWQiOiIxMzIzODQxOTU2In0=</vt:lpwstr>
  </property>
</Properties>
</file>