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6"/>
        <w:spacing w:before="90" w:line="221" w:lineRule="auto"/>
        <w:outlineLvl w:val="0"/>
        <w:rPr>
          <w:sz w:val="45"/>
          <w:szCs w:val="45"/>
        </w:rPr>
      </w:pPr>
      <w:r>
        <w:rPr>
          <w:sz w:val="45"/>
          <w:szCs w:val="45"/>
          <w:b/>
          <w:bCs/>
          <w:spacing w:val="-7"/>
        </w:rPr>
        <w:t>爵士钢琴在现代音乐创作中的创新与风格演变研究</w:t>
      </w:r>
    </w:p>
    <w:p>
      <w:pPr>
        <w:spacing w:line="403" w:lineRule="auto"/>
        <w:rPr>
          <w:rFonts w:ascii="Arial"/>
          <w:sz w:val="21"/>
        </w:rPr>
      </w:pPr>
      <w:r/>
    </w:p>
    <w:p>
      <w:pPr>
        <w:pStyle w:val="BodyText"/>
        <w:ind w:left="15"/>
        <w:spacing w:before="117" w:line="222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0"/>
        </w:rPr>
        <w:t>关键要点</w:t>
      </w:r>
    </w:p>
    <w:p>
      <w:pPr>
        <w:pStyle w:val="BodyText"/>
        <w:ind w:left="508" w:right="96" w:hanging="149"/>
        <w:spacing w:before="208" w:line="313" w:lineRule="auto"/>
        <w:rPr>
          <w:sz w:val="20"/>
          <w:szCs w:val="20"/>
        </w:rPr>
      </w:pPr>
      <w:r>
        <w:rPr>
          <w:spacing w:val="9"/>
        </w:rPr>
        <w:t>·</w:t>
      </w:r>
      <w:r>
        <w:rPr>
          <w:spacing w:val="-93"/>
        </w:rPr>
        <w:t xml:space="preserve"> </w:t>
      </w:r>
      <w:r>
        <w:rPr>
          <w:spacing w:val="9"/>
        </w:rPr>
        <w:t>风格演变趋势：研究表明，自1950年代以来，爵士钢琴从</w:t>
      </w:r>
      <w:r>
        <w:rPr>
          <w:rFonts w:ascii="Times New Roman" w:hAnsi="Times New Roman" w:eastAsia="Times New Roman" w:cs="Times New Roman"/>
        </w:rPr>
        <w:t>bebop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 </w:t>
      </w:r>
      <w:r>
        <w:rPr>
          <w:spacing w:val="9"/>
        </w:rPr>
        <w:t>的复杂和声转向</w:t>
      </w:r>
      <w:r>
        <w:rPr>
          <w:rFonts w:ascii="Times New Roman" w:hAnsi="Times New Roman" w:eastAsia="Times New Roman" w:cs="Times New Roman"/>
        </w:rPr>
        <w:t>modal</w:t>
      </w:r>
      <w:r>
        <w:rPr>
          <w:rFonts w:ascii="Times New Roman" w:hAnsi="Times New Roman" w:eastAsia="Times New Roman" w:cs="Times New Roman"/>
          <w:spacing w:val="9"/>
        </w:rPr>
        <w:t xml:space="preserve">   </w:t>
      </w:r>
      <w:r>
        <w:rPr>
          <w:rFonts w:ascii="Times New Roman" w:hAnsi="Times New Roman" w:eastAsia="Times New Roman" w:cs="Times New Roman"/>
        </w:rPr>
        <w:t>jazz </w:t>
      </w:r>
      <w:r>
        <w:rPr>
          <w:spacing w:val="10"/>
        </w:rPr>
        <w:t>的旋律自由，再到</w:t>
      </w:r>
      <w:r>
        <w:rPr>
          <w:rFonts w:ascii="SimSun" w:hAnsi="SimSun" w:eastAsia="SimSun" w:cs="SimSun"/>
        </w:rPr>
        <w:t>fusion</w:t>
      </w:r>
      <w:r>
        <w:rPr>
          <w:spacing w:val="10"/>
        </w:rPr>
        <w:t>的电子与跨界融合，通常而言，这体现了爵士乐对文化多样性的适</w:t>
      </w:r>
      <w:r>
        <w:rPr>
          <w:spacing w:val="12"/>
        </w:rPr>
        <w:t xml:space="preserve"> </w:t>
      </w:r>
      <w:r>
        <w:rPr>
          <w:sz w:val="20"/>
          <w:szCs w:val="20"/>
          <w:spacing w:val="16"/>
        </w:rPr>
        <w:t>应性</w:t>
      </w:r>
      <w:r>
        <w:rPr>
          <w:sz w:val="20"/>
          <w:szCs w:val="20"/>
          <w:spacing w:val="-43"/>
        </w:rPr>
        <w:t xml:space="preserve"> </w:t>
      </w:r>
      <w:r>
        <w:rPr>
          <w:sz w:val="20"/>
          <w:szCs w:val="20"/>
          <w:spacing w:val="16"/>
        </w:rPr>
        <w:t>。</w:t>
      </w:r>
    </w:p>
    <w:p>
      <w:pPr>
        <w:pStyle w:val="BodyText"/>
        <w:ind w:left="508" w:right="47" w:hanging="149"/>
        <w:spacing w:before="285" w:line="294" w:lineRule="auto"/>
        <w:tabs>
          <w:tab w:val="left" w:pos="669"/>
        </w:tabs>
        <w:rPr/>
      </w:pPr>
      <w:r>
        <w:rPr>
          <w:spacing w:val="9"/>
        </w:rPr>
        <w:t>·</w:t>
      </w:r>
      <w:r>
        <w:rPr>
          <w:spacing w:val="-87"/>
        </w:rPr>
        <w:t xml:space="preserve"> </w:t>
      </w:r>
      <w:r>
        <w:rPr>
          <w:spacing w:val="9"/>
        </w:rPr>
        <w:t>创新技术：调式和声</w:t>
      </w:r>
      <w:r>
        <w:rPr>
          <w:spacing w:val="9"/>
        </w:rPr>
        <w:t xml:space="preserve"> </w:t>
      </w:r>
      <w:r>
        <w:rPr>
          <w:rFonts w:ascii="SimSun" w:hAnsi="SimSun" w:eastAsia="SimSun" w:cs="SimSun"/>
          <w:spacing w:val="9"/>
        </w:rPr>
        <w:t>(</w:t>
      </w:r>
      <w:r>
        <w:rPr>
          <w:rFonts w:ascii="SimSun" w:hAnsi="SimSun" w:eastAsia="SimSun" w:cs="SimSun"/>
        </w:rPr>
        <w:t>modal</w:t>
      </w:r>
      <w:r>
        <w:rPr>
          <w:rFonts w:ascii="SimSun" w:hAnsi="SimSun" w:eastAsia="SimSun" w:cs="SimSun"/>
          <w:spacing w:val="9"/>
        </w:rPr>
        <w:t xml:space="preserve">    </w:t>
      </w:r>
      <w:r>
        <w:rPr>
          <w:rFonts w:ascii="SimSun" w:hAnsi="SimSun" w:eastAsia="SimSun" w:cs="SimSun"/>
        </w:rPr>
        <w:t>harmony</w:t>
      </w:r>
      <w:r>
        <w:rPr>
          <w:rFonts w:ascii="SimSun" w:hAnsi="SimSun" w:eastAsia="SimSun" w:cs="SimSun"/>
          <w:spacing w:val="9"/>
        </w:rPr>
        <w:t>,</w:t>
      </w:r>
      <w:r>
        <w:rPr>
          <w:spacing w:val="9"/>
        </w:rPr>
        <w:t>指基于单一调式而非功能性和声的结构)和复节奏</w:t>
      </w:r>
      <w:r>
        <w:rPr/>
        <w:t xml:space="preserve"> </w:t>
      </w:r>
      <w:r>
        <w:rPr>
          <w:rFonts w:ascii="SimSun" w:hAnsi="SimSun" w:eastAsia="SimSun" w:cs="SimSun"/>
        </w:rPr>
        <w:tab/>
      </w:r>
      <w:r>
        <w:rPr>
          <w:rFonts w:ascii="SimSun" w:hAnsi="SimSun" w:eastAsia="SimSun" w:cs="SimSun"/>
          <w:spacing w:val="12"/>
        </w:rPr>
        <w:t>(</w:t>
      </w:r>
      <w:r>
        <w:rPr>
          <w:rFonts w:ascii="SimSun" w:hAnsi="SimSun" w:eastAsia="SimSun" w:cs="SimSun"/>
        </w:rPr>
        <w:t>polyrhythm</w:t>
      </w:r>
      <w:r>
        <w:rPr>
          <w:rFonts w:ascii="SimSun" w:hAnsi="SimSun" w:eastAsia="SimSun" w:cs="SimSun"/>
          <w:spacing w:val="12"/>
        </w:rPr>
        <w:t>,  </w:t>
      </w:r>
      <w:r>
        <w:rPr>
          <w:spacing w:val="12"/>
        </w:rPr>
        <w:t>指同时叠加不同节奏划分的技巧)等元素在现代创作中发挥关键作用，在一</w:t>
      </w:r>
      <w:r>
        <w:rPr>
          <w:spacing w:val="13"/>
        </w:rPr>
        <w:t xml:space="preserve"> </w:t>
      </w:r>
      <w:r>
        <w:rPr>
          <w:spacing w:val="7"/>
        </w:rPr>
        <w:t>定程度上提升了即兴表达的深度。</w:t>
      </w:r>
    </w:p>
    <w:p>
      <w:pPr>
        <w:pStyle w:val="BodyText"/>
        <w:ind w:left="508" w:right="135" w:hanging="149"/>
        <w:spacing w:before="273" w:line="271" w:lineRule="auto"/>
        <w:rPr/>
      </w:pPr>
      <w:r>
        <w:rPr>
          <w:spacing w:val="8"/>
        </w:rPr>
        <w:t>·</w:t>
      </w:r>
      <w:r>
        <w:rPr>
          <w:spacing w:val="-96"/>
        </w:rPr>
        <w:t xml:space="preserve"> </w:t>
      </w:r>
      <w:r>
        <w:rPr>
          <w:spacing w:val="8"/>
        </w:rPr>
        <w:t>跨界影响：爵士钢琴与古典、拉丁美洲、亚洲及嘻哈等风格</w:t>
      </w:r>
      <w:r>
        <w:rPr>
          <w:spacing w:val="7"/>
        </w:rPr>
        <w:t>的融合似乎可能推动全球音乐创</w:t>
      </w:r>
      <w:r>
        <w:rPr/>
        <w:t xml:space="preserve"> </w:t>
      </w:r>
      <w:r>
        <w:rPr>
          <w:spacing w:val="8"/>
        </w:rPr>
        <w:t>新，但需考虑其潜在局限，如文化原真性的挑战。</w:t>
      </w:r>
    </w:p>
    <w:p>
      <w:pPr>
        <w:pStyle w:val="BodyText"/>
        <w:ind w:left="508" w:right="236" w:hanging="149"/>
        <w:spacing w:before="314" w:line="268" w:lineRule="auto"/>
        <w:rPr/>
      </w:pPr>
      <w:r>
        <w:rPr>
          <w:spacing w:val="5"/>
        </w:rPr>
        <w:t>·</w:t>
      </w:r>
      <w:r>
        <w:rPr>
          <w:spacing w:val="-83"/>
        </w:rPr>
        <w:t xml:space="preserve"> </w:t>
      </w:r>
      <w:r>
        <w:rPr>
          <w:spacing w:val="5"/>
        </w:rPr>
        <w:t>代表人物：</w:t>
      </w:r>
      <w:r>
        <w:rPr>
          <w:rFonts w:ascii="Arial" w:hAnsi="Arial" w:eastAsia="Arial" w:cs="Arial"/>
        </w:rPr>
        <w:t>BillEvans</w:t>
      </w:r>
      <w:r>
        <w:rPr>
          <w:rFonts w:ascii="SimSun" w:hAnsi="SimSun" w:eastAsia="SimSun" w:cs="SimSun"/>
          <w:spacing w:val="5"/>
        </w:rPr>
        <w:t>、</w:t>
      </w:r>
      <w:r>
        <w:rPr>
          <w:rFonts w:ascii="Arial" w:hAnsi="Arial" w:eastAsia="Arial" w:cs="Arial"/>
        </w:rPr>
        <w:t>Herbie</w:t>
      </w:r>
      <w:r>
        <w:rPr>
          <w:rFonts w:ascii="Arial" w:hAnsi="Arial" w:eastAsia="Arial" w:cs="Arial"/>
          <w:spacing w:val="5"/>
        </w:rPr>
        <w:t xml:space="preserve">    </w:t>
      </w:r>
      <w:r>
        <w:rPr>
          <w:rFonts w:ascii="Arial" w:hAnsi="Arial" w:eastAsia="Arial" w:cs="Arial"/>
        </w:rPr>
        <w:t>Hancock</w:t>
      </w:r>
      <w:r>
        <w:rPr>
          <w:rFonts w:ascii="SimSun" w:hAnsi="SimSun" w:eastAsia="SimSun" w:cs="SimSun"/>
          <w:spacing w:val="5"/>
        </w:rPr>
        <w:t>、</w:t>
      </w:r>
      <w:r>
        <w:rPr>
          <w:rFonts w:ascii="Arial" w:hAnsi="Arial" w:eastAsia="Arial" w:cs="Arial"/>
        </w:rPr>
        <w:t>Chick</w:t>
      </w:r>
      <w:r>
        <w:rPr>
          <w:rFonts w:ascii="Arial" w:hAnsi="Arial" w:eastAsia="Arial" w:cs="Arial"/>
          <w:spacing w:val="5"/>
        </w:rPr>
        <w:t xml:space="preserve">     </w:t>
      </w:r>
      <w:r>
        <w:rPr>
          <w:rFonts w:ascii="Arial" w:hAnsi="Arial" w:eastAsia="Arial" w:cs="Arial"/>
        </w:rPr>
        <w:t>Corea</w:t>
      </w:r>
      <w:r>
        <w:rPr>
          <w:spacing w:val="5"/>
        </w:rPr>
        <w:t>等钢琴家贡献显著,证据倾向于其</w:t>
      </w:r>
      <w:r>
        <w:rPr/>
        <w:t xml:space="preserve"> </w:t>
      </w:r>
      <w:r>
        <w:rPr>
          <w:spacing w:val="9"/>
        </w:rPr>
        <w:t>对当代创作的持久影响。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ind w:left="15"/>
        <w:spacing w:before="117" w:line="221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0"/>
        </w:rPr>
        <w:t>引言与研究背景</w:t>
      </w:r>
    </w:p>
    <w:p>
      <w:pPr>
        <w:pStyle w:val="BodyText"/>
        <w:ind w:left="9"/>
        <w:spacing w:before="221" w:line="213" w:lineRule="auto"/>
        <w:rPr/>
      </w:pPr>
      <w:r>
        <w:rPr>
          <w:spacing w:val="10"/>
        </w:rPr>
        <w:t>爵士钢琴作为爵士乐的核心表达媒介，在现</w:t>
      </w:r>
      <w:r>
        <w:rPr>
          <w:spacing w:val="9"/>
        </w:rPr>
        <w:t>代音乐创作中展现出持续的创新活力。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left="15"/>
        <w:spacing w:before="117" w:line="221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6"/>
        </w:rPr>
        <w:t>历史演变概述</w:t>
      </w:r>
    </w:p>
    <w:p>
      <w:pPr>
        <w:pStyle w:val="BodyText"/>
        <w:ind w:left="9"/>
        <w:spacing w:before="225" w:line="212" w:lineRule="auto"/>
        <w:rPr/>
      </w:pPr>
      <w:r>
        <w:rPr>
          <w:spacing w:val="8"/>
        </w:rPr>
        <w:t>1950年后，爵士钢琴经历了</w:t>
      </w:r>
      <w:r>
        <w:rPr>
          <w:rFonts w:ascii="Times New Roman" w:hAnsi="Times New Roman" w:eastAsia="Times New Roman" w:cs="Times New Roman"/>
        </w:rPr>
        <w:t>bebop</w:t>
      </w:r>
      <w:r>
        <w:rPr>
          <w:rFonts w:ascii="Times New Roman" w:hAnsi="Times New Roman" w:eastAsia="Times New Roman" w:cs="Times New Roman"/>
          <w:spacing w:val="-33"/>
        </w:rPr>
        <w:t xml:space="preserve"> </w:t>
      </w:r>
      <w:r>
        <w:rPr>
          <w:rFonts w:ascii="SimSun" w:hAnsi="SimSun" w:eastAsia="SimSun" w:cs="SimSun"/>
          <w:spacing w:val="8"/>
        </w:rPr>
        <w:t>、</w:t>
      </w:r>
      <w:r>
        <w:rPr>
          <w:rFonts w:ascii="Times New Roman" w:hAnsi="Times New Roman" w:eastAsia="Times New Roman" w:cs="Times New Roman"/>
        </w:rPr>
        <w:t>cool</w:t>
      </w:r>
      <w:r>
        <w:rPr>
          <w:rFonts w:ascii="Times New Roman" w:hAnsi="Times New Roman" w:eastAsia="Times New Roman" w:cs="Times New Roman"/>
          <w:spacing w:val="8"/>
        </w:rPr>
        <w:t xml:space="preserve">     </w:t>
      </w:r>
      <w:r>
        <w:rPr>
          <w:rFonts w:ascii="Times New Roman" w:hAnsi="Times New Roman" w:eastAsia="Times New Roman" w:cs="Times New Roman"/>
        </w:rPr>
        <w:t>jazz</w:t>
      </w:r>
      <w:r>
        <w:rPr>
          <w:rFonts w:ascii="Times New Roman" w:hAnsi="Times New Roman" w:eastAsia="Times New Roman" w:cs="Times New Roman"/>
          <w:spacing w:val="-32"/>
        </w:rPr>
        <w:t xml:space="preserve"> </w:t>
      </w:r>
      <w:r>
        <w:rPr>
          <w:rFonts w:ascii="SimSun" w:hAnsi="SimSun" w:eastAsia="SimSun" w:cs="SimSun"/>
          <w:spacing w:val="8"/>
        </w:rPr>
        <w:t>、</w:t>
      </w:r>
      <w:r>
        <w:rPr>
          <w:rFonts w:ascii="Times New Roman" w:hAnsi="Times New Roman" w:eastAsia="Times New Roman" w:cs="Times New Roman"/>
        </w:rPr>
        <w:t>modal</w:t>
      </w:r>
      <w:r>
        <w:rPr>
          <w:rFonts w:ascii="Times New Roman" w:hAnsi="Times New Roman" w:eastAsia="Times New Roman" w:cs="Times New Roman"/>
          <w:spacing w:val="8"/>
        </w:rPr>
        <w:t xml:space="preserve">  </w:t>
      </w:r>
      <w:r>
        <w:rPr>
          <w:rFonts w:ascii="Times New Roman" w:hAnsi="Times New Roman" w:eastAsia="Times New Roman" w:cs="Times New Roman"/>
          <w:spacing w:val="7"/>
        </w:rPr>
        <w:t xml:space="preserve">    </w:t>
      </w:r>
      <w:r>
        <w:rPr>
          <w:rFonts w:ascii="Times New Roman" w:hAnsi="Times New Roman" w:eastAsia="Times New Roman" w:cs="Times New Roman"/>
        </w:rPr>
        <w:t>jazz</w:t>
      </w:r>
      <w:r>
        <w:rPr>
          <w:rFonts w:ascii="Times New Roman" w:hAnsi="Times New Roman" w:eastAsia="Times New Roman" w:cs="Times New Roman"/>
          <w:spacing w:val="-33"/>
        </w:rPr>
        <w:t xml:space="preserve"> </w:t>
      </w:r>
      <w:r>
        <w:rPr>
          <w:rFonts w:ascii="SimSun" w:hAnsi="SimSun" w:eastAsia="SimSun" w:cs="SimSun"/>
          <w:spacing w:val="7"/>
        </w:rPr>
        <w:t>、</w:t>
      </w:r>
      <w:r>
        <w:rPr>
          <w:rFonts w:ascii="Times New Roman" w:hAnsi="Times New Roman" w:eastAsia="Times New Roman" w:cs="Times New Roman"/>
        </w:rPr>
        <w:t>fusion</w:t>
      </w:r>
      <w:r>
        <w:rPr>
          <w:spacing w:val="7"/>
        </w:rPr>
        <w:t>等阶段的转变。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ind w:left="15"/>
        <w:spacing w:before="118" w:line="221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6"/>
        </w:rPr>
        <w:t>技术与即兴革新</w:t>
      </w:r>
    </w:p>
    <w:p>
      <w:pPr>
        <w:pStyle w:val="BodyText"/>
        <w:ind w:left="9"/>
        <w:spacing w:before="220" w:line="221" w:lineRule="auto"/>
        <w:rPr/>
      </w:pPr>
      <w:r>
        <w:rPr>
          <w:spacing w:val="8"/>
        </w:rPr>
        <w:t>调式和声与复节奏的应用扩展了创作边界。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15"/>
        <w:spacing w:before="117" w:line="221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3"/>
        </w:rPr>
        <w:t>全球视野下的跨流派影响</w:t>
      </w:r>
    </w:p>
    <w:p>
      <w:pPr>
        <w:pStyle w:val="BodyText"/>
        <w:ind w:left="9"/>
        <w:spacing w:before="220" w:line="221" w:lineRule="auto"/>
        <w:rPr/>
      </w:pPr>
      <w:r>
        <w:rPr>
          <w:spacing w:val="9"/>
        </w:rPr>
        <w:t>欧洲古典、拉丁美洲节奏及亚洲元素的融入丰富了爵士钢琴</w:t>
      </w:r>
      <w:r>
        <w:rPr>
          <w:spacing w:val="8"/>
        </w:rPr>
        <w:t>的表现力。</w:t>
      </w:r>
    </w:p>
    <w:p>
      <w:pPr>
        <w:spacing w:line="221" w:lineRule="auto"/>
        <w:sectPr>
          <w:footerReference w:type="default" r:id="rId1"/>
          <w:pgSz w:w="12240" w:h="15840"/>
          <w:pgMar w:top="1137" w:right="1000" w:bottom="1769" w:left="980" w:header="0" w:footer="1759" w:gutter="0"/>
        </w:sectPr>
        <w:rPr/>
      </w:pPr>
    </w:p>
    <w:p>
      <w:pPr>
        <w:pStyle w:val="BodyText"/>
        <w:ind w:right="169"/>
        <w:spacing w:before="124" w:line="262" w:lineRule="auto"/>
        <w:rPr>
          <w:sz w:val="36"/>
          <w:szCs w:val="36"/>
        </w:rPr>
      </w:pPr>
      <w:r>
        <w:rPr>
          <w:sz w:val="36"/>
          <w:szCs w:val="36"/>
        </w:rPr>
        <w:t>爵士钢琴在现代音乐创作中的创新与风格演</w:t>
      </w:r>
      <w:r>
        <w:rPr>
          <w:sz w:val="36"/>
          <w:szCs w:val="36"/>
          <w:spacing w:val="-1"/>
        </w:rPr>
        <w:t>变研究：权威战略评</w:t>
      </w:r>
      <w:r>
        <w:rPr>
          <w:sz w:val="36"/>
          <w:szCs w:val="36"/>
        </w:rPr>
        <w:t xml:space="preserve"> </w:t>
      </w:r>
      <w:r>
        <w:rPr>
          <w:sz w:val="36"/>
          <w:szCs w:val="36"/>
          <w:spacing w:val="3"/>
        </w:rPr>
        <w:t>估报告</w:t>
      </w:r>
    </w:p>
    <w:p>
      <w:pPr>
        <w:pStyle w:val="BodyText"/>
        <w:ind w:left="4"/>
        <w:spacing w:before="102" w:line="221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5"/>
        </w:rPr>
        <w:t>前言：研究意义与全球背景</w:t>
      </w:r>
    </w:p>
    <w:p>
      <w:pPr>
        <w:pStyle w:val="BodyText"/>
        <w:ind w:firstLine="3"/>
        <w:spacing w:before="225" w:line="322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1"/>
        </w:rPr>
        <w:t>据</w:t>
      </w:r>
      <w:r>
        <w:rPr>
          <w:rFonts w:ascii="SimSun" w:hAnsi="SimSun" w:eastAsia="SimSun" w:cs="SimSun"/>
          <w:sz w:val="24"/>
          <w:szCs w:val="24"/>
          <w:b/>
          <w:bCs/>
        </w:rPr>
        <w:t>DownBeat</w:t>
      </w:r>
      <w:r>
        <w:rPr>
          <w:rFonts w:ascii="SimSun" w:hAnsi="SimSun" w:eastAsia="SimSun" w:cs="SimSun"/>
          <w:sz w:val="24"/>
          <w:szCs w:val="24"/>
          <w:spacing w:val="130"/>
        </w:rPr>
        <w:t xml:space="preserve"> </w:t>
      </w:r>
      <w:r>
        <w:rPr>
          <w:sz w:val="24"/>
          <w:szCs w:val="24"/>
          <w:b/>
          <w:bCs/>
          <w:spacing w:val="1"/>
        </w:rPr>
        <w:t>杂</w:t>
      </w:r>
      <w:r>
        <w:rPr>
          <w:sz w:val="24"/>
          <w:szCs w:val="24"/>
          <w:spacing w:val="1"/>
        </w:rPr>
        <w:t>志长期观察与报道指出，爵士钢琴自20世纪中叶以来，已成为现代音乐创作中最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具动态演变的乐器之一，通常而言，其风格变迁不仅反映了爵士乐内部的创新需求，更体现了全</w:t>
      </w:r>
      <w:r>
        <w:rPr>
          <w:sz w:val="24"/>
          <w:szCs w:val="24"/>
          <w:spacing w:val="4"/>
        </w:rPr>
        <w:t xml:space="preserve">  </w:t>
      </w:r>
      <w:r>
        <w:rPr>
          <w:sz w:val="24"/>
          <w:szCs w:val="24"/>
        </w:rPr>
        <w:t>球文化交流的深化过程。国际爵士乐研究协会</w:t>
      </w:r>
      <w:r>
        <w:rPr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(IASJ)</w:t>
      </w:r>
      <w:r>
        <w:rPr>
          <w:rFonts w:ascii="SimSun" w:hAnsi="SimSun" w:eastAsia="SimSun" w:cs="SimSun"/>
          <w:sz w:val="24"/>
          <w:szCs w:val="24"/>
          <w:spacing w:val="41"/>
        </w:rPr>
        <w:t xml:space="preserve"> </w:t>
      </w:r>
      <w:r>
        <w:rPr>
          <w:sz w:val="24"/>
          <w:szCs w:val="24"/>
          <w:spacing w:val="-1"/>
        </w:rPr>
        <w:t>在《全球爵士乐发展白皮书》中强调，在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spacing w:val="1"/>
        </w:rPr>
        <w:t>一定程度上，爵士钢琴的演进为当代作曲家提供</w:t>
      </w:r>
      <w:r>
        <w:rPr>
          <w:sz w:val="24"/>
          <w:szCs w:val="24"/>
        </w:rPr>
        <w:t>了融合传统与前沿的范式，尤其在数字时代背景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spacing w:val="2"/>
        </w:rPr>
        <w:t>下。世界钢琴艺术基金会</w:t>
      </w:r>
      <w:r>
        <w:rPr>
          <w:sz w:val="24"/>
          <w:szCs w:val="24"/>
          <w:spacing w:val="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(</w:t>
      </w:r>
      <w:r>
        <w:rPr>
          <w:rFonts w:ascii="SimSun" w:hAnsi="SimSun" w:eastAsia="SimSun" w:cs="SimSun"/>
          <w:sz w:val="24"/>
          <w:szCs w:val="24"/>
        </w:rPr>
        <w:t>WPF</w:t>
      </w:r>
      <w:r>
        <w:rPr>
          <w:rFonts w:ascii="SimSun" w:hAnsi="SimSun" w:eastAsia="SimSun" w:cs="SimSun"/>
          <w:sz w:val="24"/>
          <w:szCs w:val="24"/>
          <w:spacing w:val="2"/>
        </w:rPr>
        <w:t>)</w:t>
      </w:r>
      <w:r>
        <w:rPr>
          <w:rFonts w:ascii="SimSun" w:hAnsi="SimSun" w:eastAsia="SimSun" w:cs="SimSun"/>
          <w:sz w:val="24"/>
          <w:szCs w:val="24"/>
          <w:spacing w:val="41"/>
        </w:rPr>
        <w:t xml:space="preserve">  </w:t>
      </w:r>
      <w:r>
        <w:rPr>
          <w:sz w:val="24"/>
          <w:szCs w:val="24"/>
          <w:spacing w:val="2"/>
        </w:rPr>
        <w:t>的分析显示，1950年后爵士钢琴的跨界实践，</w:t>
      </w:r>
      <w:r>
        <w:rPr>
          <w:sz w:val="24"/>
          <w:szCs w:val="24"/>
          <w:spacing w:val="1"/>
        </w:rPr>
        <w:t>可能为构建多元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1"/>
        </w:rPr>
        <w:t>文化音乐生态贡献关键案例。本报告从全球视野出发，系统评估爵士钢琴在现</w:t>
      </w:r>
      <w:r>
        <w:rPr>
          <w:sz w:val="24"/>
          <w:szCs w:val="24"/>
        </w:rPr>
        <w:t>代音乐创作中的创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spacing w:val="-2"/>
        </w:rPr>
        <w:t>新与风格演变，旨在为音乐教育与创作实践提供战略参考。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7" w:line="221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3"/>
        </w:rPr>
        <w:t>一、爵士钢琴风格演变的时期划分与特征分析</w:t>
      </w:r>
    </w:p>
    <w:p>
      <w:pPr>
        <w:pStyle w:val="BodyText"/>
        <w:ind w:right="143"/>
        <w:spacing w:before="223" w:line="333" w:lineRule="auto"/>
        <w:rPr>
          <w:sz w:val="24"/>
          <w:szCs w:val="24"/>
        </w:rPr>
      </w:pPr>
      <w:r>
        <w:rPr>
          <w:sz w:val="24"/>
          <w:szCs w:val="24"/>
        </w:rPr>
        <w:t>爵士钢琴的风格演变通常可分为几个关键时期，研究表明，这一过程体现了从功能性和声向调式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5"/>
        </w:rPr>
        <w:t>自由的转变。</w:t>
      </w:r>
    </w:p>
    <w:p>
      <w:pPr>
        <w:pStyle w:val="BodyText"/>
        <w:ind w:left="163"/>
        <w:spacing w:before="193" w:line="212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spacing w:val="-1"/>
        </w:rPr>
        <w:t>(一)1950年代：</w:t>
      </w:r>
      <w:r>
        <w:rPr>
          <w:sz w:val="24"/>
          <w:szCs w:val="24"/>
          <w:spacing w:val="-1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Bebop</w:t>
      </w:r>
      <w:r>
        <w:rPr>
          <w:rFonts w:ascii="Arial" w:hAnsi="Arial" w:eastAsia="Arial" w:cs="Arial"/>
          <w:sz w:val="24"/>
          <w:szCs w:val="24"/>
          <w:b/>
          <w:bCs/>
          <w:spacing w:val="-22"/>
        </w:rPr>
        <w:t xml:space="preserve"> </w:t>
      </w:r>
      <w:r>
        <w:rPr>
          <w:sz w:val="24"/>
          <w:szCs w:val="24"/>
          <w:b/>
          <w:bCs/>
          <w:spacing w:val="-1"/>
        </w:rPr>
        <w:t>与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Hard</w:t>
      </w:r>
      <w:r>
        <w:rPr>
          <w:rFonts w:ascii="Arial" w:hAnsi="Arial" w:eastAsia="Arial" w:cs="Arial"/>
          <w:sz w:val="24"/>
          <w:szCs w:val="24"/>
          <w:b/>
          <w:bCs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2"/>
        </w:rPr>
        <w:t>Bop</w:t>
      </w:r>
      <w:r>
        <w:rPr>
          <w:sz w:val="24"/>
          <w:szCs w:val="24"/>
          <w:b/>
          <w:bCs/>
          <w:spacing w:val="-2"/>
        </w:rPr>
        <w:t>时期的奠基</w:t>
      </w:r>
    </w:p>
    <w:p>
      <w:pPr>
        <w:pStyle w:val="BodyText"/>
        <w:spacing w:before="225" w:line="213" w:lineRule="auto"/>
        <w:rPr>
          <w:sz w:val="24"/>
          <w:szCs w:val="24"/>
        </w:rPr>
      </w:pPr>
      <w:r>
        <w:rPr>
          <w:sz w:val="24"/>
          <w:szCs w:val="24"/>
          <w:spacing w:val="1"/>
        </w:rPr>
        <w:t>据</w:t>
      </w:r>
      <w:r>
        <w:rPr>
          <w:rFonts w:ascii="SimSun" w:hAnsi="SimSun" w:eastAsia="SimSun" w:cs="SimSun"/>
          <w:sz w:val="24"/>
          <w:szCs w:val="24"/>
        </w:rPr>
        <w:t>JazzTimes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sz w:val="24"/>
          <w:szCs w:val="24"/>
          <w:spacing w:val="1"/>
        </w:rPr>
        <w:t>杂志历史回顾指出，1950年代爵士钢琴深受</w:t>
      </w:r>
      <w:r>
        <w:rPr>
          <w:rFonts w:ascii="SimSun" w:hAnsi="SimSun" w:eastAsia="SimSun" w:cs="SimSun"/>
          <w:sz w:val="24"/>
          <w:szCs w:val="24"/>
        </w:rPr>
        <w:t>bebop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sz w:val="24"/>
          <w:szCs w:val="24"/>
          <w:spacing w:val="1"/>
        </w:rPr>
        <w:t>影响，以</w:t>
      </w:r>
      <w:r>
        <w:rPr>
          <w:rFonts w:ascii="SimSun" w:hAnsi="SimSun" w:eastAsia="SimSun" w:cs="SimSun"/>
          <w:sz w:val="24"/>
          <w:szCs w:val="24"/>
        </w:rPr>
        <w:t>Bud</w:t>
      </w:r>
      <w:r>
        <w:rPr>
          <w:rFonts w:ascii="SimSun" w:hAnsi="SimSun" w:eastAsia="SimSun" w:cs="SimSun"/>
          <w:sz w:val="24"/>
          <w:szCs w:val="24"/>
          <w:spacing w:val="73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Powell</w:t>
      </w:r>
      <w:r>
        <w:rPr>
          <w:sz w:val="24"/>
          <w:szCs w:val="24"/>
          <w:spacing w:val="1"/>
        </w:rPr>
        <w:t>和</w:t>
      </w:r>
    </w:p>
    <w:p>
      <w:pPr>
        <w:pStyle w:val="BodyText"/>
        <w:ind w:right="139"/>
        <w:spacing w:before="135" w:line="324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Thelonious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 </w:t>
      </w:r>
      <w:r>
        <w:rPr>
          <w:rFonts w:ascii="SimSun" w:hAnsi="SimSun" w:eastAsia="SimSun" w:cs="SimSun"/>
          <w:sz w:val="24"/>
          <w:szCs w:val="24"/>
        </w:rPr>
        <w:t>Monk</w:t>
      </w:r>
      <w:r>
        <w:rPr>
          <w:sz w:val="24"/>
          <w:szCs w:val="24"/>
          <w:spacing w:val="1"/>
        </w:rPr>
        <w:t>为代表，强调快速节奏、复杂和声与即兴独奏</w:t>
      </w:r>
      <w:r>
        <w:rPr>
          <w:sz w:val="24"/>
          <w:szCs w:val="24"/>
        </w:rPr>
        <w:t>。通常而言，这一时期钢琴从伴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奏角色转向核心独奏乐器。</w:t>
      </w:r>
    </w:p>
    <w:p>
      <w:pPr>
        <w:pStyle w:val="BodyText"/>
        <w:spacing w:before="256" w:line="221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4"/>
        </w:rPr>
        <w:t>1.</w:t>
      </w:r>
      <w:r>
        <w:rPr>
          <w:sz w:val="24"/>
          <w:szCs w:val="24"/>
          <w:spacing w:val="-4"/>
        </w:rPr>
        <w:t>风格特征对比表</w:t>
      </w:r>
    </w:p>
    <w:p>
      <w:pPr>
        <w:spacing w:line="221" w:lineRule="auto"/>
        <w:sectPr>
          <w:footerReference w:type="default" r:id="rId2"/>
          <w:pgSz w:w="12240" w:h="15840"/>
          <w:pgMar w:top="1346" w:right="1027" w:bottom="400" w:left="970" w:header="0" w:footer="0" w:gutter="0"/>
        </w:sectPr>
        <w:rPr>
          <w:sz w:val="24"/>
          <w:szCs w:val="24"/>
        </w:rPr>
      </w:pPr>
    </w:p>
    <w:p>
      <w:pPr>
        <w:pStyle w:val="BodyText"/>
        <w:ind w:left="104" w:right="332"/>
        <w:spacing w:before="78" w:line="287" w:lineRule="auto"/>
        <w:rPr>
          <w:rFonts w:ascii="LiSu" w:hAnsi="LiSu" w:eastAsia="LiSu" w:cs="LiSu"/>
          <w:sz w:val="24"/>
          <w:szCs w:val="24"/>
        </w:rPr>
      </w:pPr>
      <w:r>
        <w:rPr>
          <w:sz w:val="21"/>
          <w:szCs w:val="21"/>
          <w:b/>
          <w:bCs/>
          <w:spacing w:val="-8"/>
        </w:rPr>
        <w:t>时期特</w:t>
      </w:r>
      <w:r>
        <w:rPr>
          <w:sz w:val="21"/>
          <w:szCs w:val="21"/>
        </w:rPr>
        <w:t xml:space="preserve"> </w:t>
      </w:r>
      <w:r>
        <w:rPr>
          <w:rFonts w:ascii="LiSu" w:hAnsi="LiSu" w:eastAsia="LiSu" w:cs="LiSu"/>
          <w:sz w:val="24"/>
          <w:szCs w:val="24"/>
          <w:b/>
          <w:bCs/>
          <w:spacing w:val="-3"/>
        </w:rPr>
        <w:t>征</w:t>
      </w:r>
    </w:p>
    <w:p>
      <w:pPr>
        <w:pStyle w:val="BodyText"/>
        <w:ind w:left="101"/>
        <w:spacing w:before="243" w:line="222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和声结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right="187" w:firstLine="29"/>
        <w:spacing w:before="69" w:line="455" w:lineRule="auto"/>
        <w:rPr>
          <w:sz w:val="21"/>
          <w:szCs w:val="21"/>
        </w:rPr>
      </w:pPr>
      <w:r>
        <w:rPr>
          <w:rFonts w:ascii="Arial" w:hAnsi="Arial" w:eastAsia="Arial" w:cs="Arial"/>
          <w:sz w:val="24"/>
          <w:szCs w:val="24"/>
          <w:b/>
          <w:bCs/>
          <w:spacing w:val="-4"/>
        </w:rPr>
        <w:t>Bebop(1940s-1950s)</w:t>
      </w:r>
      <w:r>
        <w:rPr>
          <w:rFonts w:ascii="Arial" w:hAnsi="Arial" w:eastAsia="Arial" w:cs="Arial"/>
          <w:sz w:val="24"/>
          <w:szCs w:val="24"/>
          <w:b/>
          <w:bCs/>
          <w:spacing w:val="12"/>
        </w:rPr>
        <w:t xml:space="preserve"> </w:t>
      </w:r>
      <w:r>
        <w:rPr>
          <w:sz w:val="21"/>
          <w:szCs w:val="21"/>
          <w:spacing w:val="2"/>
        </w:rPr>
        <w:t>功能性和声主导，频繁转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698" w:firstLine="10"/>
        <w:spacing w:before="93" w:line="295" w:lineRule="auto"/>
        <w:rPr>
          <w:rFonts w:ascii="LiSu" w:hAnsi="LiSu" w:eastAsia="LiSu" w:cs="LiSu"/>
          <w:sz w:val="24"/>
          <w:szCs w:val="24"/>
        </w:rPr>
      </w:pPr>
      <w:r>
        <w:rPr>
          <w:rFonts w:ascii="Arial" w:hAnsi="Arial" w:eastAsia="Arial" w:cs="Arial"/>
          <w:sz w:val="21"/>
          <w:szCs w:val="21"/>
          <w:b/>
          <w:bCs/>
          <w:spacing w:val="-3"/>
        </w:rPr>
        <w:t>Hard</w:t>
      </w:r>
      <w:r>
        <w:rPr>
          <w:rFonts w:ascii="Arial" w:hAnsi="Arial" w:eastAsia="Arial" w:cs="Arial"/>
          <w:sz w:val="21"/>
          <w:szCs w:val="21"/>
          <w:b/>
          <w:bCs/>
          <w:spacing w:val="5"/>
        </w:rPr>
        <w:t xml:space="preserve">    </w:t>
      </w:r>
      <w:r>
        <w:rPr>
          <w:rFonts w:ascii="Arial" w:hAnsi="Arial" w:eastAsia="Arial" w:cs="Arial"/>
          <w:sz w:val="21"/>
          <w:szCs w:val="21"/>
          <w:b/>
          <w:bCs/>
          <w:spacing w:val="-3"/>
        </w:rPr>
        <w:t>Bop(mid-</w:t>
      </w:r>
      <w:r>
        <w:rPr>
          <w:rFonts w:ascii="Arial" w:hAnsi="Arial" w:eastAsia="Arial" w:cs="Arial"/>
          <w:sz w:val="21"/>
          <w:szCs w:val="21"/>
          <w:b/>
          <w:bCs/>
          <w:spacing w:val="3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4"/>
        </w:rPr>
        <w:t>1950s</w:t>
      </w:r>
      <w:r>
        <w:rPr>
          <w:rFonts w:ascii="LiSu" w:hAnsi="LiSu" w:eastAsia="LiSu" w:cs="LiSu"/>
          <w:sz w:val="24"/>
          <w:szCs w:val="24"/>
          <w:spacing w:val="-4"/>
        </w:rPr>
        <w:t>)</w:t>
      </w:r>
    </w:p>
    <w:p>
      <w:pPr>
        <w:pStyle w:val="BodyText"/>
        <w:ind w:left="10"/>
        <w:spacing w:before="256" w:line="222" w:lineRule="auto"/>
        <w:rPr>
          <w:sz w:val="21"/>
          <w:szCs w:val="21"/>
        </w:rPr>
      </w:pPr>
      <w:r>
        <w:rPr>
          <w:sz w:val="21"/>
          <w:szCs w:val="21"/>
          <w:spacing w:val="1"/>
        </w:rPr>
        <w:t>融入蓝调与福音元素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55" w:lineRule="auto"/>
        <w:rPr>
          <w:rFonts w:ascii="Arial"/>
          <w:sz w:val="21"/>
        </w:rPr>
      </w:pPr>
      <w:r/>
    </w:p>
    <w:p>
      <w:pPr>
        <w:pStyle w:val="BodyText"/>
        <w:ind w:left="3"/>
        <w:spacing w:before="68" w:line="222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4"/>
        </w:rPr>
        <w:t>积极影响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spacing w:before="69" w:line="221" w:lineRule="auto"/>
        <w:rPr>
          <w:sz w:val="21"/>
          <w:szCs w:val="21"/>
        </w:rPr>
      </w:pPr>
      <w:r>
        <w:rPr>
          <w:sz w:val="21"/>
          <w:szCs w:val="21"/>
          <w:spacing w:val="2"/>
        </w:rPr>
        <w:t>提升技术复杂度与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/>
        <w:spacing w:before="67" w:line="222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4"/>
        </w:rPr>
        <w:t>潜在局限与挑</w:t>
      </w:r>
    </w:p>
    <w:p>
      <w:pPr>
        <w:pStyle w:val="BodyText"/>
        <w:spacing w:before="110" w:line="223" w:lineRule="auto"/>
        <w:rPr>
          <w:sz w:val="21"/>
          <w:szCs w:val="21"/>
        </w:rPr>
      </w:pPr>
      <w:r>
        <w:rPr>
          <w:sz w:val="21"/>
          <w:szCs w:val="21"/>
        </w:rPr>
        <w:t>战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spacing w:before="68" w:line="222" w:lineRule="auto"/>
        <w:rPr>
          <w:sz w:val="21"/>
          <w:szCs w:val="21"/>
        </w:rPr>
      </w:pPr>
      <w:r>
        <w:rPr>
          <w:sz w:val="21"/>
          <w:szCs w:val="21"/>
          <w:spacing w:val="1"/>
        </w:rPr>
        <w:t>即兴空间受和弦变</w:t>
      </w:r>
    </w:p>
    <w:p>
      <w:pPr>
        <w:spacing w:line="222" w:lineRule="auto"/>
        <w:sectPr>
          <w:pgSz w:w="12240" w:h="15840"/>
          <w:pgMar w:top="1076" w:right="1159" w:bottom="400" w:left="878" w:header="0" w:footer="0" w:gutter="0"/>
          <w:cols w:equalWidth="0" w:num="5">
            <w:col w:w="1052" w:space="100"/>
            <w:col w:w="2520" w:space="100"/>
            <w:col w:w="2331" w:space="100"/>
            <w:col w:w="2020" w:space="100"/>
            <w:col w:w="1882" w:space="0"/>
          </w:cols>
        </w:sectPr>
        <w:rPr>
          <w:sz w:val="21"/>
          <w:szCs w:val="21"/>
        </w:rPr>
      </w:pPr>
    </w:p>
    <w:p>
      <w:pPr>
        <w:pStyle w:val="BodyText"/>
        <w:ind w:left="101"/>
        <w:spacing w:line="186" w:lineRule="auto"/>
        <w:rPr>
          <w:sz w:val="20"/>
          <w:szCs w:val="20"/>
        </w:rPr>
      </w:pPr>
      <w:r>
        <w:rPr>
          <w:sz w:val="21"/>
          <w:szCs w:val="21"/>
          <w:spacing w:val="-5"/>
        </w:rPr>
        <w:t>构</w:t>
      </w:r>
      <w:r>
        <w:rPr>
          <w:sz w:val="21"/>
          <w:szCs w:val="21"/>
          <w:spacing w:val="2"/>
        </w:rPr>
        <w:t xml:space="preserve">        </w:t>
      </w:r>
      <w:r>
        <w:rPr>
          <w:sz w:val="21"/>
          <w:szCs w:val="21"/>
          <w:spacing w:val="-5"/>
        </w:rPr>
        <w:t>调</w:t>
      </w:r>
      <w:r>
        <w:rPr>
          <w:sz w:val="21"/>
          <w:szCs w:val="21"/>
          <w:spacing w:val="-5"/>
        </w:rPr>
        <w:t xml:space="preserve">                                             </w:t>
      </w:r>
      <w:r>
        <w:rPr>
          <w:sz w:val="20"/>
          <w:szCs w:val="20"/>
          <w:spacing w:val="-5"/>
        </w:rPr>
        <w:t>情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5"/>
        </w:rPr>
        <w:t>感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5"/>
        </w:rPr>
        <w:t>深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5"/>
        </w:rPr>
        <w:t>度</w:t>
      </w:r>
      <w:r>
        <w:rPr>
          <w:sz w:val="20"/>
          <w:szCs w:val="20"/>
          <w:spacing w:val="-5"/>
        </w:rPr>
        <w:t xml:space="preserve">            </w:t>
      </w:r>
      <w:r>
        <w:rPr>
          <w:sz w:val="20"/>
          <w:szCs w:val="20"/>
          <w:spacing w:val="-5"/>
        </w:rPr>
        <w:t>化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-5"/>
        </w:rPr>
        <w:t>限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5"/>
        </w:rPr>
        <w:t>制</w:t>
      </w:r>
    </w:p>
    <w:tbl>
      <w:tblPr>
        <w:tblStyle w:val="TableNormal"/>
        <w:tblW w:w="10123" w:type="dxa"/>
        <w:tblInd w:w="7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73"/>
        <w:gridCol w:w="2655"/>
        <w:gridCol w:w="470"/>
        <w:gridCol w:w="1978"/>
        <w:gridCol w:w="563"/>
        <w:gridCol w:w="1458"/>
        <w:gridCol w:w="232"/>
        <w:gridCol w:w="1894"/>
      </w:tblGrid>
      <w:tr>
        <w:trPr>
          <w:trHeight w:val="972" w:hRule="atLeast"/>
        </w:trPr>
        <w:tc>
          <w:tcPr>
            <w:tcW w:w="87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" w:right="231"/>
              <w:spacing w:before="68" w:line="253" w:lineRule="auto"/>
              <w:rPr/>
            </w:pPr>
            <w:r>
              <w:rPr>
                <w:spacing w:val="-4"/>
              </w:rPr>
              <w:t>节奏特</w:t>
            </w:r>
            <w:r>
              <w:rPr/>
              <w:t xml:space="preserve"> </w:t>
            </w:r>
            <w:r>
              <w:rPr/>
              <w:t>征</w:t>
            </w:r>
          </w:p>
        </w:tc>
        <w:tc>
          <w:tcPr>
            <w:tcW w:w="265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9"/>
              <w:spacing w:before="68" w:line="222" w:lineRule="auto"/>
              <w:rPr/>
            </w:pPr>
            <w:r>
              <w:rPr>
                <w:spacing w:val="-1"/>
              </w:rPr>
              <w:t>快速、不对称短语</w:t>
            </w:r>
          </w:p>
        </w:tc>
        <w:tc>
          <w:tcPr>
            <w:tcW w:w="2448" w:type="dxa"/>
            <w:vAlign w:val="top"/>
            <w:gridSpan w:val="2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3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3" w:right="132" w:hanging="19"/>
              <w:spacing w:before="68" w:line="244" w:lineRule="auto"/>
              <w:rPr/>
            </w:pPr>
            <w:r>
              <w:rPr>
                <w:spacing w:val="-2"/>
              </w:rPr>
              <w:t>更强</w:t>
            </w:r>
            <w:r>
              <w:rPr>
                <w:rFonts w:ascii="SimSun" w:hAnsi="SimSun" w:eastAsia="SimSun" w:cs="SimSun"/>
                <w:spacing w:val="-2"/>
              </w:rPr>
              <w:t>groove</w:t>
            </w:r>
            <w:r>
              <w:rPr>
                <w:rFonts w:ascii="SimSun" w:hAnsi="SimSun" w:eastAsia="SimSun" w:cs="SimSun"/>
                <w:spacing w:val="-40"/>
              </w:rPr>
              <w:t xml:space="preserve"> </w:t>
            </w:r>
            <w:r>
              <w:rPr>
                <w:spacing w:val="-2"/>
              </w:rPr>
              <w:t>感，蓝调节</w:t>
            </w:r>
            <w:r>
              <w:rPr/>
              <w:t xml:space="preserve"> </w:t>
            </w:r>
            <w:r>
              <w:rPr/>
              <w:t>奏</w:t>
            </w:r>
          </w:p>
        </w:tc>
        <w:tc>
          <w:tcPr>
            <w:tcW w:w="2021" w:type="dxa"/>
            <w:vAlign w:val="top"/>
            <w:gridSpan w:val="2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5" w:right="200" w:hanging="9"/>
              <w:spacing w:before="68" w:line="259" w:lineRule="auto"/>
              <w:rPr>
                <w:sz w:val="20"/>
                <w:szCs w:val="20"/>
              </w:rPr>
            </w:pPr>
            <w:r>
              <w:rPr>
                <w:spacing w:val="-1"/>
              </w:rPr>
              <w:t>增强可听性与舞蹈</w:t>
            </w:r>
            <w:r>
              <w:rPr/>
              <w:t xml:space="preserve"> </w:t>
            </w:r>
            <w:r>
              <w:rPr>
                <w:sz w:val="20"/>
                <w:szCs w:val="20"/>
              </w:rPr>
              <w:t>性</w:t>
            </w:r>
          </w:p>
        </w:tc>
        <w:tc>
          <w:tcPr>
            <w:tcW w:w="2126" w:type="dxa"/>
            <w:vAlign w:val="top"/>
            <w:gridSpan w:val="2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2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2" w:right="187" w:firstLine="32"/>
              <w:spacing w:before="68" w:line="254" w:lineRule="auto"/>
              <w:rPr>
                <w:sz w:val="20"/>
                <w:szCs w:val="20"/>
              </w:rPr>
            </w:pPr>
            <w:r>
              <w:rPr>
                <w:spacing w:val="1"/>
              </w:rPr>
              <w:t>可能牺牲纯即兴自</w:t>
            </w:r>
            <w:r>
              <w:rPr>
                <w:spacing w:val="3"/>
              </w:rPr>
              <w:t xml:space="preserve"> </w:t>
            </w:r>
            <w:r>
              <w:rPr>
                <w:sz w:val="20"/>
                <w:szCs w:val="20"/>
                <w:spacing w:val="-11"/>
              </w:rPr>
              <w:t>由</w:t>
            </w:r>
            <w:r>
              <w:rPr>
                <w:sz w:val="20"/>
                <w:szCs w:val="20"/>
                <w:spacing w:val="38"/>
              </w:rPr>
              <w:t xml:space="preserve"> </w:t>
            </w:r>
            <w:r>
              <w:rPr>
                <w:sz w:val="20"/>
                <w:szCs w:val="20"/>
                <w:spacing w:val="-11"/>
              </w:rPr>
              <w:t>度</w:t>
            </w:r>
          </w:p>
        </w:tc>
      </w:tr>
      <w:tr>
        <w:trPr>
          <w:trHeight w:val="697" w:hRule="atLeast"/>
        </w:trPr>
        <w:tc>
          <w:tcPr>
            <w:tcW w:w="873" w:type="dxa"/>
            <w:vAlign w:val="top"/>
            <w:tcBorders>
              <w:top w:val="single" w:color="000000" w:sz="4" w:space="0"/>
            </w:tcBorders>
          </w:tcPr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"/>
              <w:spacing w:before="68" w:line="222" w:lineRule="auto"/>
              <w:rPr/>
            </w:pPr>
            <w:r>
              <w:rPr>
                <w:spacing w:val="5"/>
              </w:rPr>
              <w:t>代表钢</w:t>
            </w:r>
          </w:p>
        </w:tc>
        <w:tc>
          <w:tcPr>
            <w:tcW w:w="2655" w:type="dxa"/>
            <w:vAlign w:val="top"/>
            <w:tcBorders>
              <w:top w:val="single" w:color="000000" w:sz="4" w:space="0"/>
            </w:tcBorders>
          </w:tcPr>
          <w:p>
            <w:pPr>
              <w:spacing w:line="342" w:lineRule="auto"/>
              <w:rPr>
                <w:rFonts w:ascii="Arial"/>
                <w:sz w:val="21"/>
              </w:rPr>
            </w:pPr>
            <w:r/>
          </w:p>
          <w:p>
            <w:pPr>
              <w:ind w:left="219"/>
              <w:spacing w:before="60" w:line="196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spacing w:val="-2"/>
              </w:rPr>
              <w:t>Bud</w:t>
            </w:r>
            <w:r>
              <w:rPr>
                <w:rFonts w:ascii="Arial" w:hAnsi="Arial" w:eastAsia="Arial" w:cs="Arial"/>
                <w:sz w:val="21"/>
                <w:szCs w:val="21"/>
                <w:spacing w:val="18"/>
              </w:rPr>
              <w:t xml:space="preserve">   </w:t>
            </w:r>
            <w:r>
              <w:rPr>
                <w:rFonts w:ascii="Arial" w:hAnsi="Arial" w:eastAsia="Arial" w:cs="Arial"/>
                <w:sz w:val="21"/>
                <w:szCs w:val="21"/>
                <w:spacing w:val="-2"/>
              </w:rPr>
              <w:t>Powell,Thelonious</w:t>
            </w:r>
          </w:p>
        </w:tc>
        <w:tc>
          <w:tcPr>
            <w:tcW w:w="2448" w:type="dxa"/>
            <w:vAlign w:val="top"/>
            <w:gridSpan w:val="2"/>
            <w:tcBorders>
              <w:top w:val="single" w:color="000000" w:sz="4" w:space="0"/>
            </w:tcBorders>
          </w:tcPr>
          <w:p>
            <w:pPr>
              <w:spacing w:line="365" w:lineRule="auto"/>
              <w:rPr>
                <w:rFonts w:ascii="Arial"/>
                <w:sz w:val="21"/>
              </w:rPr>
            </w:pPr>
            <w:r/>
          </w:p>
          <w:p>
            <w:pPr>
              <w:ind w:left="174"/>
              <w:spacing w:before="61" w:line="198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spacing w:val="-2"/>
              </w:rPr>
              <w:t>Horace</w:t>
            </w:r>
            <w:r>
              <w:rPr>
                <w:rFonts w:ascii="Arial" w:hAnsi="Arial" w:eastAsia="Arial" w:cs="Arial"/>
                <w:sz w:val="21"/>
                <w:szCs w:val="21"/>
                <w:spacing w:val="16"/>
              </w:rPr>
              <w:t xml:space="preserve">   </w:t>
            </w:r>
            <w:r>
              <w:rPr>
                <w:rFonts w:ascii="Arial" w:hAnsi="Arial" w:eastAsia="Arial" w:cs="Arial"/>
                <w:sz w:val="21"/>
                <w:szCs w:val="21"/>
                <w:spacing w:val="-2"/>
              </w:rPr>
              <w:t>Silver,McCoy</w:t>
            </w:r>
          </w:p>
        </w:tc>
        <w:tc>
          <w:tcPr>
            <w:tcW w:w="2021" w:type="dxa"/>
            <w:vAlign w:val="top"/>
            <w:gridSpan w:val="2"/>
            <w:tcBorders>
              <w:top w:val="single" w:color="000000" w:sz="4" w:space="0"/>
            </w:tcBorders>
          </w:tcPr>
          <w:p>
            <w:pPr>
              <w:spacing w:line="30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6"/>
              <w:spacing w:before="68" w:line="221" w:lineRule="auto"/>
              <w:rPr/>
            </w:pPr>
            <w:r>
              <w:rPr>
                <w:spacing w:val="-2"/>
              </w:rPr>
              <w:t>奠定现代爵士钢琴</w:t>
            </w:r>
          </w:p>
        </w:tc>
        <w:tc>
          <w:tcPr>
            <w:tcW w:w="2126" w:type="dxa"/>
            <w:vAlign w:val="top"/>
            <w:gridSpan w:val="2"/>
            <w:tcBorders>
              <w:top w:val="single" w:color="000000" w:sz="4" w:space="0"/>
            </w:tcBorders>
          </w:tcPr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5"/>
              <w:spacing w:before="68" w:line="223" w:lineRule="auto"/>
              <w:rPr/>
            </w:pPr>
            <w:r>
              <w:rPr>
                <w:spacing w:val="-2"/>
              </w:rPr>
              <w:t>适用条件限于小组</w:t>
            </w:r>
          </w:p>
        </w:tc>
      </w:tr>
      <w:tr>
        <w:trPr>
          <w:trHeight w:val="363" w:hRule="atLeast"/>
        </w:trPr>
        <w:tc>
          <w:tcPr>
            <w:tcW w:w="873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2"/>
              <w:spacing w:before="47" w:line="221" w:lineRule="auto"/>
              <w:rPr/>
            </w:pPr>
            <w:r>
              <w:rPr>
                <w:spacing w:val="-2"/>
              </w:rPr>
              <w:t>琴家</w:t>
            </w:r>
          </w:p>
        </w:tc>
        <w:tc>
          <w:tcPr>
            <w:tcW w:w="2655" w:type="dxa"/>
            <w:vAlign w:val="top"/>
            <w:tcBorders>
              <w:bottom w:val="single" w:color="000000" w:sz="2" w:space="0"/>
            </w:tcBorders>
          </w:tcPr>
          <w:p>
            <w:pPr>
              <w:ind w:left="219"/>
              <w:spacing w:before="58" w:line="192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Monk</w:t>
            </w:r>
          </w:p>
        </w:tc>
        <w:tc>
          <w:tcPr>
            <w:tcW w:w="2448" w:type="dxa"/>
            <w:vAlign w:val="top"/>
            <w:gridSpan w:val="2"/>
            <w:tcBorders>
              <w:bottom w:val="single" w:color="000000" w:sz="2" w:space="0"/>
            </w:tcBorders>
          </w:tcPr>
          <w:p>
            <w:pPr>
              <w:ind w:left="174"/>
              <w:spacing w:before="83" w:line="196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spacing w:val="-1"/>
              </w:rPr>
              <w:t>Tyner</w:t>
            </w:r>
          </w:p>
        </w:tc>
        <w:tc>
          <w:tcPr>
            <w:tcW w:w="2021" w:type="dxa"/>
            <w:vAlign w:val="top"/>
            <w:gridSpan w:val="2"/>
            <w:tcBorders>
              <w:bottom w:val="single" w:color="000000" w:sz="2" w:space="0"/>
            </w:tcBorders>
          </w:tcPr>
          <w:p>
            <w:pPr>
              <w:pStyle w:val="TableText"/>
              <w:ind w:left="146"/>
              <w:spacing w:before="47" w:line="221" w:lineRule="auto"/>
              <w:rPr/>
            </w:pPr>
            <w:r>
              <w:rPr>
                <w:spacing w:val="6"/>
              </w:rPr>
              <w:t>基础</w:t>
            </w:r>
          </w:p>
        </w:tc>
        <w:tc>
          <w:tcPr>
            <w:tcW w:w="2126" w:type="dxa"/>
            <w:vAlign w:val="top"/>
            <w:gridSpan w:val="2"/>
            <w:tcBorders>
              <w:bottom w:val="single" w:color="000000" w:sz="2" w:space="0"/>
            </w:tcBorders>
          </w:tcPr>
          <w:p>
            <w:pPr>
              <w:pStyle w:val="TableText"/>
              <w:ind w:left="245"/>
              <w:spacing w:before="50" w:line="224" w:lineRule="auto"/>
              <w:rPr/>
            </w:pPr>
            <w:r>
              <w:rPr>
                <w:spacing w:val="-3"/>
              </w:rPr>
              <w:t>合奏</w:t>
            </w:r>
          </w:p>
        </w:tc>
      </w:tr>
      <w:tr>
        <w:trPr>
          <w:trHeight w:val="1128" w:hRule="atLeast"/>
        </w:trPr>
        <w:tc>
          <w:tcPr>
            <w:tcW w:w="87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2" w:right="210"/>
              <w:spacing w:before="290" w:line="319" w:lineRule="auto"/>
              <w:rPr/>
            </w:pPr>
            <w:r>
              <w:rPr>
                <w:spacing w:val="3"/>
              </w:rPr>
              <w:t>即兴手</w:t>
            </w:r>
            <w:r>
              <w:rPr/>
              <w:t xml:space="preserve"> </w:t>
            </w:r>
            <w:r>
              <w:rPr/>
              <w:t>法</w:t>
            </w:r>
          </w:p>
        </w:tc>
        <w:tc>
          <w:tcPr>
            <w:tcW w:w="5103" w:type="dxa"/>
            <w:vAlign w:val="top"/>
            <w:gridSpan w:val="3"/>
            <w:tcBorders>
              <w:top w:val="single" w:color="000000" w:sz="2" w:space="0"/>
            </w:tcBorders>
          </w:tcPr>
          <w:p>
            <w:pPr>
              <w:pStyle w:val="TableText"/>
              <w:ind w:left="2829" w:right="181" w:hanging="2610"/>
              <w:spacing w:before="289" w:line="321" w:lineRule="auto"/>
              <w:rPr/>
            </w:pPr>
            <w:r>
              <w:rPr/>
              <w:t>基于和弦的音阶跑动</w:t>
            </w:r>
            <w:r>
              <w:rPr>
                <w:spacing w:val="13"/>
              </w:rPr>
              <w:t xml:space="preserve">      </w:t>
            </w:r>
            <w:r>
              <w:rPr/>
              <w:t>蓝调音阶与五声音阶融</w:t>
            </w:r>
            <w:r>
              <w:rPr>
                <w:spacing w:val="2"/>
              </w:rPr>
              <w:t xml:space="preserve"> </w:t>
            </w:r>
            <w:r>
              <w:rPr/>
              <w:t>合</w:t>
            </w:r>
          </w:p>
        </w:tc>
        <w:tc>
          <w:tcPr>
            <w:tcW w:w="4147" w:type="dxa"/>
            <w:vAlign w:val="top"/>
            <w:gridSpan w:val="4"/>
            <w:tcBorders>
              <w:top w:val="single" w:color="000000" w:sz="2" w:space="0"/>
            </w:tcBorders>
          </w:tcPr>
          <w:p>
            <w:pPr>
              <w:pStyle w:val="TableText"/>
              <w:ind w:left="146"/>
              <w:spacing w:before="288" w:line="222" w:lineRule="auto"/>
              <w:rPr/>
            </w:pPr>
            <w:r>
              <w:rPr>
                <w:spacing w:val="-2"/>
              </w:rPr>
              <w:t>丰富表现力</w:t>
            </w:r>
            <w:r>
              <w:rPr>
                <w:spacing w:val="3"/>
              </w:rPr>
              <w:t xml:space="preserve">          </w:t>
            </w:r>
            <w:r>
              <w:rPr>
                <w:spacing w:val="-2"/>
              </w:rPr>
              <w:t>面临商业化压力</w:t>
            </w:r>
          </w:p>
        </w:tc>
      </w:tr>
      <w:tr>
        <w:trPr>
          <w:trHeight w:val="3138" w:hRule="atLeast"/>
        </w:trPr>
        <w:tc>
          <w:tcPr>
            <w:tcW w:w="10123" w:type="dxa"/>
            <w:vAlign w:val="top"/>
            <w:gridSpan w:val="8"/>
          </w:tcPr>
          <w:p>
            <w:pPr>
              <w:pStyle w:val="TableText"/>
              <w:ind w:left="22"/>
              <w:spacing w:before="252" w:line="35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"/>
              </w:rPr>
              <w:t>需要指出的是，这一时期的创新虽推动了爵</w:t>
            </w:r>
            <w:r>
              <w:rPr>
                <w:sz w:val="24"/>
                <w:szCs w:val="24"/>
              </w:rPr>
              <w:t>士钢琴的技术巅峰，但其潜在局限在于对传统和声的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spacing w:val="-2"/>
              </w:rPr>
              <w:t>依赖，可能在一定程度上限制了旋律的长期延展。</w:t>
            </w:r>
          </w:p>
          <w:p>
            <w:pPr>
              <w:pStyle w:val="TableText"/>
              <w:ind w:left="186"/>
              <w:spacing w:before="176" w:line="22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"/>
              </w:rPr>
              <w:t>(二)1960年代：</w:t>
            </w:r>
            <w:r>
              <w:rPr>
                <w:sz w:val="24"/>
                <w:szCs w:val="24"/>
                <w:spacing w:val="-1"/>
              </w:rPr>
              <w:t xml:space="preserve"> </w:t>
            </w:r>
            <w:r>
              <w:rPr>
                <w:rFonts w:ascii="Arial" w:hAnsi="Arial" w:eastAsia="Arial" w:cs="Arial"/>
                <w:sz w:val="24"/>
                <w:szCs w:val="24"/>
                <w:b/>
                <w:bCs/>
                <w:spacing w:val="-1"/>
              </w:rPr>
              <w:t>Modal Jazz</w:t>
            </w:r>
            <w:r>
              <w:rPr>
                <w:sz w:val="24"/>
                <w:szCs w:val="24"/>
                <w:b/>
                <w:bCs/>
                <w:spacing w:val="-1"/>
              </w:rPr>
              <w:t>与</w:t>
            </w:r>
            <w:r>
              <w:rPr>
                <w:rFonts w:ascii="Arial" w:hAnsi="Arial" w:eastAsia="Arial" w:cs="Arial"/>
                <w:sz w:val="24"/>
                <w:szCs w:val="24"/>
                <w:b/>
                <w:bCs/>
                <w:spacing w:val="-1"/>
              </w:rPr>
              <w:t>Cool Jazz</w:t>
            </w:r>
            <w:r>
              <w:rPr>
                <w:sz w:val="24"/>
                <w:szCs w:val="24"/>
                <w:b/>
                <w:bCs/>
                <w:spacing w:val="-1"/>
              </w:rPr>
              <w:t>的兴起</w:t>
            </w:r>
          </w:p>
          <w:p>
            <w:pPr>
              <w:pStyle w:val="TableText"/>
              <w:ind w:left="22" w:right="67"/>
              <w:spacing w:before="213" w:line="321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4"/>
              </w:rPr>
              <w:t>据国际爵士乐研究协会</w:t>
            </w:r>
            <w:r>
              <w:rPr>
                <w:sz w:val="24"/>
                <w:szCs w:val="24"/>
                <w:spacing w:val="-4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4"/>
              </w:rPr>
              <w:t>(IASJ)</w:t>
            </w:r>
            <w:r>
              <w:rPr>
                <w:rFonts w:ascii="SimSun" w:hAnsi="SimSun" w:eastAsia="SimSun" w:cs="SimSun"/>
                <w:sz w:val="24"/>
                <w:szCs w:val="24"/>
                <w:spacing w:val="56"/>
              </w:rPr>
              <w:t xml:space="preserve"> </w:t>
            </w:r>
            <w:r>
              <w:rPr>
                <w:sz w:val="24"/>
                <w:szCs w:val="24"/>
                <w:spacing w:val="-4"/>
              </w:rPr>
              <w:t>报告显示，</w:t>
            </w:r>
            <w:r>
              <w:rPr>
                <w:rFonts w:ascii="SimSun" w:hAnsi="SimSun" w:eastAsia="SimSun" w:cs="SimSun"/>
                <w:sz w:val="24"/>
                <w:szCs w:val="24"/>
                <w:spacing w:val="-4"/>
              </w:rPr>
              <w:t>Bill Evans</w:t>
            </w:r>
            <w:r>
              <w:rPr>
                <w:sz w:val="24"/>
                <w:szCs w:val="24"/>
                <w:spacing w:val="-4"/>
              </w:rPr>
              <w:t>在</w:t>
            </w:r>
            <w:r>
              <w:rPr>
                <w:rFonts w:ascii="SimSun" w:hAnsi="SimSun" w:eastAsia="SimSun" w:cs="SimSun"/>
                <w:sz w:val="24"/>
                <w:szCs w:val="24"/>
                <w:spacing w:val="-4"/>
              </w:rPr>
              <w:t>Miles Davis</w:t>
            </w:r>
            <w:r>
              <w:rPr>
                <w:sz w:val="24"/>
                <w:szCs w:val="24"/>
                <w:spacing w:val="-4"/>
              </w:rPr>
              <w:t>的《</w:t>
            </w:r>
            <w:r>
              <w:rPr>
                <w:rFonts w:ascii="SimSun" w:hAnsi="SimSun" w:eastAsia="SimSun" w:cs="SimSun"/>
                <w:sz w:val="24"/>
                <w:szCs w:val="24"/>
                <w:spacing w:val="-4"/>
              </w:rPr>
              <w:t>Kind</w:t>
            </w:r>
            <w:r>
              <w:rPr>
                <w:rFonts w:ascii="SimSun" w:hAnsi="SimSun" w:eastAsia="SimSun" w:cs="SimSun"/>
                <w:sz w:val="24"/>
                <w:szCs w:val="24"/>
                <w:spacing w:val="75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4"/>
              </w:rPr>
              <w:t>of</w:t>
            </w:r>
            <w:r>
              <w:rPr>
                <w:rFonts w:ascii="SimSun" w:hAnsi="SimSun" w:eastAsia="SimSun" w:cs="SimSun"/>
                <w:sz w:val="24"/>
                <w:szCs w:val="24"/>
                <w:spacing w:val="68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4"/>
              </w:rPr>
              <w:t>Blue》1959)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spacing w:val="4"/>
              </w:rPr>
              <w:t>中引入调式和声</w:t>
            </w:r>
            <w:r>
              <w:rPr>
                <w:sz w:val="24"/>
                <w:szCs w:val="24"/>
                <w:spacing w:val="4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4"/>
              </w:rPr>
              <w:t>(</w:t>
            </w:r>
            <w:r>
              <w:rPr>
                <w:rFonts w:ascii="SimSun" w:hAnsi="SimSun" w:eastAsia="SimSun" w:cs="SimSun"/>
                <w:sz w:val="24"/>
                <w:szCs w:val="24"/>
              </w:rPr>
              <w:t>modal</w:t>
            </w:r>
            <w:r>
              <w:rPr>
                <w:rFonts w:ascii="SimSun" w:hAnsi="SimSun" w:eastAsia="SimSun" w:cs="SimSun"/>
                <w:sz w:val="24"/>
                <w:szCs w:val="24"/>
                <w:spacing w:val="4"/>
              </w:rPr>
              <w:t xml:space="preserve">   </w:t>
            </w:r>
            <w:r>
              <w:rPr>
                <w:rFonts w:ascii="SimSun" w:hAnsi="SimSun" w:eastAsia="SimSun" w:cs="SimSun"/>
                <w:sz w:val="24"/>
                <w:szCs w:val="24"/>
              </w:rPr>
              <w:t>harmony</w:t>
            </w:r>
            <w:r>
              <w:rPr>
                <w:rFonts w:ascii="SimSun" w:hAnsi="SimSun" w:eastAsia="SimSun" w:cs="SimSun"/>
                <w:sz w:val="24"/>
                <w:szCs w:val="24"/>
                <w:spacing w:val="4"/>
              </w:rPr>
              <w:t>,</w:t>
            </w:r>
            <w:r>
              <w:rPr>
                <w:sz w:val="24"/>
                <w:szCs w:val="24"/>
                <w:spacing w:val="4"/>
              </w:rPr>
              <w:t>指以单一调式为中心，避免功能性转调的和声结构),标志</w:t>
            </w:r>
            <w:r>
              <w:rPr>
                <w:sz w:val="24"/>
                <w:szCs w:val="24"/>
                <w:spacing w:val="12"/>
              </w:rPr>
              <w:t xml:space="preserve"> </w:t>
            </w:r>
            <w:r>
              <w:rPr>
                <w:sz w:val="24"/>
                <w:szCs w:val="24"/>
              </w:rPr>
              <w:t>着爵士钢琴向旋律自由的转变。通常而言，这一创新为</w:t>
            </w:r>
            <w:r>
              <w:rPr>
                <w:sz w:val="24"/>
                <w:szCs w:val="24"/>
                <w:spacing w:val="-1"/>
              </w:rPr>
              <w:t>即兴提供了更大空间。</w:t>
            </w:r>
          </w:p>
        </w:tc>
      </w:tr>
      <w:tr>
        <w:trPr>
          <w:trHeight w:val="2003" w:hRule="atLeast"/>
        </w:trPr>
        <w:tc>
          <w:tcPr>
            <w:tcW w:w="873" w:type="dxa"/>
            <w:vAlign w:val="top"/>
            <w:tcBorders>
              <w:bottom w:val="single" w:color="000000" w:sz="4" w:space="0"/>
            </w:tcBorders>
          </w:tcPr>
          <w:p>
            <w:pPr>
              <w:ind w:left="22"/>
              <w:spacing w:before="253" w:line="192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5"/>
              </w:rPr>
              <w:t>1.Modal</w:t>
            </w:r>
          </w:p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"/>
              <w:spacing w:before="68" w:line="222" w:lineRule="auto"/>
              <w:rPr/>
            </w:pPr>
            <w:r>
              <w:rPr>
                <w:b/>
                <w:bCs/>
                <w:spacing w:val="-4"/>
              </w:rPr>
              <w:t>要素</w:t>
            </w:r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" w:right="194"/>
              <w:spacing w:before="68" w:line="237" w:lineRule="auto"/>
              <w:rPr/>
            </w:pPr>
            <w:r>
              <w:rPr>
                <w:spacing w:val="8"/>
              </w:rPr>
              <w:t>调式中</w:t>
            </w:r>
            <w:r>
              <w:rPr/>
              <w:t xml:space="preserve"> </w:t>
            </w:r>
            <w:r>
              <w:rPr/>
              <w:t>心</w:t>
            </w:r>
          </w:p>
        </w:tc>
        <w:tc>
          <w:tcPr>
            <w:tcW w:w="3125" w:type="dxa"/>
            <w:vAlign w:val="top"/>
            <w:gridSpan w:val="2"/>
            <w:tcBorders>
              <w:bottom w:val="single" w:color="000000" w:sz="4" w:space="0"/>
            </w:tcBorders>
          </w:tcPr>
          <w:p>
            <w:pPr>
              <w:pStyle w:val="TableText"/>
              <w:ind w:left="186"/>
              <w:spacing w:before="216" w:line="222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Jazz</w:t>
            </w:r>
            <w:r>
              <w:rPr>
                <w:sz w:val="24"/>
                <w:szCs w:val="24"/>
                <w:spacing w:val="1"/>
              </w:rPr>
              <w:t>关键要素分解表</w:t>
            </w:r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2"/>
              <w:spacing w:before="69" w:line="223" w:lineRule="auto"/>
              <w:rPr/>
            </w:pPr>
            <w:r>
              <w:rPr>
                <w:b/>
                <w:bCs/>
                <w:spacing w:val="-4"/>
              </w:rPr>
              <w:t>定义与应用</w:t>
            </w:r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9"/>
              <w:spacing w:before="68" w:line="222" w:lineRule="auto"/>
              <w:rPr/>
            </w:pPr>
            <w:r>
              <w:rPr>
                <w:spacing w:val="12"/>
              </w:rPr>
              <w:t>单一调式持续(如</w:t>
            </w:r>
            <w:r>
              <w:rPr>
                <w:rFonts w:ascii="SimSun" w:hAnsi="SimSun" w:eastAsia="SimSun" w:cs="SimSun"/>
              </w:rPr>
              <w:t>Dorian</w:t>
            </w:r>
            <w:r>
              <w:rPr>
                <w:spacing w:val="12"/>
              </w:rPr>
              <w:t>模式)</w:t>
            </w:r>
          </w:p>
        </w:tc>
        <w:tc>
          <w:tcPr>
            <w:tcW w:w="2541" w:type="dxa"/>
            <w:vAlign w:val="top"/>
            <w:gridSpan w:val="2"/>
            <w:tcBorders>
              <w:bottom w:val="single" w:color="000000" w:sz="4" w:space="0"/>
            </w:tcBorders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17"/>
              <w:spacing w:before="68" w:line="222" w:lineRule="auto"/>
              <w:rPr/>
            </w:pPr>
            <w:r>
              <w:rPr>
                <w:b/>
                <w:bCs/>
                <w:spacing w:val="-4"/>
              </w:rPr>
              <w:t>代表作品示例</w:t>
            </w:r>
          </w:p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ind w:left="503" w:right="387" w:firstLine="11"/>
              <w:spacing w:before="60" w:line="261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spacing w:val="-1"/>
              </w:rPr>
              <w:t>"So</w:t>
            </w:r>
            <w:r>
              <w:rPr>
                <w:rFonts w:ascii="Arial" w:hAnsi="Arial" w:eastAsia="Arial" w:cs="Arial"/>
                <w:sz w:val="21"/>
                <w:szCs w:val="21"/>
                <w:spacing w:val="6"/>
              </w:rPr>
              <w:t xml:space="preserve">   </w:t>
            </w:r>
            <w:r>
              <w:rPr>
                <w:rFonts w:ascii="Arial" w:hAnsi="Arial" w:eastAsia="Arial" w:cs="Arial"/>
                <w:sz w:val="21"/>
                <w:szCs w:val="21"/>
                <w:spacing w:val="-1"/>
              </w:rPr>
              <w:t>What"(Miles</w:t>
            </w:r>
            <w:r>
              <w:rPr>
                <w:rFonts w:ascii="Arial" w:hAnsi="Arial" w:eastAsia="Arial" w:cs="Arial"/>
                <w:sz w:val="21"/>
                <w:szCs w:val="21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21"/>
                <w:szCs w:val="21"/>
                <w:spacing w:val="-3"/>
              </w:rPr>
              <w:t>Davis)</w:t>
            </w:r>
          </w:p>
        </w:tc>
        <w:tc>
          <w:tcPr>
            <w:tcW w:w="1690" w:type="dxa"/>
            <w:vAlign w:val="top"/>
            <w:gridSpan w:val="2"/>
            <w:tcBorders>
              <w:bottom w:val="single" w:color="000000" w:sz="4" w:space="0"/>
            </w:tcBorders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96"/>
              <w:spacing w:before="68" w:line="222" w:lineRule="auto"/>
              <w:rPr/>
            </w:pPr>
            <w:r>
              <w:rPr>
                <w:b/>
                <w:bCs/>
                <w:spacing w:val="-6"/>
              </w:rPr>
              <w:t>艺术价值</w:t>
            </w:r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60" w:right="152" w:firstLine="33"/>
              <w:spacing w:before="68" w:line="246" w:lineRule="auto"/>
              <w:rPr/>
            </w:pPr>
            <w:r>
              <w:rPr>
                <w:spacing w:val="-2"/>
              </w:rPr>
              <w:t>增强旋律连</w:t>
            </w:r>
            <w:r>
              <w:rPr>
                <w:spacing w:val="2"/>
              </w:rPr>
              <w:t xml:space="preserve"> </w:t>
            </w:r>
            <w:r>
              <w:rPr>
                <w:spacing w:val="-6"/>
              </w:rPr>
              <w:t>贯</w:t>
            </w:r>
            <w:r>
              <w:rPr>
                <w:spacing w:val="31"/>
              </w:rPr>
              <w:t xml:space="preserve"> </w:t>
            </w:r>
            <w:r>
              <w:rPr>
                <w:spacing w:val="-6"/>
              </w:rPr>
              <w:t>性</w:t>
            </w:r>
          </w:p>
        </w:tc>
        <w:tc>
          <w:tcPr>
            <w:tcW w:w="1894" w:type="dxa"/>
            <w:vAlign w:val="top"/>
            <w:tcBorders>
              <w:bottom w:val="single" w:color="000000" w:sz="4" w:space="0"/>
            </w:tcBorders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6"/>
              <w:spacing w:before="68" w:line="223" w:lineRule="auto"/>
              <w:rPr/>
            </w:pPr>
            <w:r>
              <w:rPr>
                <w:b/>
                <w:bCs/>
                <w:spacing w:val="-5"/>
              </w:rPr>
              <w:t>面临的挑战</w:t>
            </w:r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3"/>
              <w:spacing w:before="69" w:line="222" w:lineRule="auto"/>
              <w:rPr/>
            </w:pPr>
            <w:r>
              <w:rPr>
                <w:spacing w:val="-2"/>
              </w:rPr>
              <w:t>易导致和声单调</w:t>
            </w:r>
          </w:p>
        </w:tc>
      </w:tr>
      <w:tr>
        <w:trPr>
          <w:trHeight w:val="681" w:hRule="atLeast"/>
        </w:trPr>
        <w:tc>
          <w:tcPr>
            <w:tcW w:w="873" w:type="dxa"/>
            <w:vAlign w:val="top"/>
            <w:tcBorders>
              <w:top w:val="single" w:color="000000" w:sz="4" w:space="0"/>
            </w:tcBorders>
          </w:tcPr>
          <w:p>
            <w:pPr>
              <w:spacing w:line="34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"/>
              <w:spacing w:before="68" w:line="223" w:lineRule="auto"/>
              <w:rPr/>
            </w:pPr>
            <w:r>
              <w:rPr>
                <w:spacing w:val="-4"/>
              </w:rPr>
              <w:t>即兴自</w:t>
            </w:r>
          </w:p>
        </w:tc>
        <w:tc>
          <w:tcPr>
            <w:tcW w:w="3125" w:type="dxa"/>
            <w:vAlign w:val="top"/>
            <w:gridSpan w:val="2"/>
            <w:tcBorders>
              <w:top w:val="single" w:color="000000" w:sz="4" w:space="0"/>
            </w:tcBorders>
          </w:tcPr>
          <w:p>
            <w:pPr>
              <w:spacing w:line="33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9"/>
              <w:spacing w:before="69" w:line="221" w:lineRule="auto"/>
              <w:rPr/>
            </w:pPr>
            <w:r>
              <w:rPr>
                <w:spacing w:val="-2"/>
              </w:rPr>
              <w:t>强调动机发展而非和弦轮廓</w:t>
            </w:r>
          </w:p>
        </w:tc>
        <w:tc>
          <w:tcPr>
            <w:tcW w:w="2541" w:type="dxa"/>
            <w:vAlign w:val="top"/>
            <w:gridSpan w:val="2"/>
            <w:tcBorders>
              <w:top w:val="single" w:color="000000" w:sz="4" w:space="0"/>
            </w:tcBorders>
          </w:tcPr>
          <w:p>
            <w:pPr>
              <w:spacing w:line="33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14"/>
              <w:spacing w:before="68" w:line="222" w:lineRule="auto"/>
              <w:rPr/>
            </w:pPr>
            <w:r>
              <w:rPr>
                <w:rFonts w:ascii="Arial" w:hAnsi="Arial" w:eastAsia="Arial" w:cs="Arial"/>
                <w:spacing w:val="-2"/>
              </w:rPr>
              <w:t>Bill</w:t>
            </w:r>
            <w:r>
              <w:rPr>
                <w:rFonts w:ascii="Arial" w:hAnsi="Arial" w:eastAsia="Arial" w:cs="Arial"/>
                <w:spacing w:val="34"/>
              </w:rPr>
              <w:t xml:space="preserve"> </w:t>
            </w:r>
            <w:r>
              <w:rPr>
                <w:rFonts w:ascii="Arial" w:hAnsi="Arial" w:eastAsia="Arial" w:cs="Arial"/>
                <w:spacing w:val="-2"/>
              </w:rPr>
              <w:t>Evans</w:t>
            </w:r>
            <w:r>
              <w:rPr>
                <w:rFonts w:ascii="Arial" w:hAnsi="Arial" w:eastAsia="Arial" w:cs="Arial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pacing w:val="-2"/>
              </w:rPr>
              <w:t>Trio</w:t>
            </w:r>
            <w:r>
              <w:rPr>
                <w:spacing w:val="-2"/>
              </w:rPr>
              <w:t>作品</w:t>
            </w:r>
          </w:p>
        </w:tc>
        <w:tc>
          <w:tcPr>
            <w:tcW w:w="1690" w:type="dxa"/>
            <w:vAlign w:val="top"/>
            <w:gridSpan w:val="2"/>
            <w:tcBorders>
              <w:top w:val="single" w:color="000000" w:sz="4" w:space="0"/>
            </w:tcBorders>
          </w:tcPr>
          <w:p>
            <w:pPr>
              <w:spacing w:line="3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93"/>
              <w:spacing w:before="68" w:line="223" w:lineRule="auto"/>
              <w:rPr/>
            </w:pPr>
            <w:r>
              <w:rPr>
                <w:spacing w:val="-2"/>
              </w:rPr>
              <w:t>促进情感深</w:t>
            </w:r>
          </w:p>
        </w:tc>
        <w:tc>
          <w:tcPr>
            <w:tcW w:w="1894" w:type="dxa"/>
            <w:vAlign w:val="top"/>
            <w:tcBorders>
              <w:top w:val="single" w:color="000000" w:sz="4" w:space="0"/>
            </w:tcBorders>
          </w:tcPr>
          <w:p>
            <w:pPr>
              <w:spacing w:line="34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3"/>
              <w:spacing w:before="68" w:line="222" w:lineRule="auto"/>
              <w:rPr/>
            </w:pPr>
            <w:r>
              <w:rPr>
                <w:spacing w:val="1"/>
              </w:rPr>
              <w:t>需高超动机控制</w:t>
            </w:r>
          </w:p>
        </w:tc>
      </w:tr>
      <w:tr>
        <w:trPr>
          <w:trHeight w:val="283" w:hRule="atLeast"/>
        </w:trPr>
        <w:tc>
          <w:tcPr>
            <w:tcW w:w="873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2"/>
              <w:spacing w:before="80" w:line="169" w:lineRule="auto"/>
              <w:rPr/>
            </w:pPr>
            <w:r>
              <w:rPr>
                <w:spacing w:val="-1"/>
              </w:rPr>
              <w:t>由度</w:t>
            </w:r>
          </w:p>
        </w:tc>
        <w:tc>
          <w:tcPr>
            <w:tcW w:w="3125" w:type="dxa"/>
            <w:vAlign w:val="top"/>
            <w:gridSpan w:val="2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41" w:type="dxa"/>
            <w:vAlign w:val="top"/>
            <w:gridSpan w:val="2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0" w:type="dxa"/>
            <w:vAlign w:val="top"/>
            <w:gridSpan w:val="2"/>
            <w:tcBorders>
              <w:bottom w:val="single" w:color="000000" w:sz="4" w:space="0"/>
            </w:tcBorders>
          </w:tcPr>
          <w:p>
            <w:pPr>
              <w:pStyle w:val="TableText"/>
              <w:ind w:left="258"/>
              <w:spacing w:before="80" w:line="169" w:lineRule="auto"/>
              <w:rPr/>
            </w:pPr>
            <w:r>
              <w:rPr>
                <w:spacing w:val="-7"/>
              </w:rPr>
              <w:t>度</w:t>
            </w:r>
            <w:r>
              <w:rPr>
                <w:spacing w:val="27"/>
              </w:rPr>
              <w:t xml:space="preserve"> </w:t>
            </w:r>
            <w:r>
              <w:rPr>
                <w:spacing w:val="-7"/>
              </w:rPr>
              <w:t>表</w:t>
            </w:r>
            <w:r>
              <w:rPr>
                <w:spacing w:val="25"/>
              </w:rPr>
              <w:t xml:space="preserve"> </w:t>
            </w:r>
            <w:r>
              <w:rPr>
                <w:spacing w:val="-7"/>
              </w:rPr>
              <w:t>达</w:t>
            </w:r>
          </w:p>
        </w:tc>
        <w:tc>
          <w:tcPr>
            <w:tcW w:w="1894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63"/>
              <w:spacing w:before="80" w:line="169" w:lineRule="auto"/>
              <w:rPr/>
            </w:pPr>
            <w:r>
              <w:rPr>
                <w:spacing w:val="-8"/>
              </w:rPr>
              <w:t>能</w:t>
            </w:r>
            <w:r>
              <w:rPr>
                <w:spacing w:val="39"/>
              </w:rPr>
              <w:t xml:space="preserve"> </w:t>
            </w:r>
            <w:r>
              <w:rPr>
                <w:spacing w:val="-8"/>
              </w:rPr>
              <w:t>力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68" w:lineRule="exact"/>
        <w:rPr/>
      </w:pPr>
      <w:r/>
    </w:p>
    <w:p>
      <w:pPr>
        <w:spacing w:line="68" w:lineRule="exact"/>
        <w:sectPr>
          <w:type w:val="continuous"/>
          <w:pgSz w:w="12240" w:h="15840"/>
          <w:pgMar w:top="1076" w:right="1159" w:bottom="400" w:left="878" w:header="0" w:footer="0" w:gutter="0"/>
          <w:cols w:equalWidth="0" w:num="1">
            <w:col w:w="10203" w:space="0"/>
          </w:cols>
        </w:sectPr>
        <w:rPr/>
      </w:pPr>
    </w:p>
    <w:p>
      <w:pPr>
        <w:pStyle w:val="BodyText"/>
        <w:ind w:left="101" w:right="291"/>
        <w:spacing w:before="95" w:line="326" w:lineRule="auto"/>
        <w:rPr>
          <w:sz w:val="21"/>
          <w:szCs w:val="21"/>
        </w:rPr>
      </w:pPr>
      <w:r>
        <w:rPr>
          <w:sz w:val="21"/>
          <w:szCs w:val="21"/>
          <w:spacing w:val="-4"/>
        </w:rPr>
        <w:t>节奏处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理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0" w:right="144" w:hanging="20"/>
        <w:spacing w:before="55" w:line="324" w:lineRule="auto"/>
        <w:rPr>
          <w:sz w:val="21"/>
          <w:szCs w:val="21"/>
        </w:rPr>
      </w:pPr>
      <w:r>
        <w:rPr>
          <w:sz w:val="21"/>
          <w:szCs w:val="21"/>
        </w:rPr>
        <w:t>融入复节奏</w:t>
      </w:r>
      <w:r>
        <w:rPr>
          <w:sz w:val="21"/>
          <w:szCs w:val="21"/>
        </w:rPr>
        <w:t xml:space="preserve"> </w:t>
      </w:r>
      <w:r>
        <w:rPr>
          <w:rFonts w:ascii="Arial" w:hAnsi="Arial" w:eastAsia="Arial" w:cs="Arial"/>
          <w:sz w:val="21"/>
          <w:szCs w:val="21"/>
        </w:rPr>
        <w:t>(polyrhythm,</w:t>
      </w:r>
      <w:r>
        <w:rPr>
          <w:rFonts w:ascii="Arial" w:hAnsi="Arial" w:eastAsia="Arial" w:cs="Arial"/>
          <w:sz w:val="21"/>
          <w:szCs w:val="21"/>
          <w:spacing w:val="15"/>
        </w:rPr>
        <w:t xml:space="preserve">    </w:t>
      </w:r>
      <w:r>
        <w:rPr>
          <w:sz w:val="21"/>
          <w:szCs w:val="21"/>
        </w:rPr>
        <w:t>同时多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3"/>
        </w:rPr>
        <w:t>节奏层)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919"/>
        <w:spacing w:before="93" w:line="310" w:lineRule="auto"/>
        <w:rPr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-2"/>
        </w:rPr>
        <w:t>McCoy  Tyner</w:t>
      </w:r>
      <w:r>
        <w:rPr>
          <w:sz w:val="21"/>
          <w:szCs w:val="21"/>
          <w:spacing w:val="-2"/>
        </w:rPr>
        <w:t>的</w:t>
      </w:r>
      <w:r>
        <w:rPr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Coltrane</w:t>
      </w:r>
      <w:r>
        <w:rPr>
          <w:sz w:val="21"/>
          <w:szCs w:val="21"/>
          <w:spacing w:val="6"/>
        </w:rPr>
        <w:t>四重奏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86"/>
        <w:spacing w:before="96" w:line="309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增加动态张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</w:rPr>
        <w:t>力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01"/>
        <w:spacing w:before="94" w:line="311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适用条件限于熟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  <w:spacing w:val="6"/>
        </w:rPr>
        <w:t>练乐手</w:t>
      </w:r>
    </w:p>
    <w:p>
      <w:pPr>
        <w:spacing w:line="311" w:lineRule="auto"/>
        <w:sectPr>
          <w:type w:val="continuous"/>
          <w:pgSz w:w="12240" w:h="15840"/>
          <w:pgMar w:top="1076" w:right="1159" w:bottom="400" w:left="878" w:header="0" w:footer="0" w:gutter="0"/>
          <w:cols w:equalWidth="0" w:num="5">
            <w:col w:w="1012" w:space="100"/>
            <w:col w:w="3381" w:space="100"/>
            <w:col w:w="2420" w:space="100"/>
            <w:col w:w="1330" w:space="100"/>
            <w:col w:w="1661" w:space="0"/>
          </w:cols>
        </w:sectPr>
        <w:rPr>
          <w:sz w:val="21"/>
          <w:szCs w:val="21"/>
        </w:rPr>
      </w:pPr>
    </w:p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ind w:left="101" w:right="21"/>
        <w:spacing w:before="69" w:line="384" w:lineRule="auto"/>
        <w:rPr>
          <w:sz w:val="21"/>
          <w:szCs w:val="21"/>
        </w:rPr>
      </w:pPr>
      <w:r>
        <w:rPr>
          <w:sz w:val="21"/>
          <w:szCs w:val="21"/>
          <w:spacing w:val="24"/>
        </w:rPr>
        <w:t>研</w:t>
      </w:r>
      <w:r>
        <w:rPr>
          <w:sz w:val="21"/>
          <w:szCs w:val="21"/>
          <w:spacing w:val="-48"/>
        </w:rPr>
        <w:t xml:space="preserve"> </w:t>
      </w:r>
      <w:r>
        <w:rPr>
          <w:sz w:val="21"/>
          <w:szCs w:val="21"/>
          <w:spacing w:val="24"/>
        </w:rPr>
        <w:t>究</w:t>
      </w:r>
      <w:r>
        <w:rPr>
          <w:sz w:val="21"/>
          <w:szCs w:val="21"/>
          <w:spacing w:val="-44"/>
        </w:rPr>
        <w:t xml:space="preserve"> </w:t>
      </w:r>
      <w:r>
        <w:rPr>
          <w:sz w:val="21"/>
          <w:szCs w:val="21"/>
          <w:spacing w:val="24"/>
        </w:rPr>
        <w:t>表</w:t>
      </w:r>
      <w:r>
        <w:rPr>
          <w:sz w:val="21"/>
          <w:szCs w:val="21"/>
          <w:spacing w:val="-38"/>
        </w:rPr>
        <w:t xml:space="preserve"> </w:t>
      </w:r>
      <w:r>
        <w:rPr>
          <w:sz w:val="21"/>
          <w:szCs w:val="21"/>
          <w:spacing w:val="24"/>
        </w:rPr>
        <w:t>明</w:t>
      </w:r>
      <w:r>
        <w:rPr>
          <w:sz w:val="21"/>
          <w:szCs w:val="21"/>
          <w:spacing w:val="-55"/>
        </w:rPr>
        <w:t xml:space="preserve"> </w:t>
      </w:r>
      <w:r>
        <w:rPr>
          <w:sz w:val="21"/>
          <w:szCs w:val="21"/>
          <w:spacing w:val="24"/>
        </w:rPr>
        <w:t>，</w:t>
      </w:r>
      <w:r>
        <w:rPr>
          <w:rFonts w:ascii="SimSun" w:hAnsi="SimSun" w:eastAsia="SimSun" w:cs="SimSun"/>
          <w:sz w:val="21"/>
          <w:szCs w:val="21"/>
        </w:rPr>
        <w:t>modal</w:t>
      </w:r>
      <w:r>
        <w:rPr>
          <w:rFonts w:ascii="SimSun" w:hAnsi="SimSun" w:eastAsia="SimSun" w:cs="SimSun"/>
          <w:sz w:val="21"/>
          <w:szCs w:val="21"/>
          <w:spacing w:val="24"/>
        </w:rPr>
        <w:t xml:space="preserve">  </w:t>
      </w:r>
      <w:r>
        <w:rPr>
          <w:rFonts w:ascii="SimSun" w:hAnsi="SimSun" w:eastAsia="SimSun" w:cs="SimSun"/>
          <w:sz w:val="21"/>
          <w:szCs w:val="21"/>
        </w:rPr>
        <w:t>jazz</w:t>
      </w:r>
      <w:r>
        <w:rPr>
          <w:sz w:val="21"/>
          <w:szCs w:val="21"/>
          <w:spacing w:val="24"/>
        </w:rPr>
        <w:t>的积极影响在于解放了即兴创作</w:t>
      </w:r>
      <w:r>
        <w:rPr>
          <w:sz w:val="21"/>
          <w:szCs w:val="21"/>
          <w:spacing w:val="23"/>
        </w:rPr>
        <w:t>，但其挑战在于可能削弱传统和声的张力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24"/>
        </w:rPr>
        <w:t>感，值得进</w:t>
      </w:r>
      <w:r>
        <w:rPr>
          <w:sz w:val="21"/>
          <w:szCs w:val="21"/>
          <w:spacing w:val="-57"/>
        </w:rPr>
        <w:t xml:space="preserve"> </w:t>
      </w:r>
      <w:r>
        <w:rPr>
          <w:sz w:val="21"/>
          <w:szCs w:val="21"/>
          <w:spacing w:val="24"/>
        </w:rPr>
        <w:t>一</w:t>
      </w:r>
      <w:r>
        <w:rPr>
          <w:sz w:val="21"/>
          <w:szCs w:val="21"/>
          <w:spacing w:val="-58"/>
        </w:rPr>
        <w:t xml:space="preserve"> </w:t>
      </w:r>
      <w:r>
        <w:rPr>
          <w:sz w:val="21"/>
          <w:szCs w:val="21"/>
          <w:spacing w:val="24"/>
        </w:rPr>
        <w:t>步研究其在当代创作中的平衡应用。</w:t>
      </w:r>
    </w:p>
    <w:p>
      <w:pPr>
        <w:pStyle w:val="BodyText"/>
        <w:ind w:left="255"/>
        <w:spacing w:before="183" w:line="187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spacing w:val="-1"/>
        </w:rPr>
        <w:t>(三)1970年代以后：</w:t>
      </w:r>
      <w:r>
        <w:rPr>
          <w:sz w:val="24"/>
          <w:szCs w:val="24"/>
          <w:spacing w:val="-1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Fusion</w:t>
      </w:r>
      <w:r>
        <w:rPr>
          <w:sz w:val="24"/>
          <w:szCs w:val="24"/>
          <w:b/>
          <w:bCs/>
          <w:spacing w:val="-1"/>
        </w:rPr>
        <w:t>与当代跨界的深化</w:t>
      </w:r>
    </w:p>
    <w:p>
      <w:pPr>
        <w:spacing w:line="187" w:lineRule="auto"/>
        <w:sectPr>
          <w:type w:val="continuous"/>
          <w:pgSz w:w="12240" w:h="15840"/>
          <w:pgMar w:top="1076" w:right="1159" w:bottom="400" w:left="878" w:header="0" w:footer="0" w:gutter="0"/>
          <w:cols w:equalWidth="0" w:num="1">
            <w:col w:w="10203" w:space="0"/>
          </w:cols>
        </w:sectPr>
        <w:rPr>
          <w:sz w:val="24"/>
          <w:szCs w:val="24"/>
        </w:rPr>
      </w:pPr>
    </w:p>
    <w:p>
      <w:pPr>
        <w:pStyle w:val="BodyText"/>
        <w:ind w:firstLine="3"/>
        <w:spacing w:before="48" w:line="36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8"/>
        </w:rPr>
        <w:t>据</w:t>
      </w:r>
      <w:r>
        <w:rPr>
          <w:rFonts w:ascii="Times New Roman" w:hAnsi="Times New Roman" w:eastAsia="Times New Roman" w:cs="Times New Roman"/>
          <w:sz w:val="22"/>
          <w:szCs w:val="22"/>
          <w:b/>
          <w:bCs/>
        </w:rPr>
        <w:t>DownBeat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8"/>
        </w:rPr>
        <w:t xml:space="preserve">   </w:t>
      </w:r>
      <w:r>
        <w:rPr>
          <w:sz w:val="22"/>
          <w:szCs w:val="22"/>
          <w:b/>
          <w:bCs/>
          <w:spacing w:val="8"/>
        </w:rPr>
        <w:t>杂</w:t>
      </w:r>
      <w:r>
        <w:rPr>
          <w:sz w:val="22"/>
          <w:szCs w:val="22"/>
          <w:spacing w:val="8"/>
        </w:rPr>
        <w:t>志年度评论指出，</w:t>
      </w:r>
      <w:r>
        <w:rPr>
          <w:sz w:val="22"/>
          <w:szCs w:val="22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Herbie</w:t>
      </w:r>
      <w:r>
        <w:rPr>
          <w:rFonts w:ascii="Times New Roman" w:hAnsi="Times New Roman" w:eastAsia="Times New Roman" w:cs="Times New Roman"/>
          <w:sz w:val="22"/>
          <w:szCs w:val="22"/>
          <w:spacing w:val="8"/>
        </w:rPr>
        <w:t xml:space="preserve">        </w:t>
      </w:r>
      <w:r>
        <w:rPr>
          <w:rFonts w:ascii="Times New Roman" w:hAnsi="Times New Roman" w:eastAsia="Times New Roman" w:cs="Times New Roman"/>
          <w:sz w:val="22"/>
          <w:szCs w:val="22"/>
        </w:rPr>
        <w:t>Hancock</w:t>
      </w:r>
      <w:r>
        <w:rPr>
          <w:sz w:val="22"/>
          <w:szCs w:val="22"/>
          <w:spacing w:val="8"/>
        </w:rPr>
        <w:t>与</w:t>
      </w:r>
      <w:r>
        <w:rPr>
          <w:rFonts w:ascii="Times New Roman" w:hAnsi="Times New Roman" w:eastAsia="Times New Roman" w:cs="Times New Roman"/>
          <w:sz w:val="22"/>
          <w:szCs w:val="22"/>
        </w:rPr>
        <w:t>Chick</w:t>
      </w:r>
      <w:r>
        <w:rPr>
          <w:rFonts w:ascii="Times New Roman" w:hAnsi="Times New Roman" w:eastAsia="Times New Roman" w:cs="Times New Roman"/>
          <w:sz w:val="22"/>
          <w:szCs w:val="22"/>
          <w:spacing w:val="8"/>
        </w:rPr>
        <w:t xml:space="preserve">      </w:t>
      </w:r>
      <w:r>
        <w:rPr>
          <w:rFonts w:ascii="Times New Roman" w:hAnsi="Times New Roman" w:eastAsia="Times New Roman" w:cs="Times New Roman"/>
          <w:sz w:val="22"/>
          <w:szCs w:val="22"/>
        </w:rPr>
        <w:t>Corea</w:t>
      </w:r>
      <w:r>
        <w:rPr>
          <w:sz w:val="22"/>
          <w:szCs w:val="22"/>
          <w:spacing w:val="8"/>
        </w:rPr>
        <w:t>主导的</w:t>
      </w:r>
      <w:r>
        <w:rPr>
          <w:rFonts w:ascii="Times New Roman" w:hAnsi="Times New Roman" w:eastAsia="Times New Roman" w:cs="Times New Roman"/>
          <w:sz w:val="22"/>
          <w:szCs w:val="22"/>
        </w:rPr>
        <w:t>jazz</w:t>
      </w:r>
      <w:r>
        <w:rPr>
          <w:rFonts w:ascii="Times New Roman" w:hAnsi="Times New Roman" w:eastAsia="Times New Roman" w:cs="Times New Roman"/>
          <w:sz w:val="22"/>
          <w:szCs w:val="22"/>
          <w:spacing w:val="8"/>
        </w:rPr>
        <w:t xml:space="preserve">    </w:t>
      </w:r>
      <w:r>
        <w:rPr>
          <w:rFonts w:ascii="Times New Roman" w:hAnsi="Times New Roman" w:eastAsia="Times New Roman" w:cs="Times New Roman"/>
          <w:sz w:val="22"/>
          <w:szCs w:val="22"/>
        </w:rPr>
        <w:t>fusion</w:t>
      </w:r>
      <w:r>
        <w:rPr>
          <w:sz w:val="22"/>
          <w:szCs w:val="22"/>
          <w:spacing w:val="8"/>
        </w:rPr>
        <w:t>时期，将爵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19"/>
        </w:rPr>
        <w:t>士钢琴与电子、摇滚及拉丁元素融合，通常而言，这扩展了钢琴的表现谱系。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7" w:line="221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3"/>
        </w:rPr>
        <w:t>二、爵士钢琴的技术与即兴革新</w:t>
      </w:r>
    </w:p>
    <w:p>
      <w:pPr>
        <w:pStyle w:val="BodyText"/>
        <w:spacing w:before="242" w:line="221" w:lineRule="auto"/>
        <w:rPr>
          <w:sz w:val="22"/>
          <w:szCs w:val="22"/>
        </w:rPr>
      </w:pPr>
      <w:r>
        <w:rPr>
          <w:sz w:val="22"/>
          <w:szCs w:val="22"/>
          <w:spacing w:val="18"/>
        </w:rPr>
        <w:t>爵士钢琴的创新核心在于即兴手法与技术应用。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153"/>
        <w:spacing w:before="82" w:line="222" w:lineRule="auto"/>
        <w:outlineLvl w:val="3"/>
        <w:rPr>
          <w:sz w:val="25"/>
          <w:szCs w:val="25"/>
        </w:rPr>
      </w:pPr>
      <w:r>
        <w:rPr>
          <w:sz w:val="25"/>
          <w:szCs w:val="25"/>
          <w:b/>
          <w:bCs/>
          <w:spacing w:val="-5"/>
        </w:rPr>
        <w:t>(一)调式和声与复节奏的应用</w:t>
      </w:r>
    </w:p>
    <w:p>
      <w:pPr>
        <w:pStyle w:val="BodyText"/>
        <w:spacing w:before="232" w:line="213" w:lineRule="auto"/>
        <w:rPr>
          <w:sz w:val="22"/>
          <w:szCs w:val="22"/>
        </w:rPr>
      </w:pPr>
      <w:r>
        <w:rPr>
          <w:sz w:val="22"/>
          <w:szCs w:val="22"/>
          <w:spacing w:val="19"/>
        </w:rPr>
        <w:t>调式和声与复节奏的结合，在一定程度上提升了现代创作的复杂</w:t>
      </w:r>
      <w:r>
        <w:rPr>
          <w:sz w:val="22"/>
          <w:szCs w:val="22"/>
          <w:spacing w:val="18"/>
        </w:rPr>
        <w:t>性。</w:t>
      </w:r>
    </w:p>
    <w:p>
      <w:pPr>
        <w:spacing w:line="331" w:lineRule="auto"/>
        <w:rPr>
          <w:rFonts w:ascii="Arial"/>
          <w:sz w:val="21"/>
        </w:rPr>
      </w:pPr>
      <w:r/>
    </w:p>
    <w:p>
      <w:pPr>
        <w:pStyle w:val="BodyText"/>
        <w:spacing w:before="72" w:line="221" w:lineRule="auto"/>
        <w:rPr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1.</w:t>
      </w:r>
      <w:r>
        <w:rPr>
          <w:sz w:val="22"/>
          <w:szCs w:val="22"/>
          <w:spacing w:val="17"/>
        </w:rPr>
        <w:t>技术创新应用分类表</w:t>
      </w:r>
    </w:p>
    <w:p>
      <w:pPr>
        <w:spacing w:before="112"/>
        <w:rPr/>
      </w:pPr>
      <w:r/>
    </w:p>
    <w:tbl>
      <w:tblPr>
        <w:tblStyle w:val="TableNormal"/>
        <w:tblW w:w="1009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64"/>
        <w:gridCol w:w="3042"/>
        <w:gridCol w:w="2536"/>
        <w:gridCol w:w="1665"/>
        <w:gridCol w:w="1792"/>
      </w:tblGrid>
      <w:tr>
        <w:trPr>
          <w:trHeight w:val="407" w:hRule="atLeast"/>
        </w:trPr>
        <w:tc>
          <w:tcPr>
            <w:tcW w:w="1064" w:type="dxa"/>
            <w:vAlign w:val="top"/>
          </w:tcPr>
          <w:p>
            <w:pPr>
              <w:pStyle w:val="TableText"/>
              <w:ind w:left="3"/>
              <w:spacing w:before="1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技术类别</w:t>
            </w:r>
          </w:p>
        </w:tc>
        <w:tc>
          <w:tcPr>
            <w:tcW w:w="3042" w:type="dxa"/>
            <w:vAlign w:val="top"/>
          </w:tcPr>
          <w:p>
            <w:pPr>
              <w:pStyle w:val="TableText"/>
              <w:ind w:left="189"/>
              <w:spacing w:line="22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具体手法</w:t>
            </w:r>
          </w:p>
        </w:tc>
        <w:tc>
          <w:tcPr>
            <w:tcW w:w="2536" w:type="dxa"/>
            <w:vAlign w:val="top"/>
          </w:tcPr>
          <w:p>
            <w:pPr>
              <w:pStyle w:val="TableText"/>
              <w:ind w:left="366"/>
              <w:spacing w:before="1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2"/>
              </w:rPr>
              <w:t>代表钢琴家</w:t>
            </w:r>
          </w:p>
        </w:tc>
        <w:tc>
          <w:tcPr>
            <w:tcW w:w="1665" w:type="dxa"/>
            <w:vAlign w:val="top"/>
          </w:tcPr>
          <w:p>
            <w:pPr>
              <w:pStyle w:val="TableText"/>
              <w:ind w:left="260"/>
              <w:spacing w:before="1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0"/>
              </w:rPr>
              <w:t>创新价值</w:t>
            </w:r>
          </w:p>
        </w:tc>
        <w:tc>
          <w:tcPr>
            <w:tcW w:w="1792" w:type="dxa"/>
            <w:vAlign w:val="top"/>
          </w:tcPr>
          <w:p>
            <w:pPr>
              <w:pStyle w:val="TableText"/>
              <w:ind w:left="155"/>
              <w:spacing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0"/>
              </w:rPr>
              <w:t>潜在局限</w:t>
            </w:r>
          </w:p>
        </w:tc>
      </w:tr>
      <w:tr>
        <w:trPr>
          <w:trHeight w:val="488" w:hRule="atLeast"/>
        </w:trPr>
        <w:tc>
          <w:tcPr>
            <w:tcW w:w="1064" w:type="dxa"/>
            <w:vAlign w:val="top"/>
          </w:tcPr>
          <w:p>
            <w:pPr>
              <w:pStyle w:val="TableText"/>
              <w:spacing w:before="183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调式和声</w:t>
            </w:r>
          </w:p>
        </w:tc>
        <w:tc>
          <w:tcPr>
            <w:tcW w:w="3042" w:type="dxa"/>
            <w:vAlign w:val="top"/>
          </w:tcPr>
          <w:p>
            <w:pPr>
              <w:pStyle w:val="TableText"/>
              <w:ind w:left="195"/>
              <w:spacing w:before="183" w:line="212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sz w:val="22"/>
                <w:szCs w:val="22"/>
                <w:spacing w:val="-7"/>
              </w:rPr>
              <w:t>静态调式叠加，侧滑</w:t>
            </w:r>
            <w:r>
              <w:rPr>
                <w:sz w:val="22"/>
                <w:szCs w:val="22"/>
                <w:spacing w:val="-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7"/>
              </w:rPr>
              <w:t>(side-</w:t>
            </w:r>
          </w:p>
        </w:tc>
        <w:tc>
          <w:tcPr>
            <w:tcW w:w="2536" w:type="dxa"/>
            <w:vAlign w:val="top"/>
          </w:tcPr>
          <w:p>
            <w:pPr>
              <w:ind w:left="363"/>
              <w:spacing w:before="211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Bill</w:t>
            </w:r>
            <w:r>
              <w:rPr>
                <w:rFonts w:ascii="Arial" w:hAnsi="Arial" w:eastAsia="Arial" w:cs="Arial"/>
                <w:sz w:val="22"/>
                <w:szCs w:val="22"/>
                <w:spacing w:val="6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Evans,Herbie</w:t>
            </w:r>
          </w:p>
        </w:tc>
        <w:tc>
          <w:tcPr>
            <w:tcW w:w="1665" w:type="dxa"/>
            <w:vAlign w:val="top"/>
          </w:tcPr>
          <w:p>
            <w:pPr>
              <w:pStyle w:val="TableText"/>
              <w:ind w:left="257"/>
              <w:spacing w:before="182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扩展和谐可能</w:t>
            </w:r>
          </w:p>
        </w:tc>
        <w:tc>
          <w:tcPr>
            <w:tcW w:w="1792" w:type="dxa"/>
            <w:vAlign w:val="top"/>
          </w:tcPr>
          <w:p>
            <w:pPr>
              <w:pStyle w:val="TableText"/>
              <w:ind w:left="152"/>
              <w:spacing w:before="182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8"/>
              </w:rPr>
              <w:t>可能弱化功能性</w:t>
            </w:r>
          </w:p>
        </w:tc>
      </w:tr>
      <w:tr>
        <w:trPr>
          <w:trHeight w:val="381" w:hRule="atLeast"/>
        </w:trPr>
        <w:tc>
          <w:tcPr>
            <w:tcW w:w="1064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42" w:type="dxa"/>
            <w:vAlign w:val="top"/>
            <w:tcBorders>
              <w:bottom w:val="single" w:color="000000" w:sz="4" w:space="0"/>
            </w:tcBorders>
          </w:tcPr>
          <w:p>
            <w:pPr>
              <w:ind w:left="195"/>
              <w:spacing w:before="108" w:line="192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</w:rPr>
              <w:t>slipping)</w:t>
            </w:r>
          </w:p>
        </w:tc>
        <w:tc>
          <w:tcPr>
            <w:tcW w:w="2536" w:type="dxa"/>
            <w:vAlign w:val="top"/>
            <w:tcBorders>
              <w:bottom w:val="single" w:color="000000" w:sz="4" w:space="0"/>
            </w:tcBorders>
          </w:tcPr>
          <w:p>
            <w:pPr>
              <w:ind w:left="363"/>
              <w:spacing w:before="97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Hancock</w:t>
            </w:r>
          </w:p>
        </w:tc>
        <w:tc>
          <w:tcPr>
            <w:tcW w:w="1665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57"/>
              <w:spacing w:before="69" w:line="22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性</w:t>
            </w:r>
          </w:p>
        </w:tc>
        <w:tc>
          <w:tcPr>
            <w:tcW w:w="1792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52"/>
              <w:spacing w:before="68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张力</w:t>
            </w:r>
          </w:p>
        </w:tc>
      </w:tr>
      <w:tr>
        <w:trPr>
          <w:trHeight w:val="965" w:hRule="atLeast"/>
        </w:trPr>
        <w:tc>
          <w:tcPr>
            <w:tcW w:w="1064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3"/>
              <w:spacing w:before="284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复节奏</w:t>
            </w:r>
          </w:p>
        </w:tc>
        <w:tc>
          <w:tcPr>
            <w:tcW w:w="3042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195"/>
              <w:spacing w:before="284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6"/>
              </w:rPr>
              <w:t>3:4或4:3叠加，节奏位移</w:t>
            </w:r>
          </w:p>
        </w:tc>
        <w:tc>
          <w:tcPr>
            <w:tcW w:w="2536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ind w:left="363" w:right="257"/>
              <w:spacing w:before="63" w:line="305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McCoy  Tyner,Keith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Jarrett</w:t>
            </w:r>
          </w:p>
        </w:tc>
        <w:tc>
          <w:tcPr>
            <w:tcW w:w="1665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257" w:right="147"/>
              <w:spacing w:before="278" w:line="2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1"/>
              </w:rPr>
              <w:t>增强节奏多样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</w:rPr>
              <w:t>性</w:t>
            </w:r>
          </w:p>
        </w:tc>
        <w:tc>
          <w:tcPr>
            <w:tcW w:w="1792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152"/>
              <w:spacing w:before="277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8"/>
              </w:rPr>
              <w:t>挑战听众接受度</w:t>
            </w:r>
          </w:p>
        </w:tc>
      </w:tr>
      <w:tr>
        <w:trPr>
          <w:trHeight w:val="970" w:hRule="atLeast"/>
        </w:trPr>
        <w:tc>
          <w:tcPr>
            <w:tcW w:w="106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"/>
              <w:spacing w:before="279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3"/>
              </w:rPr>
              <w:t>电子扩展</w:t>
            </w:r>
          </w:p>
        </w:tc>
        <w:tc>
          <w:tcPr>
            <w:tcW w:w="304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95"/>
              <w:spacing w:before="280" w:line="222" w:lineRule="auto"/>
              <w:rPr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8"/>
              </w:rPr>
              <w:t>Rhodes </w:t>
            </w:r>
            <w:r>
              <w:rPr>
                <w:sz w:val="22"/>
                <w:szCs w:val="22"/>
                <w:spacing w:val="-8"/>
              </w:rPr>
              <w:t>电钢、合成器融合</w:t>
            </w:r>
          </w:p>
        </w:tc>
        <w:tc>
          <w:tcPr>
            <w:tcW w:w="253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ind w:left="363" w:right="512"/>
              <w:spacing w:before="63" w:line="31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Chick</w:t>
            </w:r>
            <w:r>
              <w:rPr>
                <w:rFonts w:ascii="Arial" w:hAnsi="Arial" w:eastAsia="Arial" w:cs="Arial"/>
                <w:sz w:val="22"/>
                <w:szCs w:val="22"/>
                <w:spacing w:val="5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Corea,Joe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Zawinul</w:t>
            </w:r>
          </w:p>
        </w:tc>
        <w:tc>
          <w:tcPr>
            <w:tcW w:w="166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57"/>
              <w:spacing w:before="279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8"/>
              </w:rPr>
              <w:t>融入现代音色</w:t>
            </w:r>
          </w:p>
        </w:tc>
        <w:tc>
          <w:tcPr>
            <w:tcW w:w="179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52" w:right="179" w:hanging="10"/>
              <w:spacing w:before="280" w:line="28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1"/>
              </w:rPr>
              <w:t>适用范围受技术</w:t>
            </w:r>
            <w:r>
              <w:rPr>
                <w:sz w:val="22"/>
                <w:szCs w:val="22"/>
                <w:spacing w:val="5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依赖</w:t>
            </w:r>
          </w:p>
        </w:tc>
      </w:tr>
      <w:tr>
        <w:trPr>
          <w:trHeight w:val="880" w:hRule="atLeast"/>
        </w:trPr>
        <w:tc>
          <w:tcPr>
            <w:tcW w:w="106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right="237"/>
              <w:spacing w:before="269" w:line="25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4"/>
              </w:rPr>
              <w:t>五声音阶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  <w:spacing w:val="-4"/>
              </w:rPr>
              <w:t>即兴</w:t>
            </w:r>
          </w:p>
        </w:tc>
        <w:tc>
          <w:tcPr>
            <w:tcW w:w="304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95" w:right="444"/>
              <w:spacing w:before="270" w:line="267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西海岸风格</w:t>
            </w:r>
            <w:r>
              <w:rPr>
                <w:sz w:val="22"/>
                <w:szCs w:val="22"/>
                <w:spacing w:val="-3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(West</w:t>
            </w:r>
            <w:r>
              <w:rPr>
                <w:rFonts w:ascii="Arial" w:hAnsi="Arial" w:eastAsia="Arial" w:cs="Arial"/>
                <w:sz w:val="22"/>
                <w:szCs w:val="22"/>
                <w:spacing w:val="57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Coast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sound)</w:t>
            </w:r>
          </w:p>
        </w:tc>
        <w:tc>
          <w:tcPr>
            <w:tcW w:w="2536" w:type="dxa"/>
            <w:vAlign w:val="top"/>
            <w:tcBorders>
              <w:top w:val="single" w:color="000000" w:sz="2" w:space="0"/>
            </w:tcBorders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ind w:left="363"/>
              <w:spacing w:before="63" w:line="196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Brad</w:t>
            </w:r>
            <w:r>
              <w:rPr>
                <w:rFonts w:ascii="Arial" w:hAnsi="Arial" w:eastAsia="Arial" w:cs="Arial"/>
                <w:sz w:val="22"/>
                <w:szCs w:val="2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Mehldau</w:t>
            </w:r>
          </w:p>
        </w:tc>
        <w:tc>
          <w:tcPr>
            <w:tcW w:w="166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57" w:right="148"/>
              <w:spacing w:before="269" w:line="25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1"/>
              </w:rPr>
              <w:t>简化却富有表</w:t>
            </w:r>
            <w:r>
              <w:rPr>
                <w:sz w:val="22"/>
                <w:szCs w:val="22"/>
                <w:spacing w:val="3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现力</w:t>
            </w:r>
          </w:p>
        </w:tc>
        <w:tc>
          <w:tcPr>
            <w:tcW w:w="179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42"/>
              <w:spacing w:before="270" w:line="22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6"/>
              </w:rPr>
              <w:t>易陷入模式化</w:t>
            </w:r>
          </w:p>
        </w:tc>
      </w:tr>
    </w:tbl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left="153"/>
        <w:spacing w:before="72" w:line="222" w:lineRule="auto"/>
        <w:outlineLvl w:val="4"/>
        <w:rPr>
          <w:sz w:val="22"/>
          <w:szCs w:val="22"/>
        </w:rPr>
      </w:pPr>
      <w:r>
        <w:rPr>
          <w:sz w:val="22"/>
          <w:szCs w:val="22"/>
          <w:b/>
          <w:bCs/>
          <w:spacing w:val="30"/>
        </w:rPr>
        <w:t>(二)辩证评估</w:t>
      </w:r>
    </w:p>
    <w:p>
      <w:pPr>
        <w:pStyle w:val="BodyText"/>
        <w:ind w:right="12"/>
        <w:spacing w:before="249" w:line="356" w:lineRule="auto"/>
        <w:rPr>
          <w:sz w:val="22"/>
          <w:szCs w:val="22"/>
        </w:rPr>
      </w:pPr>
      <w:r>
        <w:rPr>
          <w:sz w:val="22"/>
          <w:szCs w:val="22"/>
          <w:spacing w:val="20"/>
        </w:rPr>
        <w:t>这些革新虽推动了爵士钢琴的当代活力，但需考虑其面临的挑战，如电子元素的过度使用可能稀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16"/>
        </w:rPr>
        <w:t>释原生即兴的有机感。</w:t>
      </w:r>
    </w:p>
    <w:p>
      <w:pPr>
        <w:pStyle w:val="BodyText"/>
        <w:ind w:left="4"/>
        <w:spacing w:before="308" w:line="221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4"/>
        </w:rPr>
        <w:t>三、全球视野下的跨流派影响与区域特征</w:t>
      </w:r>
    </w:p>
    <w:p>
      <w:pPr>
        <w:pStyle w:val="BodyText"/>
        <w:spacing w:before="263" w:line="221" w:lineRule="auto"/>
        <w:rPr>
          <w:sz w:val="22"/>
          <w:szCs w:val="22"/>
        </w:rPr>
      </w:pPr>
      <w:r>
        <w:rPr>
          <w:sz w:val="22"/>
          <w:szCs w:val="22"/>
          <w:spacing w:val="18"/>
        </w:rPr>
        <w:t>爵士钢琴的全球演变体现了文化融合的多样性。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left="153"/>
        <w:spacing w:before="72" w:line="221" w:lineRule="auto"/>
        <w:outlineLvl w:val="4"/>
        <w:rPr>
          <w:sz w:val="22"/>
          <w:szCs w:val="22"/>
        </w:rPr>
      </w:pPr>
      <w:r>
        <w:rPr>
          <w:sz w:val="22"/>
          <w:szCs w:val="22"/>
          <w:b/>
          <w:bCs/>
          <w:spacing w:val="16"/>
        </w:rPr>
        <w:t>(</w:t>
      </w:r>
      <w:r>
        <w:rPr>
          <w:sz w:val="22"/>
          <w:szCs w:val="22"/>
          <w:spacing w:val="-59"/>
        </w:rPr>
        <w:t xml:space="preserve"> </w:t>
      </w:r>
      <w:r>
        <w:rPr>
          <w:sz w:val="22"/>
          <w:szCs w:val="22"/>
          <w:b/>
          <w:bCs/>
          <w:spacing w:val="16"/>
        </w:rPr>
        <w:t>一</w:t>
      </w:r>
      <w:r>
        <w:rPr>
          <w:sz w:val="22"/>
          <w:szCs w:val="22"/>
          <w:spacing w:val="-66"/>
        </w:rPr>
        <w:t xml:space="preserve"> </w:t>
      </w:r>
      <w:r>
        <w:rPr>
          <w:sz w:val="22"/>
          <w:szCs w:val="22"/>
          <w:b/>
          <w:bCs/>
          <w:spacing w:val="16"/>
        </w:rPr>
        <w:t>)拉丁美洲影响</w:t>
      </w:r>
    </w:p>
    <w:p>
      <w:pPr>
        <w:pStyle w:val="BodyText"/>
        <w:spacing w:before="240" w:line="213" w:lineRule="auto"/>
        <w:rPr>
          <w:sz w:val="22"/>
          <w:szCs w:val="22"/>
        </w:rPr>
      </w:pPr>
      <w:r>
        <w:rPr>
          <w:sz w:val="22"/>
          <w:szCs w:val="22"/>
          <w:spacing w:val="14"/>
        </w:rPr>
        <w:t>据世界钢琴艺术基金会</w:t>
      </w:r>
      <w:r>
        <w:rPr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4"/>
        </w:rPr>
        <w:t>(</w:t>
      </w:r>
      <w:r>
        <w:rPr>
          <w:rFonts w:ascii="SimSun" w:hAnsi="SimSun" w:eastAsia="SimSun" w:cs="SimSun"/>
          <w:sz w:val="22"/>
          <w:szCs w:val="22"/>
        </w:rPr>
        <w:t>WPF</w:t>
      </w:r>
      <w:r>
        <w:rPr>
          <w:rFonts w:ascii="SimSun" w:hAnsi="SimSun" w:eastAsia="SimSun" w:cs="SimSun"/>
          <w:sz w:val="22"/>
          <w:szCs w:val="22"/>
          <w:spacing w:val="14"/>
        </w:rPr>
        <w:t>)   </w:t>
      </w:r>
      <w:r>
        <w:rPr>
          <w:sz w:val="22"/>
          <w:szCs w:val="22"/>
          <w:spacing w:val="14"/>
        </w:rPr>
        <w:t>分析显示，拉丁爵士</w:t>
      </w:r>
      <w:r>
        <w:rPr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4"/>
        </w:rPr>
        <w:t>(</w:t>
      </w:r>
      <w:r>
        <w:rPr>
          <w:rFonts w:ascii="SimSun" w:hAnsi="SimSun" w:eastAsia="SimSun" w:cs="SimSun"/>
          <w:sz w:val="22"/>
          <w:szCs w:val="22"/>
        </w:rPr>
        <w:t>Latin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jazz</w:t>
      </w:r>
      <w:r>
        <w:rPr>
          <w:rFonts w:ascii="SimSun" w:hAnsi="SimSun" w:eastAsia="SimSun" w:cs="SimSun"/>
          <w:sz w:val="22"/>
          <w:szCs w:val="22"/>
          <w:spacing w:val="14"/>
        </w:rPr>
        <w:t>) </w:t>
      </w:r>
      <w:r>
        <w:rPr>
          <w:sz w:val="22"/>
          <w:szCs w:val="22"/>
          <w:spacing w:val="14"/>
        </w:rPr>
        <w:t>融入古巴</w:t>
      </w:r>
      <w:r>
        <w:rPr>
          <w:rFonts w:ascii="SimSun" w:hAnsi="SimSun" w:eastAsia="SimSun" w:cs="SimSun"/>
          <w:sz w:val="22"/>
          <w:szCs w:val="22"/>
        </w:rPr>
        <w:t>clave</w:t>
      </w:r>
      <w:r>
        <w:rPr>
          <w:rFonts w:ascii="SimSun" w:hAnsi="SimSun" w:eastAsia="SimSun" w:cs="SimSun"/>
          <w:sz w:val="22"/>
          <w:szCs w:val="22"/>
          <w:spacing w:val="-57"/>
        </w:rPr>
        <w:t xml:space="preserve"> </w:t>
      </w:r>
      <w:r>
        <w:rPr>
          <w:sz w:val="22"/>
          <w:szCs w:val="22"/>
          <w:spacing w:val="13"/>
        </w:rPr>
        <w:t>节奏与巴西</w:t>
      </w:r>
    </w:p>
    <w:p>
      <w:pPr>
        <w:pStyle w:val="BodyText"/>
        <w:spacing w:before="176" w:line="213" w:lineRule="auto"/>
        <w:rPr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bossa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  </w:t>
      </w:r>
      <w:r>
        <w:rPr>
          <w:rFonts w:ascii="SimSun" w:hAnsi="SimSun" w:eastAsia="SimSun" w:cs="SimSun"/>
          <w:sz w:val="22"/>
          <w:szCs w:val="22"/>
        </w:rPr>
        <w:t>nova</w:t>
      </w:r>
      <w:r>
        <w:rPr>
          <w:rFonts w:ascii="SimSun" w:hAnsi="SimSun" w:eastAsia="SimSun" w:cs="SimSun"/>
          <w:sz w:val="22"/>
          <w:szCs w:val="22"/>
          <w:spacing w:val="17"/>
        </w:rPr>
        <w:t>,</w:t>
      </w:r>
      <w:r>
        <w:rPr>
          <w:rFonts w:ascii="SimSun" w:hAnsi="SimSun" w:eastAsia="SimSun" w:cs="SimSun"/>
          <w:sz w:val="22"/>
          <w:szCs w:val="22"/>
          <w:spacing w:val="-57"/>
        </w:rPr>
        <w:t xml:space="preserve"> </w:t>
      </w:r>
      <w:r>
        <w:rPr>
          <w:sz w:val="22"/>
          <w:szCs w:val="22"/>
          <w:spacing w:val="17"/>
        </w:rPr>
        <w:t>通常而言，这为爵士钢琴注入活力。</w:t>
      </w:r>
    </w:p>
    <w:p>
      <w:pPr>
        <w:spacing w:line="213" w:lineRule="auto"/>
        <w:sectPr>
          <w:pgSz w:w="12240" w:h="15840"/>
          <w:pgMar w:top="1196" w:right="1159" w:bottom="400" w:left="980" w:header="0" w:footer="0" w:gutter="0"/>
        </w:sectPr>
        <w:rPr>
          <w:sz w:val="22"/>
          <w:szCs w:val="22"/>
        </w:rPr>
      </w:pPr>
    </w:p>
    <w:p>
      <w:pPr>
        <w:pStyle w:val="BodyText"/>
        <w:ind w:left="449"/>
        <w:spacing w:before="44" w:line="222" w:lineRule="auto"/>
        <w:outlineLvl w:val="4"/>
        <w:rPr>
          <w:sz w:val="22"/>
          <w:szCs w:val="22"/>
        </w:rPr>
      </w:pPr>
      <w:r>
        <w:rPr>
          <w:sz w:val="22"/>
          <w:szCs w:val="22"/>
          <w:b/>
          <w:bCs/>
          <w:spacing w:val="24"/>
        </w:rPr>
        <w:t>(二)欧洲与亚洲影响</w:t>
      </w:r>
    </w:p>
    <w:p>
      <w:pPr>
        <w:pStyle w:val="BodyText"/>
        <w:ind w:left="286"/>
        <w:spacing w:before="238" w:line="213" w:lineRule="auto"/>
        <w:rPr>
          <w:sz w:val="22"/>
          <w:szCs w:val="22"/>
        </w:rPr>
      </w:pPr>
      <w:r>
        <w:rPr>
          <w:sz w:val="22"/>
          <w:szCs w:val="22"/>
          <w:spacing w:val="18"/>
        </w:rPr>
        <w:t>欧洲爵士钢琴常融入古典印象主义，亚洲则引入五声音阶与微分音。</w:t>
      </w:r>
    </w:p>
    <w:p>
      <w:pPr>
        <w:spacing w:line="351" w:lineRule="auto"/>
        <w:rPr>
          <w:rFonts w:ascii="Arial"/>
          <w:sz w:val="21"/>
        </w:rPr>
      </w:pPr>
      <w:r/>
    </w:p>
    <w:p>
      <w:pPr>
        <w:pStyle w:val="BodyText"/>
        <w:ind w:left="286"/>
        <w:spacing w:before="72" w:line="221" w:lineRule="auto"/>
        <w:rPr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1.</w:t>
      </w:r>
      <w:r>
        <w:rPr>
          <w:sz w:val="22"/>
          <w:szCs w:val="22"/>
          <w:spacing w:val="18"/>
        </w:rPr>
        <w:t>全球各地区爵士钢琴发展特点对比表</w:t>
      </w:r>
    </w:p>
    <w:p>
      <w:pPr>
        <w:spacing w:line="181" w:lineRule="exact"/>
        <w:rPr/>
      </w:pPr>
      <w:r/>
    </w:p>
    <w:p>
      <w:pPr>
        <w:spacing w:line="181" w:lineRule="exact"/>
        <w:sectPr>
          <w:pgSz w:w="12240" w:h="15840"/>
          <w:pgMar w:top="1200" w:right="1159" w:bottom="400" w:left="693" w:header="0" w:footer="0" w:gutter="0"/>
          <w:cols w:equalWidth="0" w:num="1">
            <w:col w:w="10387" w:space="0"/>
          </w:cols>
        </w:sectPr>
        <w:rPr/>
      </w:pPr>
    </w:p>
    <w:p>
      <w:pPr>
        <w:spacing w:line="315" w:lineRule="auto"/>
        <w:rPr>
          <w:rFonts w:ascii="Arial"/>
          <w:sz w:val="21"/>
        </w:rPr>
      </w:pPr>
      <w:r/>
    </w:p>
    <w:p>
      <w:pPr>
        <w:pStyle w:val="BodyText"/>
        <w:ind w:left="289"/>
        <w:spacing w:before="71" w:line="22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地区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286"/>
        <w:spacing w:before="72" w:line="221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北美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1" w:line="22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9"/>
        </w:rPr>
        <w:t>主要影响元素</w:t>
      </w:r>
    </w:p>
    <w:p>
      <w:pPr>
        <w:spacing w:line="302" w:lineRule="auto"/>
        <w:rPr>
          <w:rFonts w:ascii="Arial"/>
          <w:sz w:val="21"/>
        </w:rPr>
      </w:pPr>
      <w:r/>
    </w:p>
    <w:p>
      <w:pPr>
        <w:ind w:right="663"/>
        <w:spacing w:before="72" w:line="282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5"/>
        </w:rPr>
        <w:t>Bebop</w:t>
      </w:r>
      <w:r>
        <w:rPr>
          <w:rFonts w:ascii="SimSun" w:hAnsi="SimSun" w:eastAsia="SimSun" w:cs="SimSun"/>
          <w:sz w:val="22"/>
          <w:szCs w:val="22"/>
          <w:spacing w:val="-5"/>
        </w:rPr>
        <w:t>、</w:t>
      </w:r>
      <w:r>
        <w:rPr>
          <w:rFonts w:ascii="Arial" w:hAnsi="Arial" w:eastAsia="Arial" w:cs="Arial"/>
          <w:sz w:val="22"/>
          <w:szCs w:val="22"/>
          <w:spacing w:val="-5"/>
        </w:rPr>
        <w:t>Modal</w:t>
      </w:r>
      <w:r>
        <w:rPr>
          <w:rFonts w:ascii="SimSun" w:hAnsi="SimSun" w:eastAsia="SimSun" w:cs="SimSun"/>
          <w:sz w:val="22"/>
          <w:szCs w:val="22"/>
          <w:spacing w:val="-5"/>
        </w:rPr>
        <w:t>、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3"/>
        </w:rPr>
        <w:t>Fusion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17" w:lineRule="auto"/>
        <w:rPr>
          <w:rFonts w:ascii="Arial"/>
          <w:sz w:val="21"/>
        </w:rPr>
      </w:pPr>
      <w:r/>
    </w:p>
    <w:p>
      <w:pPr>
        <w:pStyle w:val="BodyText"/>
        <w:ind w:left="2"/>
        <w:spacing w:before="71" w:line="22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2"/>
        </w:rPr>
        <w:t>代表钢琴家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spacing w:before="64" w:line="196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3"/>
        </w:rPr>
        <w:t>Bill</w:t>
      </w:r>
      <w:r>
        <w:rPr>
          <w:rFonts w:ascii="Arial" w:hAnsi="Arial" w:eastAsia="Arial" w:cs="Arial"/>
          <w:sz w:val="22"/>
          <w:szCs w:val="22"/>
          <w:spacing w:val="35"/>
        </w:rPr>
        <w:t xml:space="preserve"> </w:t>
      </w:r>
      <w:r>
        <w:rPr>
          <w:rFonts w:ascii="Arial" w:hAnsi="Arial" w:eastAsia="Arial" w:cs="Arial"/>
          <w:sz w:val="22"/>
          <w:szCs w:val="22"/>
          <w:spacing w:val="-3"/>
        </w:rPr>
        <w:t>Evans,Herbie</w:t>
      </w:r>
      <w:r>
        <w:rPr>
          <w:rFonts w:ascii="Arial" w:hAnsi="Arial" w:eastAsia="Arial" w:cs="Arial"/>
          <w:sz w:val="22"/>
          <w:szCs w:val="22"/>
          <w:spacing w:val="17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3"/>
        </w:rPr>
        <w:t>Hancock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27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1" w:line="22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0"/>
        </w:rPr>
        <w:t>独特贡献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spacing w:before="72" w:line="221" w:lineRule="auto"/>
        <w:rPr>
          <w:sz w:val="22"/>
          <w:szCs w:val="22"/>
        </w:rPr>
      </w:pPr>
      <w:r>
        <w:rPr>
          <w:sz w:val="22"/>
          <w:szCs w:val="22"/>
          <w:spacing w:val="-10"/>
        </w:rPr>
        <w:t>技术创新主导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546" w:firstLine="9"/>
        <w:spacing w:before="43" w:line="30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1"/>
        </w:rPr>
        <w:t>挑战与适用条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b/>
          <w:bCs/>
          <w:spacing w:val="-3"/>
        </w:rPr>
        <w:t>件</w:t>
      </w:r>
    </w:p>
    <w:p>
      <w:pPr>
        <w:pStyle w:val="BodyText"/>
        <w:ind w:left="6"/>
        <w:spacing w:before="238" w:line="222" w:lineRule="auto"/>
        <w:rPr>
          <w:sz w:val="22"/>
          <w:szCs w:val="22"/>
        </w:rPr>
      </w:pPr>
      <w:r>
        <w:rPr>
          <w:sz w:val="22"/>
          <w:szCs w:val="22"/>
          <w:spacing w:val="-7"/>
        </w:rPr>
        <w:t>商业化压力</w:t>
      </w:r>
    </w:p>
    <w:p>
      <w:pPr>
        <w:spacing w:line="222" w:lineRule="auto"/>
        <w:sectPr>
          <w:type w:val="continuous"/>
          <w:pgSz w:w="12240" w:h="15840"/>
          <w:pgMar w:top="1200" w:right="1159" w:bottom="400" w:left="693" w:header="0" w:footer="0" w:gutter="0"/>
          <w:cols w:equalWidth="0" w:num="5">
            <w:col w:w="1197" w:space="100"/>
            <w:col w:w="2290" w:space="100"/>
            <w:col w:w="3220" w:space="100"/>
            <w:col w:w="1454" w:space="100"/>
            <w:col w:w="1827" w:space="0"/>
          </w:cols>
        </w:sectPr>
        <w:rPr>
          <w:sz w:val="22"/>
          <w:szCs w:val="22"/>
        </w:rPr>
      </w:pPr>
    </w:p>
    <w:tbl>
      <w:tblPr>
        <w:tblStyle w:val="TableNormal"/>
        <w:tblW w:w="10099" w:type="dxa"/>
        <w:tblInd w:w="28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56"/>
        <w:gridCol w:w="2493"/>
        <w:gridCol w:w="3355"/>
        <w:gridCol w:w="1515"/>
        <w:gridCol w:w="1980"/>
      </w:tblGrid>
      <w:tr>
        <w:trPr>
          <w:trHeight w:val="977" w:hRule="atLeast"/>
        </w:trPr>
        <w:tc>
          <w:tcPr>
            <w:tcW w:w="756" w:type="dxa"/>
            <w:vAlign w:val="top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pStyle w:val="TableText"/>
              <w:ind w:right="134"/>
              <w:spacing w:before="292" w:line="2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3"/>
              </w:rPr>
              <w:t>拉丁美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洲</w:t>
            </w:r>
          </w:p>
        </w:tc>
        <w:tc>
          <w:tcPr>
            <w:tcW w:w="2493" w:type="dxa"/>
            <w:vAlign w:val="top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pStyle w:val="TableText"/>
              <w:ind w:left="233"/>
              <w:spacing w:before="291" w:line="224" w:lineRule="auto"/>
              <w:rPr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1"/>
              </w:rPr>
              <w:t>Clave、Samba </w:t>
            </w:r>
            <w:r>
              <w:rPr>
                <w:sz w:val="22"/>
                <w:szCs w:val="22"/>
                <w:spacing w:val="-1"/>
              </w:rPr>
              <w:t>节奏</w:t>
            </w:r>
          </w:p>
        </w:tc>
        <w:tc>
          <w:tcPr>
            <w:tcW w:w="3355" w:type="dxa"/>
            <w:vAlign w:val="top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ind w:left="150" w:right="915"/>
              <w:spacing w:before="63" w:line="311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Michel</w:t>
            </w:r>
            <w:r>
              <w:rPr>
                <w:rFonts w:ascii="Arial" w:hAnsi="Arial" w:eastAsia="Arial" w:cs="Arial"/>
                <w:sz w:val="22"/>
                <w:szCs w:val="22"/>
                <w:spacing w:val="65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Camilo,Gonzalo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Rubalcaba</w:t>
            </w:r>
          </w:p>
        </w:tc>
        <w:tc>
          <w:tcPr>
            <w:tcW w:w="1515" w:type="dxa"/>
            <w:vAlign w:val="top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pStyle w:val="TableText"/>
              <w:ind w:left="115"/>
              <w:spacing w:before="312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0"/>
              </w:rPr>
              <w:t>节奏活力注入</w:t>
            </w:r>
          </w:p>
        </w:tc>
        <w:tc>
          <w:tcPr>
            <w:tcW w:w="1980" w:type="dxa"/>
            <w:vAlign w:val="top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pStyle w:val="TableText"/>
              <w:ind w:left="130"/>
              <w:spacing w:before="312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文化原真性争议</w:t>
            </w:r>
          </w:p>
        </w:tc>
      </w:tr>
      <w:tr>
        <w:trPr>
          <w:trHeight w:val="850" w:hRule="atLeast"/>
        </w:trPr>
        <w:tc>
          <w:tcPr>
            <w:tcW w:w="756" w:type="dxa"/>
            <w:vAlign w:val="top"/>
            <w:tcBorders>
              <w:top w:val="single" w:color="000000" w:sz="4" w:space="0"/>
              <w:bottom w:val="single" w:color="000000" w:sz="2" w:space="0"/>
            </w:tcBorders>
          </w:tcPr>
          <w:p>
            <w:pPr>
              <w:pStyle w:val="TableText"/>
              <w:spacing w:before="290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"/>
              </w:rPr>
              <w:t>欧洲</w:t>
            </w:r>
          </w:p>
        </w:tc>
        <w:tc>
          <w:tcPr>
            <w:tcW w:w="2493" w:type="dxa"/>
            <w:vAlign w:val="top"/>
            <w:tcBorders>
              <w:top w:val="single" w:color="000000" w:sz="4" w:space="0"/>
              <w:bottom w:val="single" w:color="000000" w:sz="2" w:space="0"/>
            </w:tcBorders>
          </w:tcPr>
          <w:p>
            <w:pPr>
              <w:pStyle w:val="TableText"/>
              <w:ind w:left="146" w:right="129" w:firstLine="107"/>
              <w:spacing w:before="290" w:line="282" w:lineRule="auto"/>
              <w:rPr>
                <w:sz w:val="14"/>
                <w:szCs w:val="14"/>
              </w:rPr>
            </w:pPr>
            <w:r>
              <w:rPr>
                <w:sz w:val="22"/>
                <w:szCs w:val="22"/>
                <w:spacing w:val="-10"/>
              </w:rPr>
              <w:t>古典印象主义、自由即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14"/>
                <w:szCs w:val="14"/>
              </w:rPr>
              <w:t>兴</w:t>
            </w:r>
          </w:p>
        </w:tc>
        <w:tc>
          <w:tcPr>
            <w:tcW w:w="3355" w:type="dxa"/>
            <w:vAlign w:val="top"/>
            <w:tcBorders>
              <w:top w:val="single" w:color="000000" w:sz="4" w:space="0"/>
              <w:bottom w:val="single" w:color="000000" w:sz="2" w:space="0"/>
            </w:tcBorders>
          </w:tcPr>
          <w:p>
            <w:pPr>
              <w:ind w:left="150"/>
              <w:spacing w:before="291" w:line="214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7"/>
              </w:rPr>
              <w:t>Keith Jarrett,Esbjörn Svensson</w:t>
            </w:r>
          </w:p>
        </w:tc>
        <w:tc>
          <w:tcPr>
            <w:tcW w:w="1515" w:type="dxa"/>
            <w:vAlign w:val="top"/>
            <w:tcBorders>
              <w:top w:val="single" w:color="000000" w:sz="4" w:space="0"/>
              <w:bottom w:val="single" w:color="000000" w:sz="2" w:space="0"/>
            </w:tcBorders>
          </w:tcPr>
          <w:p>
            <w:pPr>
              <w:pStyle w:val="TableText"/>
              <w:ind w:left="184" w:right="116" w:hanging="69"/>
              <w:spacing w:before="274" w:line="290" w:lineRule="auto"/>
              <w:rPr>
                <w:sz w:val="14"/>
                <w:szCs w:val="14"/>
              </w:rPr>
            </w:pPr>
            <w:r>
              <w:rPr>
                <w:sz w:val="22"/>
                <w:szCs w:val="22"/>
                <w:spacing w:val="-7"/>
              </w:rPr>
              <w:t>抒情与实验平</w:t>
            </w:r>
            <w:r>
              <w:rPr>
                <w:sz w:val="22"/>
                <w:szCs w:val="22"/>
                <w:spacing w:val="3"/>
              </w:rPr>
              <w:t xml:space="preserve"> </w:t>
            </w:r>
            <w:r>
              <w:rPr>
                <w:sz w:val="14"/>
                <w:szCs w:val="14"/>
              </w:rPr>
              <w:t>衡</w:t>
            </w:r>
          </w:p>
        </w:tc>
        <w:tc>
          <w:tcPr>
            <w:tcW w:w="1980" w:type="dxa"/>
            <w:vAlign w:val="top"/>
            <w:tcBorders>
              <w:top w:val="single" w:color="000000" w:sz="4" w:space="0"/>
              <w:bottom w:val="single" w:color="000000" w:sz="2" w:space="0"/>
            </w:tcBorders>
          </w:tcPr>
          <w:p>
            <w:pPr>
              <w:pStyle w:val="TableText"/>
              <w:ind w:left="170"/>
              <w:spacing w:before="275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0"/>
              </w:rPr>
              <w:t>听众基础较窄</w:t>
            </w:r>
          </w:p>
        </w:tc>
      </w:tr>
    </w:tbl>
    <w:p>
      <w:pPr>
        <w:spacing w:line="325" w:lineRule="auto"/>
        <w:rPr>
          <w:rFonts w:ascii="Arial"/>
          <w:sz w:val="21"/>
        </w:rPr>
      </w:pPr>
      <w:r/>
    </w:p>
    <w:p>
      <w:pPr>
        <w:pStyle w:val="BodyText"/>
        <w:ind w:left="286"/>
        <w:spacing w:before="72" w:line="222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亚洲</w:t>
      </w:r>
      <w:r>
        <w:rPr>
          <w:sz w:val="22"/>
          <w:szCs w:val="22"/>
          <w:spacing w:val="-5"/>
        </w:rPr>
        <w:t xml:space="preserve">     </w:t>
      </w:r>
      <w:r>
        <w:rPr>
          <w:sz w:val="22"/>
          <w:szCs w:val="22"/>
          <w:spacing w:val="-5"/>
        </w:rPr>
        <w:t>五声音阶、民间旋律</w:t>
      </w:r>
      <w:r>
        <w:rPr>
          <w:sz w:val="22"/>
          <w:szCs w:val="22"/>
          <w:spacing w:val="-5"/>
        </w:rPr>
        <w:t xml:space="preserve">     </w:t>
      </w:r>
      <w:r>
        <w:rPr>
          <w:rFonts w:ascii="Arial" w:hAnsi="Arial" w:eastAsia="Arial" w:cs="Arial"/>
          <w:sz w:val="22"/>
          <w:szCs w:val="22"/>
          <w:spacing w:val="-5"/>
        </w:rPr>
        <w:t>Hiromi</w:t>
      </w:r>
      <w:r>
        <w:rPr>
          <w:rFonts w:ascii="Arial" w:hAnsi="Arial" w:eastAsia="Arial" w:cs="Arial"/>
          <w:sz w:val="22"/>
          <w:szCs w:val="22"/>
          <w:spacing w:val="27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5"/>
        </w:rPr>
        <w:t>Uehara                                 </w:t>
      </w:r>
      <w:r>
        <w:rPr>
          <w:sz w:val="22"/>
          <w:szCs w:val="22"/>
          <w:spacing w:val="-5"/>
        </w:rPr>
        <w:t>东方美学融合</w:t>
      </w:r>
      <w:r>
        <w:rPr>
          <w:sz w:val="22"/>
          <w:szCs w:val="22"/>
          <w:spacing w:val="35"/>
        </w:rPr>
        <w:t xml:space="preserve">  </w:t>
      </w:r>
      <w:r>
        <w:rPr>
          <w:sz w:val="22"/>
          <w:szCs w:val="22"/>
          <w:spacing w:val="-5"/>
        </w:rPr>
        <w:t>传统与现代张力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left="439"/>
        <w:spacing w:before="73" w:line="222" w:lineRule="auto"/>
        <w:outlineLvl w:val="4"/>
        <w:rPr>
          <w:sz w:val="22"/>
          <w:szCs w:val="22"/>
        </w:rPr>
      </w:pPr>
      <w:r>
        <w:rPr>
          <w:sz w:val="22"/>
          <w:szCs w:val="22"/>
          <w:b/>
          <w:bCs/>
          <w:spacing w:val="23"/>
        </w:rPr>
        <w:t>(三)当代嘻哈与电子融合</w:t>
      </w:r>
    </w:p>
    <w:p>
      <w:pPr>
        <w:pStyle w:val="BodyText"/>
        <w:ind w:left="286" w:right="31"/>
        <w:spacing w:before="187" w:line="377" w:lineRule="auto"/>
        <w:rPr>
          <w:sz w:val="22"/>
          <w:szCs w:val="22"/>
        </w:rPr>
      </w:pPr>
      <w:r>
        <w:rPr>
          <w:sz w:val="22"/>
          <w:szCs w:val="22"/>
          <w:spacing w:val="17"/>
        </w:rPr>
        <w:t>据</w:t>
      </w:r>
      <w:r>
        <w:rPr>
          <w:rFonts w:ascii="Arial" w:hAnsi="Arial" w:eastAsia="Arial" w:cs="Arial"/>
          <w:sz w:val="22"/>
          <w:szCs w:val="22"/>
        </w:rPr>
        <w:t>JazzTimes</w:t>
      </w:r>
      <w:r>
        <w:rPr>
          <w:rFonts w:ascii="Arial" w:hAnsi="Arial" w:eastAsia="Arial" w:cs="Arial"/>
          <w:sz w:val="22"/>
          <w:szCs w:val="22"/>
          <w:spacing w:val="1"/>
        </w:rPr>
        <w:t xml:space="preserve">  </w:t>
      </w:r>
      <w:r>
        <w:rPr>
          <w:sz w:val="22"/>
          <w:szCs w:val="22"/>
          <w:spacing w:val="17"/>
        </w:rPr>
        <w:t>报道，</w:t>
      </w:r>
      <w:r>
        <w:rPr>
          <w:sz w:val="22"/>
          <w:szCs w:val="22"/>
          <w:spacing w:val="-60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Robert</w:t>
      </w:r>
      <w:r>
        <w:rPr>
          <w:rFonts w:ascii="Arial" w:hAnsi="Arial" w:eastAsia="Arial" w:cs="Arial"/>
          <w:sz w:val="22"/>
          <w:szCs w:val="22"/>
          <w:spacing w:val="17"/>
        </w:rPr>
        <w:t xml:space="preserve">    </w:t>
      </w:r>
      <w:r>
        <w:rPr>
          <w:rFonts w:ascii="Arial" w:hAnsi="Arial" w:eastAsia="Arial" w:cs="Arial"/>
          <w:sz w:val="22"/>
          <w:szCs w:val="22"/>
        </w:rPr>
        <w:t>Glasper</w:t>
      </w:r>
      <w:r>
        <w:rPr>
          <w:sz w:val="22"/>
          <w:szCs w:val="22"/>
          <w:spacing w:val="17"/>
        </w:rPr>
        <w:t>等钢琴家将爵士与嘻哈、电子融</w:t>
      </w:r>
      <w:r>
        <w:rPr>
          <w:sz w:val="22"/>
          <w:szCs w:val="22"/>
          <w:spacing w:val="16"/>
        </w:rPr>
        <w:t>合，可能为未来音乐生态提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8"/>
        </w:rPr>
        <w:t>供案例，但其局限在于可能淡化爵士的核心即</w:t>
      </w:r>
      <w:r>
        <w:rPr>
          <w:sz w:val="22"/>
          <w:szCs w:val="22"/>
          <w:spacing w:val="17"/>
        </w:rPr>
        <w:t>兴传统。</w:t>
      </w:r>
    </w:p>
    <w:p>
      <w:pPr>
        <w:pStyle w:val="BodyText"/>
        <w:ind w:left="290"/>
        <w:spacing w:before="309" w:line="221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4"/>
        </w:rPr>
        <w:t>四、代表性钢琴家及其贡献矩阵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286"/>
        <w:spacing w:before="72" w:line="187" w:lineRule="auto"/>
        <w:rPr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1.</w:t>
      </w:r>
      <w:r>
        <w:rPr>
          <w:sz w:val="22"/>
          <w:szCs w:val="22"/>
          <w:spacing w:val="18"/>
        </w:rPr>
        <w:t>代表性钢琴家贡献矩阵表</w:t>
      </w:r>
    </w:p>
    <w:p>
      <w:pPr>
        <w:spacing w:line="187" w:lineRule="auto"/>
        <w:sectPr>
          <w:type w:val="continuous"/>
          <w:pgSz w:w="12240" w:h="15840"/>
          <w:pgMar w:top="1200" w:right="1159" w:bottom="400" w:left="693" w:header="0" w:footer="0" w:gutter="0"/>
          <w:cols w:equalWidth="0" w:num="1">
            <w:col w:w="10387" w:space="0"/>
          </w:cols>
        </w:sectPr>
        <w:rPr>
          <w:sz w:val="22"/>
          <w:szCs w:val="22"/>
        </w:rPr>
      </w:pPr>
    </w:p>
    <w:p>
      <w:pPr>
        <w:spacing w:line="331" w:lineRule="auto"/>
        <w:rPr>
          <w:rFonts w:ascii="Arial"/>
          <w:sz w:val="21"/>
        </w:rPr>
      </w:pPr>
      <w:r/>
    </w:p>
    <w:p>
      <w:pPr>
        <w:pStyle w:val="BodyText"/>
        <w:ind w:left="1422"/>
        <w:spacing w:before="68" w:line="221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4"/>
        </w:rPr>
        <w:t>钢琴家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ind w:left="1419" w:right="568" w:hanging="1419"/>
        <w:spacing w:before="60" w:line="348" w:lineRule="auto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b/>
          <w:bCs/>
          <w:spacing w:val="-6"/>
        </w:rPr>
        <w:t>Bill Evans</w:t>
      </w:r>
      <w:r>
        <w:rPr>
          <w:rFonts w:ascii="Arial" w:hAnsi="Arial" w:eastAsia="Arial" w:cs="Arial"/>
          <w:sz w:val="21"/>
          <w:szCs w:val="21"/>
          <w:b/>
          <w:bCs/>
          <w:spacing w:val="6"/>
        </w:rPr>
        <w:t xml:space="preserve">        </w:t>
      </w:r>
      <w:r>
        <w:rPr>
          <w:rFonts w:ascii="Arial" w:hAnsi="Arial" w:eastAsia="Arial" w:cs="Arial"/>
          <w:sz w:val="21"/>
          <w:szCs w:val="21"/>
          <w:spacing w:val="-6"/>
        </w:rPr>
        <w:t>1950s-1960s</w:t>
      </w:r>
      <w:r>
        <w:rPr>
          <w:rFonts w:ascii="Arial" w:hAnsi="Arial" w:eastAsia="Arial" w:cs="Arial"/>
          <w:sz w:val="21"/>
          <w:szCs w:val="21"/>
          <w:spacing w:val="3"/>
        </w:rPr>
        <w:t xml:space="preserve"> </w:t>
      </w:r>
      <w:r>
        <w:rPr>
          <w:rFonts w:ascii="Arial" w:hAnsi="Arial" w:eastAsia="Arial" w:cs="Arial"/>
          <w:sz w:val="21"/>
          <w:szCs w:val="21"/>
          <w:spacing w:val="-3"/>
        </w:rPr>
        <w:t>Modal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722" w:right="248"/>
        <w:spacing w:before="42" w:line="326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5"/>
        </w:rPr>
        <w:t>主要时期与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b/>
          <w:bCs/>
          <w:spacing w:val="3"/>
        </w:rPr>
        <w:t>风格</w:t>
      </w:r>
    </w:p>
    <w:p>
      <w:pPr>
        <w:pStyle w:val="BodyText"/>
        <w:ind w:left="1719" w:right="329" w:firstLine="20"/>
        <w:spacing w:before="221" w:line="295" w:lineRule="auto"/>
        <w:rPr>
          <w:sz w:val="21"/>
          <w:szCs w:val="21"/>
        </w:rPr>
      </w:pPr>
      <w:r>
        <w:pict>
          <v:shape id="_x0000_s2" style="position:absolute;margin-left:-1pt;margin-top:10.0683pt;mso-position-vertical-relative:text;mso-position-horizontal-relative:text;width:74.9pt;height:32.85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/>
                    <w:spacing w:before="19" w:line="280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2"/>
                    </w:rPr>
                    <w:t>三重奏对话式即</w:t>
                  </w:r>
                  <w:r>
                    <w:rPr>
                      <w:sz w:val="21"/>
                      <w:szCs w:val="21"/>
                    </w:rPr>
                    <w:t xml:space="preserve"> </w:t>
                  </w:r>
                  <w:r>
                    <w:rPr>
                      <w:sz w:val="21"/>
                      <w:szCs w:val="21"/>
                    </w:rPr>
                    <w:t>兴</w:t>
                  </w:r>
                </w:p>
              </w:txbxContent>
            </v:textbox>
          </v:shape>
        </w:pict>
      </w:r>
      <w:r>
        <w:rPr>
          <w:sz w:val="21"/>
          <w:szCs w:val="21"/>
          <w:spacing w:val="-1"/>
        </w:rPr>
        <w:t>影响</w:t>
      </w:r>
      <w:r>
        <w:rPr>
          <w:rFonts w:ascii="SimSun" w:hAnsi="SimSun" w:eastAsia="SimSun" w:cs="SimSun"/>
          <w:sz w:val="21"/>
          <w:szCs w:val="21"/>
          <w:spacing w:val="-1"/>
        </w:rPr>
        <w:t>Keith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2"/>
        </w:rPr>
        <w:t>Jarrett</w:t>
      </w:r>
      <w:r>
        <w:rPr>
          <w:sz w:val="21"/>
          <w:szCs w:val="21"/>
          <w:spacing w:val="-12"/>
        </w:rPr>
        <w:t>等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293" w:right="2012" w:hanging="20"/>
        <w:spacing w:before="40" w:line="336" w:lineRule="auto"/>
        <w:rPr>
          <w:sz w:val="21"/>
          <w:szCs w:val="21"/>
        </w:rPr>
      </w:pPr>
      <w:r>
        <w:pict>
          <v:shape id="_x0000_s4" style="position:absolute;margin-left:98.6552pt;margin-top:1.01052pt;mso-position-vertical-relative:text;mso-position-horizontal-relative:text;width:23.05pt;height:33.65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9" w:right="20" w:hanging="9"/>
                    <w:spacing w:before="19" w:line="287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b/>
                      <w:bCs/>
                      <w:spacing w:val="-8"/>
                    </w:rPr>
                    <w:t>全球</w:t>
                  </w:r>
                  <w:r>
                    <w:rPr>
                      <w:sz w:val="21"/>
                      <w:szCs w:val="21"/>
                    </w:rPr>
                    <w:t xml:space="preserve"> </w:t>
                  </w:r>
                  <w:r>
                    <w:rPr>
                      <w:sz w:val="21"/>
                      <w:szCs w:val="21"/>
                      <w:b/>
                      <w:bCs/>
                      <w:spacing w:val="-7"/>
                    </w:rPr>
                    <w:t>影响</w:t>
                  </w:r>
                </w:p>
              </w:txbxContent>
            </v:textbox>
          </v:shape>
        </w:pict>
      </w:r>
      <w:r>
        <w:pict>
          <v:shape id="_x0000_s6" style="position:absolute;margin-left:134.653pt;margin-top:1.01052pt;mso-position-vertical-relative:text;mso-position-horizontal-relative:text;width:23.1pt;height:33.65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0"/>
                    <w:spacing w:before="19" w:line="287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b/>
                      <w:bCs/>
                      <w:spacing w:val="-7"/>
                    </w:rPr>
                    <w:t>辩证</w:t>
                  </w:r>
                  <w:r>
                    <w:rPr>
                      <w:sz w:val="21"/>
                      <w:szCs w:val="21"/>
                    </w:rPr>
                    <w:t xml:space="preserve"> </w:t>
                  </w:r>
                  <w:r>
                    <w:rPr>
                      <w:sz w:val="21"/>
                      <w:szCs w:val="21"/>
                      <w:b/>
                      <w:bCs/>
                      <w:spacing w:val="-5"/>
                    </w:rPr>
                    <w:t>评价</w:t>
                  </w:r>
                </w:p>
              </w:txbxContent>
            </v:textbox>
          </v:shape>
        </w:pict>
      </w:r>
      <w:r>
        <w:rPr>
          <w:sz w:val="21"/>
          <w:szCs w:val="21"/>
          <w:b/>
          <w:bCs/>
          <w:spacing w:val="-11"/>
        </w:rPr>
        <w:t>关键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b/>
          <w:bCs/>
          <w:spacing w:val="-8"/>
        </w:rPr>
        <w:t>贡献</w:t>
      </w:r>
    </w:p>
    <w:p>
      <w:pPr>
        <w:pStyle w:val="BodyText"/>
        <w:ind w:right="2670"/>
        <w:spacing w:before="200" w:line="295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抒情过度可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  <w:spacing w:val="2"/>
        </w:rPr>
        <w:t>能限动态</w:t>
      </w:r>
    </w:p>
    <w:p>
      <w:pPr>
        <w:spacing w:line="295" w:lineRule="auto"/>
        <w:sectPr>
          <w:pgSz w:w="12240" w:h="15840"/>
          <w:pgMar w:top="1052" w:right="1156" w:bottom="400" w:left="980" w:header="0" w:footer="0" w:gutter="0"/>
          <w:cols w:equalWidth="0" w:num="3">
            <w:col w:w="3180" w:space="100"/>
            <w:col w:w="3010" w:space="100"/>
            <w:col w:w="3714" w:space="0"/>
          </w:cols>
        </w:sectPr>
        <w:rPr>
          <w:sz w:val="21"/>
          <w:szCs w:val="21"/>
        </w:rPr>
      </w:pPr>
    </w:p>
    <w:tbl>
      <w:tblPr>
        <w:tblStyle w:val="TableNormal"/>
        <w:tblW w:w="1008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39"/>
        <w:gridCol w:w="1856"/>
        <w:gridCol w:w="1760"/>
        <w:gridCol w:w="1361"/>
        <w:gridCol w:w="3973"/>
      </w:tblGrid>
      <w:tr>
        <w:trPr>
          <w:trHeight w:val="882" w:hRule="atLeast"/>
        </w:trPr>
        <w:tc>
          <w:tcPr>
            <w:tcW w:w="1139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before="61" w:line="196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-3"/>
              </w:rPr>
              <w:t>Herbie</w:t>
            </w:r>
          </w:p>
          <w:p>
            <w:pPr>
              <w:spacing w:before="162" w:line="171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-2"/>
              </w:rPr>
              <w:t>Hancock</w:t>
            </w:r>
          </w:p>
        </w:tc>
        <w:tc>
          <w:tcPr>
            <w:tcW w:w="1856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ind w:left="280"/>
              <w:spacing w:before="264" w:line="286" w:lineRule="exac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spacing w:val="-4"/>
                <w:position w:val="1"/>
              </w:rPr>
              <w:t>1970s</w:t>
            </w:r>
            <w:r>
              <w:rPr>
                <w:rFonts w:ascii="Arial" w:hAnsi="Arial" w:eastAsia="Arial" w:cs="Arial"/>
                <w:sz w:val="21"/>
                <w:szCs w:val="21"/>
                <w:spacing w:val="15"/>
                <w:w w:val="101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21"/>
                <w:szCs w:val="21"/>
                <w:spacing w:val="-4"/>
                <w:position w:val="1"/>
              </w:rPr>
              <w:t>Fusion</w:t>
            </w:r>
          </w:p>
        </w:tc>
        <w:tc>
          <w:tcPr>
            <w:tcW w:w="1760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4"/>
              <w:spacing w:before="68" w:line="222" w:lineRule="auto"/>
              <w:rPr/>
            </w:pPr>
            <w:r>
              <w:rPr>
                <w:spacing w:val="-3"/>
              </w:rPr>
              <w:t>电子键盘先锋</w:t>
            </w:r>
          </w:p>
        </w:tc>
        <w:tc>
          <w:tcPr>
            <w:tcW w:w="136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0" w:right="73" w:hanging="36"/>
              <w:spacing w:before="69" w:line="261" w:lineRule="auto"/>
              <w:rPr>
                <w:rFonts w:ascii="Arial" w:hAnsi="Arial" w:eastAsia="Arial" w:cs="Arial"/>
              </w:rPr>
            </w:pPr>
            <w:r>
              <w:rPr>
                <w:spacing w:val="-2"/>
              </w:rPr>
              <w:t>跨界嘻哈与</w:t>
            </w:r>
            <w:r>
              <w:rPr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</w:rPr>
              <w:t>funk</w:t>
            </w:r>
          </w:p>
        </w:tc>
        <w:tc>
          <w:tcPr>
            <w:tcW w:w="3973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77" w:right="2664" w:firstLine="196"/>
              <w:spacing w:before="291" w:line="255" w:lineRule="auto"/>
              <w:rPr/>
            </w:pPr>
            <w:r>
              <w:rPr>
                <w:spacing w:val="-4"/>
              </w:rPr>
              <w:t>商业成功伴</w:t>
            </w:r>
            <w:r>
              <w:rPr>
                <w:spacing w:val="3"/>
              </w:rPr>
              <w:t xml:space="preserve"> </w:t>
            </w:r>
            <w:r>
              <w:rPr>
                <w:spacing w:val="-8"/>
              </w:rPr>
              <w:t>争</w:t>
            </w:r>
            <w:r>
              <w:rPr>
                <w:spacing w:val="38"/>
              </w:rPr>
              <w:t xml:space="preserve"> </w:t>
            </w:r>
            <w:r>
              <w:rPr>
                <w:spacing w:val="-8"/>
              </w:rPr>
              <w:t>议</w:t>
            </w:r>
          </w:p>
        </w:tc>
      </w:tr>
      <w:tr>
        <w:trPr>
          <w:trHeight w:val="665" w:hRule="atLeast"/>
        </w:trPr>
        <w:tc>
          <w:tcPr>
            <w:tcW w:w="1139" w:type="dxa"/>
            <w:vAlign w:val="top"/>
            <w:tcBorders>
              <w:top w:val="single" w:color="000000" w:sz="4" w:space="0"/>
            </w:tcBorders>
          </w:tcPr>
          <w:p>
            <w:pPr>
              <w:spacing w:line="353" w:lineRule="auto"/>
              <w:rPr>
                <w:rFonts w:ascii="Arial"/>
                <w:sz w:val="21"/>
              </w:rPr>
            </w:pPr>
            <w:r/>
          </w:p>
          <w:p>
            <w:pPr>
              <w:spacing w:before="60" w:line="198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-2"/>
              </w:rPr>
              <w:t>Chick</w:t>
            </w:r>
          </w:p>
        </w:tc>
        <w:tc>
          <w:tcPr>
            <w:tcW w:w="1856" w:type="dxa"/>
            <w:vAlign w:val="top"/>
            <w:tcBorders>
              <w:top w:val="single" w:color="000000" w:sz="4" w:space="0"/>
            </w:tcBorders>
          </w:tcPr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0"/>
              <w:spacing w:before="68" w:line="224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spacing w:val="-4"/>
              </w:rPr>
              <w:t>Fusion </w:t>
            </w:r>
            <w:r>
              <w:rPr>
                <w:spacing w:val="-4"/>
              </w:rPr>
              <w:t>与</w:t>
            </w:r>
            <w:r>
              <w:rPr>
                <w:rFonts w:ascii="Arial" w:hAnsi="Arial" w:eastAsia="Arial" w:cs="Arial"/>
                <w:spacing w:val="-4"/>
              </w:rPr>
              <w:t>Latin</w:t>
            </w:r>
          </w:p>
        </w:tc>
        <w:tc>
          <w:tcPr>
            <w:tcW w:w="1760" w:type="dxa"/>
            <w:vAlign w:val="top"/>
            <w:tcBorders>
              <w:top w:val="single" w:color="000000" w:sz="4" w:space="0"/>
            </w:tcBorders>
          </w:tcPr>
          <w:p>
            <w:pPr>
              <w:spacing w:line="345" w:lineRule="auto"/>
              <w:rPr>
                <w:rFonts w:ascii="Arial"/>
                <w:sz w:val="21"/>
              </w:rPr>
            </w:pPr>
            <w:r/>
          </w:p>
          <w:p>
            <w:pPr>
              <w:ind w:left="284"/>
              <w:spacing w:before="60" w:line="196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spacing w:val="-3"/>
              </w:rPr>
              <w:t>Return</w:t>
            </w:r>
            <w:r>
              <w:rPr>
                <w:rFonts w:ascii="Arial" w:hAnsi="Arial" w:eastAsia="Arial" w:cs="Arial"/>
                <w:sz w:val="21"/>
                <w:szCs w:val="21"/>
                <w:spacing w:val="5"/>
              </w:rPr>
              <w:t xml:space="preserve">  </w:t>
            </w:r>
            <w:r>
              <w:rPr>
                <w:rFonts w:ascii="Arial" w:hAnsi="Arial" w:eastAsia="Arial" w:cs="Arial"/>
                <w:sz w:val="21"/>
                <w:szCs w:val="21"/>
                <w:spacing w:val="-3"/>
              </w:rPr>
              <w:t>to</w:t>
            </w:r>
          </w:p>
        </w:tc>
        <w:tc>
          <w:tcPr>
            <w:tcW w:w="1361" w:type="dxa"/>
            <w:vAlign w:val="top"/>
            <w:tcBorders>
              <w:top w:val="single" w:color="000000" w:sz="2" w:space="0"/>
            </w:tcBorders>
          </w:tcPr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4"/>
              <w:spacing w:before="68" w:line="223" w:lineRule="auto"/>
              <w:rPr/>
            </w:pPr>
            <w:r>
              <w:rPr>
                <w:spacing w:val="-2"/>
              </w:rPr>
              <w:t>拉丁元素深</w:t>
            </w:r>
          </w:p>
        </w:tc>
        <w:tc>
          <w:tcPr>
            <w:tcW w:w="3973" w:type="dxa"/>
            <w:vAlign w:val="top"/>
            <w:tcBorders>
              <w:top w:val="single" w:color="000000" w:sz="4" w:space="0"/>
            </w:tcBorders>
          </w:tcPr>
          <w:p>
            <w:pPr>
              <w:spacing w:line="31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3"/>
              <w:spacing w:before="68" w:line="222" w:lineRule="auto"/>
              <w:rPr/>
            </w:pPr>
            <w:r>
              <w:rPr>
                <w:spacing w:val="-2"/>
              </w:rPr>
              <w:t>技术炫耀挑</w:t>
            </w:r>
          </w:p>
        </w:tc>
      </w:tr>
      <w:tr>
        <w:trPr>
          <w:trHeight w:val="377" w:hRule="atLeast"/>
        </w:trPr>
        <w:tc>
          <w:tcPr>
            <w:tcW w:w="1139" w:type="dxa"/>
            <w:vAlign w:val="top"/>
            <w:tcBorders>
              <w:bottom w:val="single" w:color="000000" w:sz="2" w:space="0"/>
            </w:tcBorders>
          </w:tcPr>
          <w:p>
            <w:pPr>
              <w:spacing w:before="110" w:line="198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-2"/>
              </w:rPr>
              <w:t>Corea</w:t>
            </w:r>
          </w:p>
        </w:tc>
        <w:tc>
          <w:tcPr>
            <w:tcW w:w="1856" w:type="dxa"/>
            <w:vAlign w:val="top"/>
            <w:tcBorders>
              <w:bottom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60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84"/>
              <w:spacing w:before="86" w:line="222" w:lineRule="auto"/>
              <w:rPr/>
            </w:pPr>
            <w:r>
              <w:rPr>
                <w:rFonts w:ascii="Times New Roman" w:hAnsi="Times New Roman" w:eastAsia="Times New Roman" w:cs="Times New Roman"/>
              </w:rPr>
              <w:t>Forever</w:t>
            </w:r>
            <w:r>
              <w:rPr>
                <w:rFonts w:ascii="Times New Roman" w:hAnsi="Times New Roman" w:eastAsia="Times New Roman" w:cs="Times New Roman"/>
                <w:spacing w:val="36"/>
                <w:w w:val="101"/>
              </w:rPr>
              <w:t xml:space="preserve"> </w:t>
            </w:r>
            <w:r>
              <w:rPr>
                <w:spacing w:val="2"/>
              </w:rPr>
              <w:t>乐队</w:t>
            </w:r>
          </w:p>
        </w:tc>
        <w:tc>
          <w:tcPr>
            <w:tcW w:w="136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44"/>
              <w:spacing w:before="89" w:line="225" w:lineRule="auto"/>
              <w:rPr/>
            </w:pPr>
            <w:r>
              <w:rPr/>
              <w:t>化</w:t>
            </w:r>
          </w:p>
        </w:tc>
        <w:tc>
          <w:tcPr>
            <w:tcW w:w="3973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73"/>
              <w:spacing w:before="85" w:line="222" w:lineRule="auto"/>
              <w:rPr/>
            </w:pPr>
            <w:r>
              <w:rPr>
                <w:spacing w:val="3"/>
              </w:rPr>
              <w:t>战可听性</w:t>
            </w:r>
          </w:p>
        </w:tc>
      </w:tr>
      <w:tr>
        <w:trPr>
          <w:trHeight w:val="582" w:hRule="atLeast"/>
        </w:trPr>
        <w:tc>
          <w:tcPr>
            <w:tcW w:w="1139" w:type="dxa"/>
            <w:vAlign w:val="top"/>
            <w:tcBorders>
              <w:top w:val="single" w:color="000000" w:sz="2" w:space="0"/>
            </w:tcBorders>
          </w:tcPr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before="61" w:line="196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spacing w:val="-3"/>
              </w:rPr>
              <w:t>Keith</w:t>
            </w:r>
          </w:p>
        </w:tc>
        <w:tc>
          <w:tcPr>
            <w:tcW w:w="1856" w:type="dxa"/>
            <w:vAlign w:val="top"/>
            <w:tcBorders>
              <w:top w:val="single" w:color="000000" w:sz="2" w:space="0"/>
            </w:tcBorders>
          </w:tcPr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ind w:left="280"/>
              <w:spacing w:before="61" w:line="198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spacing w:val="-2"/>
              </w:rPr>
              <w:t>Solo</w:t>
            </w:r>
          </w:p>
        </w:tc>
        <w:tc>
          <w:tcPr>
            <w:tcW w:w="1760" w:type="dxa"/>
            <w:vAlign w:val="top"/>
            <w:tcBorders>
              <w:top w:val="single" w:color="000000" w:sz="2" w:space="0"/>
            </w:tcBorders>
          </w:tcPr>
          <w:p>
            <w:pPr>
              <w:ind w:left="289"/>
              <w:spacing w:before="306" w:line="229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《</w:t>
            </w:r>
            <w:r>
              <w:rPr>
                <w:rFonts w:ascii="Arial" w:hAnsi="Arial" w:eastAsia="Arial" w:cs="Arial"/>
                <w:sz w:val="21"/>
                <w:szCs w:val="21"/>
                <w:spacing w:val="-3"/>
              </w:rPr>
              <w:t>The</w:t>
            </w:r>
            <w:r>
              <w:rPr>
                <w:rFonts w:ascii="Arial" w:hAnsi="Arial" w:eastAsia="Arial" w:cs="Arial"/>
                <w:sz w:val="21"/>
                <w:szCs w:val="21"/>
                <w:spacing w:val="56"/>
              </w:rPr>
              <w:t xml:space="preserve"> </w:t>
            </w:r>
            <w:r>
              <w:rPr>
                <w:rFonts w:ascii="Arial" w:hAnsi="Arial" w:eastAsia="Arial" w:cs="Arial"/>
                <w:sz w:val="21"/>
                <w:szCs w:val="21"/>
                <w:spacing w:val="-3"/>
              </w:rPr>
              <w:t>Köln</w:t>
            </w:r>
          </w:p>
        </w:tc>
        <w:tc>
          <w:tcPr>
            <w:tcW w:w="136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44"/>
              <w:spacing w:before="293" w:line="222" w:lineRule="auto"/>
              <w:rPr/>
            </w:pPr>
            <w:r>
              <w:rPr>
                <w:spacing w:val="1"/>
              </w:rPr>
              <w:t>欧洲自由爵</w:t>
            </w:r>
          </w:p>
        </w:tc>
        <w:tc>
          <w:tcPr>
            <w:tcW w:w="3973" w:type="dxa"/>
            <w:vAlign w:val="top"/>
            <w:tcBorders>
              <w:top w:val="single" w:color="000000" w:sz="2" w:space="0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3"/>
              <w:spacing w:before="69" w:line="221" w:lineRule="auto"/>
              <w:rPr/>
            </w:pPr>
            <w:r>
              <w:rPr>
                <w:spacing w:val="-2"/>
              </w:rPr>
              <w:t>独奏形式适</w:t>
            </w:r>
          </w:p>
        </w:tc>
      </w:tr>
      <w:tr>
        <w:trPr>
          <w:trHeight w:val="388" w:hRule="atLeast"/>
        </w:trPr>
        <w:tc>
          <w:tcPr>
            <w:tcW w:w="1139" w:type="dxa"/>
            <w:vAlign w:val="top"/>
            <w:tcBorders>
              <w:bottom w:val="single" w:color="000000" w:sz="2" w:space="0"/>
            </w:tcBorders>
          </w:tcPr>
          <w:p>
            <w:pPr>
              <w:spacing w:before="118" w:line="196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spacing w:val="-1"/>
              </w:rPr>
              <w:t>Jarrett</w:t>
            </w:r>
          </w:p>
        </w:tc>
        <w:tc>
          <w:tcPr>
            <w:tcW w:w="1856" w:type="dxa"/>
            <w:vAlign w:val="top"/>
            <w:tcBorders>
              <w:bottom w:val="single" w:color="000000" w:sz="2" w:space="0"/>
            </w:tcBorders>
          </w:tcPr>
          <w:p>
            <w:pPr>
              <w:ind w:left="280"/>
              <w:spacing w:before="44" w:line="286" w:lineRule="exac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spacing w:val="-2"/>
                <w:position w:val="3"/>
              </w:rPr>
              <w:t>Improvisation</w:t>
            </w:r>
          </w:p>
        </w:tc>
        <w:tc>
          <w:tcPr>
            <w:tcW w:w="1760" w:type="dxa"/>
            <w:vAlign w:val="top"/>
            <w:tcBorders>
              <w:bottom w:val="single" w:color="000000" w:sz="2" w:space="0"/>
            </w:tcBorders>
          </w:tcPr>
          <w:p>
            <w:pPr>
              <w:ind w:left="284"/>
              <w:spacing w:before="84" w:line="22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spacing w:val="-2"/>
              </w:rPr>
              <w:t>Concert</w:t>
            </w: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》</w:t>
            </w:r>
          </w:p>
        </w:tc>
        <w:tc>
          <w:tcPr>
            <w:tcW w:w="136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44"/>
              <w:spacing w:before="72" w:line="222" w:lineRule="auto"/>
              <w:rPr/>
            </w:pPr>
            <w:r>
              <w:rPr>
                <w:spacing w:val="5"/>
              </w:rPr>
              <w:t>士影响</w:t>
            </w:r>
          </w:p>
        </w:tc>
        <w:tc>
          <w:tcPr>
            <w:tcW w:w="3973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73"/>
              <w:spacing w:before="73" w:line="224" w:lineRule="auto"/>
              <w:rPr/>
            </w:pPr>
            <w:r>
              <w:rPr>
                <w:spacing w:val="5"/>
              </w:rPr>
              <w:t>用有限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40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40" w:lineRule="auto"/>
        <w:sectPr>
          <w:type w:val="continuous"/>
          <w:pgSz w:w="12240" w:h="15840"/>
          <w:pgMar w:top="1052" w:right="1156" w:bottom="400" w:left="980" w:header="0" w:footer="0" w:gutter="0"/>
          <w:cols w:equalWidth="0" w:num="1">
            <w:col w:w="10104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before="89" w:line="196" w:lineRule="auto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-3"/>
        </w:rPr>
        <w:t>Brad</w:t>
      </w:r>
    </w:p>
    <w:p>
      <w:pPr>
        <w:spacing w:before="152" w:line="196" w:lineRule="auto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-3"/>
        </w:rPr>
        <w:t>Mehldau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60" w:line="221" w:lineRule="auto"/>
        <w:rPr>
          <w:sz w:val="21"/>
          <w:szCs w:val="21"/>
        </w:rPr>
      </w:pPr>
      <w:r>
        <w:rPr>
          <w:sz w:val="21"/>
          <w:szCs w:val="21"/>
          <w:spacing w:val="-5"/>
        </w:rPr>
        <w:t>当代跨界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60" w:line="222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古典与摇滚融合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49"/>
        <w:spacing w:before="62" w:line="303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年轻一代范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式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670"/>
        <w:spacing w:before="41" w:line="317" w:lineRule="auto"/>
        <w:rPr>
          <w:sz w:val="21"/>
          <w:szCs w:val="21"/>
        </w:rPr>
      </w:pPr>
      <w:r>
        <w:rPr>
          <w:sz w:val="21"/>
          <w:szCs w:val="21"/>
          <w:spacing w:val="-4"/>
        </w:rPr>
        <w:t>实验性强，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  <w:spacing w:val="-2"/>
        </w:rPr>
        <w:t>接受度渐增</w:t>
      </w:r>
    </w:p>
    <w:p>
      <w:pPr>
        <w:spacing w:line="317" w:lineRule="auto"/>
        <w:sectPr>
          <w:type w:val="continuous"/>
          <w:pgSz w:w="12240" w:h="15840"/>
          <w:pgMar w:top="1052" w:right="1156" w:bottom="400" w:left="980" w:header="0" w:footer="0" w:gutter="0"/>
          <w:cols w:equalWidth="0" w:num="5">
            <w:col w:w="1320" w:space="100"/>
            <w:col w:w="1760" w:space="100"/>
            <w:col w:w="1620" w:space="100"/>
            <w:col w:w="1290" w:space="100"/>
            <w:col w:w="3714" w:space="0"/>
          </w:cols>
        </w:sectPr>
        <w:rPr>
          <w:sz w:val="21"/>
          <w:szCs w:val="21"/>
        </w:rPr>
      </w:pPr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7" w:line="222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4"/>
        </w:rPr>
        <w:t>五、结论与战略建议</w:t>
      </w:r>
    </w:p>
    <w:p>
      <w:pPr>
        <w:pStyle w:val="BodyText"/>
        <w:spacing w:before="232" w:line="368" w:lineRule="auto"/>
        <w:jc w:val="both"/>
        <w:rPr>
          <w:sz w:val="21"/>
          <w:szCs w:val="21"/>
        </w:rPr>
      </w:pPr>
      <w:r>
        <w:rPr>
          <w:sz w:val="21"/>
          <w:szCs w:val="21"/>
          <w:spacing w:val="30"/>
        </w:rPr>
        <w:t>爵士钢琴的创新与演变，不仅是音乐风格的进步，更是文化可持续性在艺术领域的体现。据国际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  <w:spacing w:val="27"/>
        </w:rPr>
        <w:t>爵士乐研究协会</w:t>
      </w:r>
      <w:r>
        <w:rPr>
          <w:sz w:val="21"/>
          <w:szCs w:val="21"/>
          <w:spacing w:val="2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7"/>
        </w:rPr>
        <w:t>(</w:t>
      </w:r>
      <w:r>
        <w:rPr>
          <w:rFonts w:ascii="SimSun" w:hAnsi="SimSun" w:eastAsia="SimSun" w:cs="SimSun"/>
          <w:sz w:val="21"/>
          <w:szCs w:val="21"/>
        </w:rPr>
        <w:t>IASJ</w:t>
      </w:r>
      <w:r>
        <w:rPr>
          <w:rFonts w:ascii="SimSun" w:hAnsi="SimSun" w:eastAsia="SimSun" w:cs="SimSun"/>
          <w:sz w:val="21"/>
          <w:szCs w:val="21"/>
          <w:spacing w:val="27"/>
        </w:rPr>
        <w:t>)  </w:t>
      </w:r>
      <w:r>
        <w:rPr>
          <w:sz w:val="21"/>
          <w:szCs w:val="21"/>
          <w:spacing w:val="27"/>
        </w:rPr>
        <w:t>建议考虑，在数字技术融合的背景下，爵士钢琴可为构建未来智慧音乐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30"/>
        </w:rPr>
        <w:t>生态提供关键案例。通常而言，教育机构有必要探讨跨文化培训模式，以平衡传统与创新。研究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28"/>
        </w:rPr>
        <w:t>表明，进</w:t>
      </w:r>
      <w:r>
        <w:rPr>
          <w:sz w:val="21"/>
          <w:szCs w:val="21"/>
          <w:spacing w:val="-46"/>
        </w:rPr>
        <w:t xml:space="preserve"> </w:t>
      </w:r>
      <w:r>
        <w:rPr>
          <w:sz w:val="21"/>
          <w:szCs w:val="21"/>
          <w:spacing w:val="28"/>
        </w:rPr>
        <w:t>一</w:t>
      </w:r>
      <w:r>
        <w:rPr>
          <w:sz w:val="21"/>
          <w:szCs w:val="21"/>
          <w:spacing w:val="-58"/>
        </w:rPr>
        <w:t xml:space="preserve"> </w:t>
      </w:r>
      <w:r>
        <w:rPr>
          <w:sz w:val="21"/>
          <w:szCs w:val="21"/>
          <w:spacing w:val="28"/>
        </w:rPr>
        <w:t>步深化全球合作，可能推动爵士钢琴在现代创作中的战略价值，但需审慎评估其潜在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26"/>
        </w:rPr>
        <w:t>挑战，如文化挪用风险。</w:t>
      </w:r>
    </w:p>
    <w:p>
      <w:pPr>
        <w:spacing w:line="462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15" w:line="187" w:lineRule="auto"/>
        <w:rPr>
          <w:sz w:val="35"/>
          <w:szCs w:val="35"/>
        </w:rPr>
      </w:pPr>
      <w:r>
        <w:rPr>
          <w:sz w:val="35"/>
          <w:szCs w:val="35"/>
          <w:b/>
          <w:bCs/>
          <w:spacing w:val="8"/>
        </w:rPr>
        <w:t>关键引用</w:t>
      </w:r>
    </w:p>
    <w:p>
      <w:pPr>
        <w:spacing w:line="187" w:lineRule="auto"/>
        <w:sectPr>
          <w:type w:val="continuous"/>
          <w:pgSz w:w="12240" w:h="15840"/>
          <w:pgMar w:top="1052" w:right="1156" w:bottom="400" w:left="980" w:header="0" w:footer="0" w:gutter="0"/>
          <w:cols w:equalWidth="0" w:num="1">
            <w:col w:w="10104" w:space="0"/>
          </w:cols>
        </w:sectPr>
        <w:rPr>
          <w:sz w:val="35"/>
          <w:szCs w:val="35"/>
        </w:rPr>
      </w:pPr>
    </w:p>
    <w:p>
      <w:pPr>
        <w:spacing w:before="62" w:line="314" w:lineRule="exact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position w:val="3"/>
        </w:rPr>
        <w:t>·DownBeat    Magazine  </w:t>
      </w:r>
      <w:r>
        <w:rPr>
          <w:rFonts w:ascii="Arial" w:hAnsi="Arial" w:eastAsia="Arial" w:cs="Arial"/>
          <w:sz w:val="23"/>
          <w:szCs w:val="23"/>
          <w:spacing w:val="-1"/>
          <w:position w:val="3"/>
        </w:rPr>
        <w:t xml:space="preserve">   Historical     Reviews(various    issues,1950-2025)</w:t>
      </w:r>
    </w:p>
    <w:p>
      <w:pPr>
        <w:ind w:left="10"/>
        <w:spacing w:before="246" w:line="313" w:lineRule="exact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spacing w:val="-1"/>
          <w:position w:val="3"/>
        </w:rPr>
        <w:t>·JazzTimes  Magazine  on  Fus</w:t>
      </w:r>
      <w:r>
        <w:rPr>
          <w:rFonts w:ascii="Arial" w:hAnsi="Arial" w:eastAsia="Arial" w:cs="Arial"/>
          <w:sz w:val="23"/>
          <w:szCs w:val="23"/>
          <w:spacing w:val="-2"/>
          <w:position w:val="3"/>
        </w:rPr>
        <w:t>ion  and</w:t>
      </w:r>
      <w:r>
        <w:rPr>
          <w:rFonts w:ascii="Arial" w:hAnsi="Arial" w:eastAsia="Arial" w:cs="Arial"/>
          <w:sz w:val="23"/>
          <w:szCs w:val="23"/>
          <w:spacing w:val="3"/>
          <w:position w:val="3"/>
        </w:rPr>
        <w:t xml:space="preserve">  </w:t>
      </w:r>
      <w:r>
        <w:rPr>
          <w:rFonts w:ascii="Arial" w:hAnsi="Arial" w:eastAsia="Arial" w:cs="Arial"/>
          <w:sz w:val="23"/>
          <w:szCs w:val="23"/>
          <w:spacing w:val="-2"/>
          <w:position w:val="3"/>
        </w:rPr>
        <w:t>Global  Jazz</w:t>
      </w:r>
    </w:p>
    <w:p>
      <w:pPr>
        <w:spacing w:before="226" w:line="313" w:lineRule="exact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position w:val="3"/>
        </w:rPr>
        <w:t>·International   Association   for    J</w:t>
      </w:r>
      <w:r>
        <w:rPr>
          <w:rFonts w:ascii="Arial" w:hAnsi="Arial" w:eastAsia="Arial" w:cs="Arial"/>
          <w:sz w:val="23"/>
          <w:szCs w:val="23"/>
          <w:spacing w:val="-1"/>
          <w:position w:val="3"/>
        </w:rPr>
        <w:t>azz    Education(IASJ)Global   Reports</w:t>
      </w:r>
    </w:p>
    <w:p>
      <w:pPr>
        <w:ind w:left="10"/>
        <w:spacing w:before="206" w:line="314" w:lineRule="exact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spacing w:val="-1"/>
          <w:position w:val="3"/>
        </w:rPr>
        <w:t>·World   Piano   Foundation    (WPF)Analyses</w:t>
      </w:r>
      <w:r>
        <w:rPr>
          <w:rFonts w:ascii="Arial" w:hAnsi="Arial" w:eastAsia="Arial" w:cs="Arial"/>
          <w:sz w:val="23"/>
          <w:szCs w:val="23"/>
          <w:spacing w:val="-2"/>
          <w:position w:val="3"/>
        </w:rPr>
        <w:t xml:space="preserve">   on   Cross-Cultural    Influences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ind w:left="20"/>
        <w:spacing w:before="52" w:line="196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2"/>
        </w:rPr>
        <w:t>·Yamaha     Music</w:t>
      </w:r>
      <w:r>
        <w:rPr>
          <w:rFonts w:ascii="Arial" w:hAnsi="Arial" w:eastAsia="Arial" w:cs="Arial"/>
          <w:sz w:val="18"/>
          <w:szCs w:val="18"/>
          <w:spacing w:val="3"/>
        </w:rPr>
        <w:t xml:space="preserve">     </w:t>
      </w:r>
      <w:r>
        <w:rPr>
          <w:rFonts w:ascii="Arial" w:hAnsi="Arial" w:eastAsia="Arial" w:cs="Arial"/>
          <w:sz w:val="18"/>
          <w:szCs w:val="18"/>
          <w:spacing w:val="-2"/>
        </w:rPr>
        <w:t>Hub     on</w:t>
      </w:r>
      <w:r>
        <w:rPr>
          <w:rFonts w:ascii="Arial" w:hAnsi="Arial" w:eastAsia="Arial" w:cs="Arial"/>
          <w:sz w:val="18"/>
          <w:szCs w:val="18"/>
        </w:rPr>
        <w:t xml:space="preserve">     </w:t>
      </w:r>
      <w:r>
        <w:rPr>
          <w:rFonts w:ascii="Arial" w:hAnsi="Arial" w:eastAsia="Arial" w:cs="Arial"/>
          <w:sz w:val="18"/>
          <w:szCs w:val="18"/>
          <w:spacing w:val="-2"/>
        </w:rPr>
        <w:t>Jazz</w:t>
      </w:r>
      <w:r>
        <w:rPr>
          <w:rFonts w:ascii="Arial" w:hAnsi="Arial" w:eastAsia="Arial" w:cs="Arial"/>
          <w:sz w:val="18"/>
          <w:szCs w:val="18"/>
          <w:spacing w:val="2"/>
        </w:rPr>
        <w:t xml:space="preserve">     </w:t>
      </w:r>
      <w:r>
        <w:rPr>
          <w:rFonts w:ascii="Arial" w:hAnsi="Arial" w:eastAsia="Arial" w:cs="Arial"/>
          <w:sz w:val="18"/>
          <w:szCs w:val="18"/>
          <w:spacing w:val="-2"/>
        </w:rPr>
        <w:t>Piano</w:t>
      </w:r>
      <w:r>
        <w:rPr>
          <w:rFonts w:ascii="Arial" w:hAnsi="Arial" w:eastAsia="Arial" w:cs="Arial"/>
          <w:sz w:val="18"/>
          <w:szCs w:val="18"/>
          <w:spacing w:val="2"/>
        </w:rPr>
        <w:t xml:space="preserve">     </w:t>
      </w:r>
      <w:r>
        <w:rPr>
          <w:rFonts w:ascii="Arial" w:hAnsi="Arial" w:eastAsia="Arial" w:cs="Arial"/>
          <w:sz w:val="18"/>
          <w:szCs w:val="18"/>
          <w:spacing w:val="-2"/>
        </w:rPr>
        <w:t>Role</w:t>
      </w:r>
    </w:p>
    <w:p>
      <w:pPr>
        <w:spacing w:line="327" w:lineRule="auto"/>
        <w:rPr>
          <w:rFonts w:ascii="Arial"/>
          <w:sz w:val="21"/>
        </w:rPr>
      </w:pPr>
      <w:r/>
    </w:p>
    <w:p>
      <w:pPr>
        <w:ind w:left="10"/>
        <w:spacing w:before="52" w:line="196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·uDiscover      Music       Best      Jazz       Pianis</w:t>
      </w:r>
      <w:r>
        <w:rPr>
          <w:rFonts w:ascii="Arial" w:hAnsi="Arial" w:eastAsia="Arial" w:cs="Arial"/>
          <w:sz w:val="18"/>
          <w:szCs w:val="18"/>
          <w:spacing w:val="-2"/>
        </w:rPr>
        <w:t>ts      List</w:t>
      </w:r>
    </w:p>
    <w:p>
      <w:pPr>
        <w:ind w:left="139" w:hanging="89"/>
        <w:spacing w:before="256" w:line="338" w:lineRule="auto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spacing w:val="-1"/>
        </w:rPr>
        <w:t>·Wikipedia   Entries   on   Modal   Jazz,Latin</w:t>
      </w:r>
      <w:r>
        <w:rPr>
          <w:rFonts w:ascii="Arial" w:hAnsi="Arial" w:eastAsia="Arial" w:cs="Arial"/>
          <w:sz w:val="23"/>
          <w:szCs w:val="23"/>
          <w:spacing w:val="28"/>
        </w:rPr>
        <w:t xml:space="preserve">  </w:t>
      </w:r>
      <w:r>
        <w:rPr>
          <w:rFonts w:ascii="Arial" w:hAnsi="Arial" w:eastAsia="Arial" w:cs="Arial"/>
          <w:sz w:val="23"/>
          <w:szCs w:val="23"/>
          <w:spacing w:val="-1"/>
        </w:rPr>
        <w:t>Jazz,and</w:t>
      </w:r>
      <w:r>
        <w:rPr>
          <w:rFonts w:ascii="Arial" w:hAnsi="Arial" w:eastAsia="Arial" w:cs="Arial"/>
          <w:sz w:val="23"/>
          <w:szCs w:val="23"/>
          <w:spacing w:val="28"/>
          <w:w w:val="101"/>
        </w:rPr>
        <w:t xml:space="preserve">  </w:t>
      </w:r>
      <w:r>
        <w:rPr>
          <w:rFonts w:ascii="Arial" w:hAnsi="Arial" w:eastAsia="Arial" w:cs="Arial"/>
          <w:sz w:val="23"/>
          <w:szCs w:val="23"/>
          <w:spacing w:val="-1"/>
        </w:rPr>
        <w:t>J</w:t>
      </w:r>
      <w:r>
        <w:rPr>
          <w:rFonts w:ascii="Arial" w:hAnsi="Arial" w:eastAsia="Arial" w:cs="Arial"/>
          <w:sz w:val="23"/>
          <w:szCs w:val="23"/>
          <w:spacing w:val="-2"/>
        </w:rPr>
        <w:t>azz   Fusion(cross-referenced   with</w:t>
      </w:r>
      <w:r>
        <w:rPr>
          <w:rFonts w:ascii="Arial" w:hAnsi="Arial" w:eastAsia="Arial" w:cs="Arial"/>
          <w:sz w:val="23"/>
          <w:szCs w:val="23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"/>
        </w:rPr>
        <w:t>primary</w:t>
      </w:r>
      <w:r>
        <w:rPr>
          <w:rFonts w:ascii="Arial" w:hAnsi="Arial" w:eastAsia="Arial" w:cs="Arial"/>
          <w:sz w:val="23"/>
          <w:szCs w:val="23"/>
          <w:spacing w:val="22"/>
        </w:rPr>
        <w:t xml:space="preserve">   </w:t>
      </w:r>
      <w:r>
        <w:rPr>
          <w:rFonts w:ascii="Arial" w:hAnsi="Arial" w:eastAsia="Arial" w:cs="Arial"/>
          <w:sz w:val="23"/>
          <w:szCs w:val="23"/>
          <w:spacing w:val="-2"/>
        </w:rPr>
        <w:t>sources)</w:t>
      </w:r>
    </w:p>
    <w:sectPr>
      <w:pgSz w:w="12240" w:h="15840"/>
      <w:pgMar w:top="1140" w:right="1444" w:bottom="400" w:left="1349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LiSu">
    <w:panose1 w:val="0201050906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04" w:lineRule="auto"/>
      <w:rPr>
        <w:rFonts w:ascii="Arial"/>
        <w:sz w:val="2"/>
      </w:rPr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622335</wp:posOffset>
          </wp:positionH>
          <wp:positionV relativeFrom="page">
            <wp:posOffset>8934467</wp:posOffset>
          </wp:positionV>
          <wp:extent cx="6515058" cy="6350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15058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3"/>
      <w:szCs w:val="23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Hei" w:hAnsi="SimHei" w:eastAsia="SimHei" w:cs="SimHei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footer" Target="footer2.xml"/><Relationship Id="rId1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2026-03-15T23:57:38Z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2026-03-15T23:57:39</vt:filetime>
  </property>
  <property fmtid="{D5CDD505-2E9C-101B-9397-08002B2CF9AE}" pid="4" name="UsrData">
    <vt:lpwstr>69b6d6f01ac7a6001fbdade8wl</vt:lpwstr>
  </property>
</Properties>
</file>