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1" w:line="219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中国当前刑罚体系中的重刑：死刑、死刑缓期执行</w:t>
      </w:r>
      <w:r>
        <w:rPr>
          <w:sz w:val="30"/>
          <w:szCs w:val="30"/>
          <w:b/>
          <w:bCs/>
          <w:spacing w:val="-5"/>
        </w:rPr>
        <w:t>与终身监禁专题分析</w:t>
      </w:r>
    </w:p>
    <w:p>
      <w:pPr>
        <w:pStyle w:val="BodyText"/>
        <w:ind w:left="369"/>
        <w:spacing w:before="247" w:line="213" w:lineRule="auto"/>
        <w:rPr>
          <w:rFonts w:ascii="SimSun" w:hAnsi="SimSun" w:eastAsia="SimSun" w:cs="SimSun"/>
        </w:rPr>
      </w:pPr>
      <w:r>
        <w:rPr>
          <w:spacing w:val="5"/>
        </w:rPr>
        <w:t>·</w:t>
      </w:r>
      <w:r>
        <w:rPr>
          <w:spacing w:val="-75"/>
        </w:rPr>
        <w:t xml:space="preserve"> </w:t>
      </w:r>
      <w:r>
        <w:rPr>
          <w:spacing w:val="5"/>
        </w:rPr>
        <w:t>中国刑法保留死刑，但执行数量近年来显著下降，国际组织如国际特赦组织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Amnesty</w:t>
      </w:r>
    </w:p>
    <w:p>
      <w:pPr>
        <w:pStyle w:val="BodyText"/>
        <w:ind w:left="500" w:right="254"/>
        <w:spacing w:before="101" w:line="310" w:lineRule="auto"/>
        <w:rPr/>
      </w:pPr>
      <w:r>
        <w:rPr>
          <w:rFonts w:ascii="Arial" w:hAnsi="Arial" w:eastAsia="Arial" w:cs="Arial"/>
        </w:rPr>
        <w:t>International</w:t>
      </w:r>
      <w:r>
        <w:rPr>
          <w:rFonts w:ascii="Arial" w:hAnsi="Arial" w:eastAsia="Arial" w:cs="Arial"/>
          <w:spacing w:val="10"/>
        </w:rPr>
        <w:t>)    </w:t>
      </w:r>
      <w:r>
        <w:rPr>
          <w:spacing w:val="10"/>
        </w:rPr>
        <w:t>估计每年数千例，而</w:t>
      </w:r>
      <w:r>
        <w:rPr>
          <w:rFonts w:ascii="Arial" w:hAnsi="Arial" w:eastAsia="Arial" w:cs="Arial"/>
        </w:rPr>
        <w:t>Dui</w:t>
      </w:r>
      <w:r>
        <w:rPr>
          <w:rFonts w:ascii="Arial" w:hAnsi="Arial" w:eastAsia="Arial" w:cs="Arial"/>
          <w:spacing w:val="10"/>
        </w:rPr>
        <w:t xml:space="preserve">   </w:t>
      </w:r>
      <w:r>
        <w:rPr>
          <w:rFonts w:ascii="Arial" w:hAnsi="Arial" w:eastAsia="Arial" w:cs="Arial"/>
        </w:rPr>
        <w:t>Hua</w:t>
      </w:r>
      <w:r>
        <w:rPr>
          <w:rFonts w:ascii="Arial" w:hAnsi="Arial" w:eastAsia="Arial" w:cs="Arial"/>
          <w:spacing w:val="24"/>
        </w:rPr>
        <w:t xml:space="preserve">  </w:t>
      </w:r>
      <w:r>
        <w:rPr>
          <w:rFonts w:ascii="Arial" w:hAnsi="Arial" w:eastAsia="Arial" w:cs="Arial"/>
        </w:rPr>
        <w:t>Foundation</w:t>
      </w:r>
      <w:r>
        <w:rPr>
          <w:spacing w:val="10"/>
        </w:rPr>
        <w:t>等估算为约2000例左右；死刑缓</w:t>
      </w:r>
      <w:r>
        <w:rPr/>
        <w:t xml:space="preserve"> </w:t>
      </w:r>
      <w:r>
        <w:rPr>
          <w:spacing w:val="16"/>
        </w:rPr>
        <w:t>期执行(死缓)已成为主要适用形式，常占重刑多数；终身监禁主要针对重大贪污受贿案</w:t>
      </w:r>
      <w:r>
        <w:rPr>
          <w:spacing w:val="2"/>
        </w:rPr>
        <w:t xml:space="preserve">  </w:t>
      </w:r>
      <w:r>
        <w:rPr>
          <w:spacing w:val="16"/>
        </w:rPr>
        <w:t>件，自2015年引入以来适用案例有限(</w:t>
      </w:r>
      <w:r>
        <w:rPr>
          <w:spacing w:val="15"/>
        </w:rPr>
        <w:t>约10-20例公开高官案件)。</w:t>
      </w:r>
    </w:p>
    <w:p>
      <w:pPr>
        <w:pStyle w:val="BodyText"/>
        <w:ind w:left="499" w:right="138" w:hanging="130"/>
        <w:spacing w:before="274" w:line="275" w:lineRule="auto"/>
        <w:rPr/>
      </w:pPr>
      <w:r>
        <w:rPr>
          <w:spacing w:val="10"/>
        </w:rPr>
        <w:t>·</w:t>
      </w:r>
      <w:r>
        <w:rPr>
          <w:spacing w:val="-90"/>
        </w:rPr>
        <w:t xml:space="preserve"> </w:t>
      </w:r>
      <w:r>
        <w:rPr>
          <w:spacing w:val="10"/>
        </w:rPr>
        <w:t>死刑立即执行比例较低，死缓后多数减为无期或有期徒刑，减刑率较高(考验期内无故意犯</w:t>
      </w:r>
      <w:r>
        <w:rPr/>
        <w:t xml:space="preserve"> </w:t>
      </w:r>
      <w:r>
        <w:rPr>
          <w:spacing w:val="23"/>
        </w:rPr>
        <w:t>罪几乎100%减刑);终身监禁不得减刑假释，减刑率为0%。</w:t>
      </w:r>
    </w:p>
    <w:p>
      <w:pPr>
        <w:pStyle w:val="BodyText"/>
        <w:ind w:left="499" w:right="29" w:hanging="130"/>
        <w:spacing w:before="275" w:line="330" w:lineRule="auto"/>
        <w:rPr/>
      </w:pPr>
      <w:r>
        <w:rPr>
          <w:spacing w:val="2"/>
        </w:rPr>
        <w:t>·</w:t>
      </w:r>
      <w:r>
        <w:rPr>
          <w:spacing w:val="2"/>
        </w:rPr>
        <w:t xml:space="preserve"> </w:t>
      </w:r>
      <w:r>
        <w:rPr>
          <w:spacing w:val="2"/>
        </w:rPr>
        <w:t>“少杀慎杀”政策推动死刑适用严格控制，罪名从68个减至46个，替代措施如死</w:t>
      </w:r>
      <w:r>
        <w:rPr>
          <w:spacing w:val="1"/>
        </w:rPr>
        <w:t>缓和终身监禁</w:t>
      </w:r>
      <w:r>
        <w:rPr/>
        <w:t xml:space="preserve"> </w:t>
      </w:r>
      <w:r>
        <w:rPr>
          <w:spacing w:val="4"/>
        </w:rPr>
        <w:t>逐步完善。</w:t>
      </w:r>
    </w:p>
    <w:p>
      <w:pPr>
        <w:pStyle w:val="BodyText"/>
        <w:ind w:left="499" w:right="169" w:hanging="130"/>
        <w:spacing w:before="138" w:line="275" w:lineRule="auto"/>
        <w:rPr/>
      </w:pPr>
      <w:r>
        <w:rPr>
          <w:spacing w:val="12"/>
        </w:rPr>
        <w:t>·</w:t>
      </w:r>
      <w:r>
        <w:rPr>
          <w:spacing w:val="-85"/>
        </w:rPr>
        <w:t xml:space="preserve"> </w:t>
      </w:r>
      <w:r>
        <w:rPr>
          <w:spacing w:val="12"/>
        </w:rPr>
        <w:t>数据来源主要为国际组织报告(如</w:t>
      </w:r>
      <w:r>
        <w:rPr>
          <w:rFonts w:ascii="SimSun" w:hAnsi="SimSun" w:eastAsia="SimSun" w:cs="SimSun"/>
        </w:rPr>
        <w:t>Amnesty</w:t>
      </w:r>
      <w:r>
        <w:rPr>
          <w:rFonts w:ascii="SimSun" w:hAnsi="SimSun" w:eastAsia="SimSun" w:cs="SimSun"/>
          <w:spacing w:val="12"/>
        </w:rPr>
        <w:t>、</w:t>
      </w:r>
      <w:r>
        <w:rPr>
          <w:rFonts w:ascii="SimSun" w:hAnsi="SimSun" w:eastAsia="SimSun" w:cs="SimSun"/>
        </w:rPr>
        <w:t>Dui</w:t>
      </w:r>
      <w:r>
        <w:rPr>
          <w:rFonts w:ascii="SimSun" w:hAnsi="SimSun" w:eastAsia="SimSun" w:cs="SimSun"/>
          <w:spacing w:val="12"/>
        </w:rPr>
        <w:t xml:space="preserve">   </w:t>
      </w:r>
      <w:r>
        <w:rPr>
          <w:rFonts w:ascii="SimSun" w:hAnsi="SimSun" w:eastAsia="SimSun" w:cs="SimSun"/>
        </w:rPr>
        <w:t>Hua</w:t>
      </w:r>
      <w:r>
        <w:rPr>
          <w:rFonts w:ascii="SimSun" w:hAnsi="SimSun" w:eastAsia="SimSun" w:cs="SimSun"/>
          <w:spacing w:val="12"/>
        </w:rPr>
        <w:t>)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2"/>
        </w:rPr>
        <w:t>和学术</w:t>
      </w:r>
      <w:r>
        <w:rPr>
          <w:spacing w:val="11"/>
        </w:rPr>
        <w:t>估算，中国官方视死刑数据</w:t>
      </w:r>
      <w:r>
        <w:rPr/>
        <w:t xml:space="preserve"> </w:t>
      </w:r>
      <w:r>
        <w:rPr>
          <w:spacing w:val="8"/>
        </w:rPr>
        <w:t>为国家机密，不公开精确数字，导致量化分析存在局限性。</w:t>
      </w:r>
    </w:p>
    <w:p>
      <w:pPr>
        <w:pStyle w:val="BodyText"/>
        <w:ind w:left="499" w:right="238" w:hanging="130"/>
        <w:spacing w:before="239" w:line="293" w:lineRule="auto"/>
        <w:rPr/>
      </w:pPr>
      <w:r>
        <w:rPr>
          <w:spacing w:val="11"/>
        </w:rPr>
        <w:t>·</w:t>
      </w:r>
      <w:r>
        <w:rPr>
          <w:spacing w:val="-84"/>
        </w:rPr>
        <w:t xml:space="preserve"> </w:t>
      </w:r>
      <w:r>
        <w:rPr>
          <w:spacing w:val="11"/>
        </w:rPr>
        <w:t>废除死刑趋势明确，但短期内</w:t>
      </w:r>
      <w:r>
        <w:rPr>
          <w:rFonts w:ascii="Times New Roman" w:hAnsi="Times New Roman" w:eastAsia="Times New Roman" w:cs="Times New Roman"/>
        </w:rPr>
        <w:t>unlikely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1"/>
        </w:rPr>
        <w:t>完全废除，可能在2050年前后逐步实现，取决于犯</w:t>
      </w:r>
      <w:r>
        <w:rPr/>
        <w:t xml:space="preserve"> </w:t>
      </w:r>
      <w:r>
        <w:rPr>
          <w:spacing w:val="8"/>
        </w:rPr>
        <w:t>罪形势、公众舆论和替代刑完善。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中国重刑体系概述</w:t>
      </w:r>
    </w:p>
    <w:p>
      <w:pPr>
        <w:pStyle w:val="BodyText"/>
        <w:ind w:right="172"/>
        <w:spacing w:before="243" w:line="326" w:lineRule="auto"/>
        <w:rPr/>
      </w:pPr>
      <w:r>
        <w:rPr>
          <w:spacing w:val="10"/>
        </w:rPr>
        <w:t>中国刑罚结构以自由刑为主，包括管制、拘役、有期徒刑、无期徒刑和死刑，死刑、死缓与终身</w:t>
      </w:r>
      <w:r>
        <w:rPr>
          <w:spacing w:val="6"/>
        </w:rPr>
        <w:t xml:space="preserve"> </w:t>
      </w:r>
      <w:r>
        <w:rPr>
          <w:spacing w:val="3"/>
        </w:rPr>
        <w:t>监禁定位于惩治罪行极其严重的犯罪，体现报应与预防功能，同时受“少杀慎杀”政策制约。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法律与政策背景</w:t>
      </w:r>
    </w:p>
    <w:p>
      <w:pPr>
        <w:pStyle w:val="BodyText"/>
        <w:ind w:right="49"/>
        <w:spacing w:before="231" w:line="333" w:lineRule="auto"/>
        <w:jc w:val="both"/>
        <w:rPr/>
      </w:pPr>
      <w:r>
        <w:rPr>
          <w:spacing w:val="12"/>
        </w:rPr>
        <w:t>中国刑法第48条规定死刑只适用于罪行极</w:t>
      </w:r>
      <w:r>
        <w:rPr>
          <w:spacing w:val="11"/>
        </w:rPr>
        <w:t>其严重的犯罪分子，不是必须立即执行的可判死缓。第</w:t>
      </w:r>
      <w:r>
        <w:rPr/>
        <w:t xml:space="preserve"> </w:t>
      </w:r>
      <w:r>
        <w:rPr>
          <w:spacing w:val="15"/>
        </w:rPr>
        <w:t>50条详述死缓变更机制。2015年《刑法修正案(九)》引入终身监禁，作为贪污受贿死缓的</w:t>
      </w:r>
      <w:r>
        <w:rPr>
          <w:spacing w:val="14"/>
        </w:rPr>
        <w:t>附加</w:t>
      </w:r>
      <w:r>
        <w:rPr/>
        <w:t xml:space="preserve">  </w:t>
      </w:r>
      <w:r>
        <w:rPr>
          <w:spacing w:val="7"/>
        </w:rPr>
        <w:t>措施。“少杀慎杀”政策源于2007年死刑复核权收回最高人民法院，罪名逐步减少，体现宽严相济</w:t>
      </w:r>
      <w:r>
        <w:rPr>
          <w:spacing w:val="4"/>
        </w:rPr>
        <w:t xml:space="preserve"> </w:t>
      </w:r>
      <w:r>
        <w:rPr>
          <w:spacing w:val="8"/>
        </w:rPr>
        <w:t>刑事政策。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66600</wp:posOffset>
            </wp:positionV>
            <wp:extent cx="6515058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中国当前刑罚体系中的重刑：死刑、死刑缓期执行与终</w:t>
      </w:r>
      <w:r>
        <w:rPr>
          <w:sz w:val="30"/>
          <w:szCs w:val="30"/>
          <w:b/>
          <w:bCs/>
          <w:spacing w:val="-4"/>
        </w:rPr>
        <w:t>身监禁专题分析报告</w:t>
      </w:r>
    </w:p>
    <w:p>
      <w:pPr>
        <w:pStyle w:val="BodyText"/>
        <w:ind w:right="172"/>
        <w:spacing w:before="235" w:line="328" w:lineRule="auto"/>
        <w:rPr/>
      </w:pPr>
      <w:r>
        <w:rPr>
          <w:spacing w:val="16"/>
        </w:rPr>
        <w:t>本报告聚焦中国当前刑罚体系中三种重刑形式：死刑立即执</w:t>
      </w:r>
      <w:r>
        <w:rPr>
          <w:spacing w:val="15"/>
        </w:rPr>
        <w:t>行、死刑缓期执行(死缓)和终身监</w:t>
      </w:r>
      <w:r>
        <w:rPr/>
        <w:t xml:space="preserve"> </w:t>
      </w:r>
      <w:r>
        <w:rPr>
          <w:spacing w:val="11"/>
        </w:rPr>
        <w:t>禁。分析基于公开法律规定、最高人民法院报告、学术研究</w:t>
      </w:r>
      <w:r>
        <w:rPr>
          <w:spacing w:val="10"/>
        </w:rPr>
        <w:t>以及国际组织估算，讨论数据局限</w:t>
      </w:r>
    </w:p>
    <w:p>
      <w:pPr>
        <w:pStyle w:val="BodyText"/>
        <w:spacing w:before="15" w:line="213" w:lineRule="auto"/>
        <w:rPr/>
      </w:pPr>
      <w:r>
        <w:rPr>
          <w:spacing w:val="9"/>
        </w:rPr>
        <w:t>性。报告旨在提供审慎、客观的量化尝试与趋势解读，同时探讨减刑机制及废</w:t>
      </w:r>
      <w:r>
        <w:rPr>
          <w:spacing w:val="8"/>
        </w:rPr>
        <w:t>除死刑前景。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7"/>
        </w:rPr>
        <w:t>引言：中国重刑在刑罚体系中的宏观定位</w:t>
      </w:r>
    </w:p>
    <w:p>
      <w:pPr>
        <w:spacing w:line="222" w:lineRule="auto"/>
        <w:sectPr>
          <w:pgSz w:w="12240" w:h="15840"/>
          <w:pgMar w:top="1112" w:right="1000" w:bottom="0" w:left="980" w:header="0" w:footer="0" w:gutter="0"/>
        </w:sectPr>
        <w:rPr/>
      </w:pPr>
    </w:p>
    <w:p>
      <w:pPr>
        <w:pStyle w:val="BodyText"/>
        <w:spacing w:before="48" w:line="213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中国刑法主刑包括管制、拘役、有期徒刑、无期</w:t>
      </w:r>
      <w:r>
        <w:rPr>
          <w:sz w:val="24"/>
          <w:szCs w:val="24"/>
          <w:spacing w:val="3"/>
        </w:rPr>
        <w:t>徒刑和死刑，辅以财产刑、资格刑。重刑(死</w:t>
      </w:r>
    </w:p>
    <w:p>
      <w:pPr>
        <w:pStyle w:val="BodyText"/>
        <w:ind w:right="101"/>
        <w:spacing w:before="143" w:line="321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刑、死缓、终身监禁、无期徒刑)针对罪行极其严重犯罪，</w:t>
      </w:r>
      <w:r>
        <w:rPr>
          <w:sz w:val="24"/>
          <w:szCs w:val="24"/>
          <w:spacing w:val="3"/>
        </w:rPr>
        <w:t>体现报应正义与特殊预防。死刑适用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1"/>
        </w:rPr>
        <w:t>受严格限制，“保留死刑、严格控制和慎重适用死刑”与“少杀慎杀”政策主导司法</w:t>
      </w:r>
      <w:r>
        <w:rPr>
          <w:sz w:val="24"/>
          <w:szCs w:val="24"/>
          <w:spacing w:val="-12"/>
        </w:rPr>
        <w:t>实践。重刑在整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体刑罚中占比不高，但象征意义重大，影响社会治</w:t>
      </w:r>
      <w:r>
        <w:rPr>
          <w:sz w:val="24"/>
          <w:szCs w:val="24"/>
          <w:spacing w:val="-2"/>
        </w:rPr>
        <w:t>安治理与人权保障。</w:t>
      </w:r>
    </w:p>
    <w:p>
      <w:pPr>
        <w:pStyle w:val="BodyText"/>
        <w:ind w:left="3"/>
        <w:spacing w:before="22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当前三种重刑的适用现状与量化分析</w:t>
      </w:r>
    </w:p>
    <w:p>
      <w:pPr>
        <w:pStyle w:val="BodyText"/>
        <w:spacing w:before="213" w:line="314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中国死刑数据视为国家机密，官方不公布精确数字。</w:t>
      </w:r>
      <w:r>
        <w:rPr>
          <w:sz w:val="24"/>
          <w:szCs w:val="24"/>
          <w:spacing w:val="-3"/>
        </w:rPr>
        <w:t>最高人民法院工作报告偶尔提及“严格控制死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刑适用”,但无具体数量。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中国法律年鉴》提供整体刑事案件数据，无死刑细分。量化主要依赖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3"/>
        </w:rPr>
        <w:t>国际组织(如</w:t>
      </w:r>
      <w:r>
        <w:rPr>
          <w:rFonts w:ascii="Arial" w:hAnsi="Arial" w:eastAsia="Arial" w:cs="Arial"/>
          <w:sz w:val="24"/>
          <w:szCs w:val="24"/>
        </w:rPr>
        <w:t>Amnesty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International</w:t>
      </w:r>
      <w:r>
        <w:rPr>
          <w:rFonts w:ascii="SimSun" w:hAnsi="SimSun" w:eastAsia="SimSun" w:cs="SimSun"/>
          <w:sz w:val="24"/>
          <w:szCs w:val="24"/>
          <w:spacing w:val="3"/>
        </w:rPr>
        <w:t>、</w:t>
      </w:r>
      <w:r>
        <w:rPr>
          <w:rFonts w:ascii="Arial" w:hAnsi="Arial" w:eastAsia="Arial" w:cs="Arial"/>
          <w:sz w:val="24"/>
          <w:szCs w:val="24"/>
        </w:rPr>
        <w:t>Dui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Hua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Foundation</w:t>
      </w:r>
      <w:r>
        <w:rPr>
          <w:rFonts w:ascii="Arial" w:hAnsi="Arial" w:eastAsia="Arial" w:cs="Arial"/>
          <w:sz w:val="24"/>
          <w:szCs w:val="24"/>
          <w:spacing w:val="3"/>
        </w:rPr>
        <w:t>)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3"/>
        </w:rPr>
        <w:t>估算与学术推断。这些估算基于媒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体报道、司法个案与官方间接信息，存在低估风险(因未公开案件多)与不确定性。</w:t>
      </w:r>
    </w:p>
    <w:p>
      <w:pPr>
        <w:pStyle w:val="BodyText"/>
        <w:ind w:left="3"/>
        <w:spacing w:before="17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死刑立即执行</w:t>
      </w:r>
    </w:p>
    <w:p>
      <w:pPr>
        <w:pStyle w:val="BodyText"/>
        <w:spacing w:before="154" w:line="217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适用对象：罪行极其严重且必须立即执行的犯罪(如特别残忍故意杀人、重特大毒品</w:t>
      </w:r>
      <w:r>
        <w:rPr>
          <w:sz w:val="24"/>
          <w:szCs w:val="24"/>
          <w:spacing w:val="2"/>
        </w:rPr>
        <w:t>犯罪)。</w:t>
      </w:r>
    </w:p>
    <w:p>
      <w:pPr>
        <w:pStyle w:val="BodyText"/>
        <w:ind w:right="174"/>
        <w:spacing w:before="123" w:line="301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近年数量与比例：</w:t>
      </w:r>
      <w:r>
        <w:rPr>
          <w:rFonts w:ascii="SimSun" w:hAnsi="SimSun" w:eastAsia="SimSun" w:cs="SimSun"/>
          <w:sz w:val="24"/>
          <w:szCs w:val="24"/>
        </w:rPr>
        <w:t>Dui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Hua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Foundation</w:t>
      </w:r>
      <w:r>
        <w:rPr>
          <w:sz w:val="24"/>
          <w:szCs w:val="24"/>
          <w:spacing w:val="12"/>
        </w:rPr>
        <w:t>估算2016-2018年约2000例/年，2013-2014年约2400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4"/>
        </w:rPr>
        <w:t>例。</w:t>
      </w:r>
      <w:r>
        <w:rPr>
          <w:rFonts w:ascii="Times New Roman" w:hAnsi="Times New Roman" w:eastAsia="Times New Roman" w:cs="Times New Roman"/>
          <w:sz w:val="24"/>
          <w:szCs w:val="24"/>
        </w:rPr>
        <w:t>Amnesty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4"/>
        </w:rPr>
        <w:t>视中国为全球执行最多国家</w:t>
      </w:r>
      <w:r>
        <w:rPr>
          <w:sz w:val="24"/>
          <w:szCs w:val="24"/>
          <w:spacing w:val="3"/>
        </w:rPr>
        <w:t>，但不提供具体数字(因机密)。趋势：</w:t>
      </w:r>
    </w:p>
    <w:p>
      <w:pPr>
        <w:pStyle w:val="BodyText"/>
        <w:ind w:right="189"/>
        <w:spacing w:before="47" w:line="305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2007年死刑复核权收回后显著下降(从高峰期万例以上减至千</w:t>
      </w:r>
      <w:r>
        <w:rPr>
          <w:sz w:val="24"/>
          <w:szCs w:val="24"/>
          <w:spacing w:val="9"/>
        </w:rPr>
        <w:t>例级)。比例：占重刑(死刑+死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缓)比例较低，2007年后死缓首次超过立即执行。</w:t>
      </w:r>
    </w:p>
    <w:p>
      <w:pPr>
        <w:pStyle w:val="BodyText"/>
        <w:ind w:right="1"/>
        <w:spacing w:before="49" w:line="333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数据局限：估算差异大，早年高峰(如2002年估算12000例)与近</w:t>
      </w:r>
      <w:r>
        <w:rPr>
          <w:sz w:val="24"/>
          <w:szCs w:val="24"/>
          <w:spacing w:val="10"/>
        </w:rPr>
        <w:t>年低谷对比明显，但缺乏官方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验证。</w:t>
      </w:r>
    </w:p>
    <w:p>
      <w:pPr>
        <w:pStyle w:val="BodyText"/>
        <w:ind w:left="3"/>
        <w:spacing w:before="9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1"/>
        </w:rPr>
        <w:t>死刑缓期执行(死缓)</w:t>
      </w:r>
    </w:p>
    <w:p>
      <w:pPr>
        <w:pStyle w:val="BodyText"/>
        <w:spacing w:before="12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适用对象：罪该死刑但不是必须立即执行的。</w:t>
      </w:r>
    </w:p>
    <w:p>
      <w:pPr>
        <w:pStyle w:val="BodyText"/>
        <w:spacing w:before="137" w:line="320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近年数量与比例：死缓已成为死刑主要形式。2007年报告显示，死缓人数首次超过立即执行。估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4"/>
        </w:rPr>
        <w:t>算显示，死缓占死刑判决多数(约一半以上)。趋势：适用增加，体现“少</w:t>
      </w:r>
      <w:r>
        <w:rPr>
          <w:sz w:val="24"/>
          <w:szCs w:val="24"/>
          <w:spacing w:val="-5"/>
        </w:rPr>
        <w:t>杀”政策。</w:t>
      </w:r>
    </w:p>
    <w:p>
      <w:pPr>
        <w:pStyle w:val="BodyText"/>
        <w:ind w:right="145"/>
        <w:spacing w:before="17" w:line="32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减刑率分析：根据刑法第50条，考验期内无故意犯罪，几乎100%减为无期徒刑；有重大立功，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8"/>
        </w:rPr>
        <w:t>可减为25年有期徒刑。实际操作中，绝大多</w:t>
      </w:r>
      <w:r>
        <w:rPr>
          <w:sz w:val="24"/>
          <w:szCs w:val="24"/>
          <w:spacing w:val="7"/>
        </w:rPr>
        <w:t>数死缓犯通过考验期减刑，减刑率极高(近99%)。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限制减刑案件(暴力犯罪、累犯)最低服刑20-25年。</w:t>
      </w:r>
    </w:p>
    <w:p>
      <w:pPr>
        <w:pStyle w:val="BodyText"/>
        <w:ind w:left="3"/>
        <w:spacing w:before="126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终身监禁</w:t>
      </w:r>
    </w:p>
    <w:p>
      <w:pPr>
        <w:pStyle w:val="BodyText"/>
        <w:ind w:right="71"/>
        <w:spacing w:before="147" w:line="315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适用对象：2015年《刑法修正案(九)》引入，主要针对贪污受贿“数额特别巨大并造成特别重大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5"/>
        </w:rPr>
        <w:t>损失”的死缓案件。</w:t>
      </w:r>
    </w:p>
    <w:p>
      <w:pPr>
        <w:pStyle w:val="BodyText"/>
        <w:ind w:right="65"/>
        <w:spacing w:before="2" w:line="326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近年数量与比例：适用有限，公开高官案件约15-20例(如白恩培、赵正永、傅政华等)。比例：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占贪腐重刑极小部分。</w:t>
      </w:r>
    </w:p>
    <w:p>
      <w:pPr>
        <w:pStyle w:val="BodyText"/>
        <w:spacing w:before="1" w:line="21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减刑率分析：不得减刑假释，减刑率为0。</w:t>
      </w:r>
      <w:r>
        <w:rPr>
          <w:sz w:val="24"/>
          <w:szCs w:val="24"/>
        </w:rPr>
        <w:t>一经裁判同时决定，无条件执行。</w:t>
      </w:r>
    </w:p>
    <w:p>
      <w:pPr>
        <w:spacing w:line="212" w:lineRule="auto"/>
        <w:sectPr>
          <w:pgSz w:w="12240" w:h="15840"/>
          <w:pgMar w:top="1238" w:right="1054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ind w:left="6"/>
        <w:spacing w:before="44" w:line="213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量化比较表(基于估算数据，近年趋势)</w:t>
      </w:r>
    </w:p>
    <w:p>
      <w:pPr>
        <w:spacing w:before="2"/>
        <w:rPr/>
      </w:pPr>
      <w:r/>
    </w:p>
    <w:tbl>
      <w:tblPr>
        <w:tblStyle w:val="TableNormal"/>
        <w:tblW w:w="10062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6"/>
        <w:gridCol w:w="2510"/>
        <w:gridCol w:w="1685"/>
        <w:gridCol w:w="1816"/>
        <w:gridCol w:w="2955"/>
      </w:tblGrid>
      <w:tr>
        <w:trPr>
          <w:trHeight w:val="773" w:hRule="atLeast"/>
        </w:trPr>
        <w:tc>
          <w:tcPr>
            <w:tcW w:w="1096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21" w:lineRule="auto"/>
              <w:rPr/>
            </w:pPr>
            <w:r>
              <w:rPr>
                <w:b/>
                <w:bCs/>
                <w:spacing w:val="-5"/>
              </w:rPr>
              <w:t>重刑类型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ind w:left="336" w:right="296" w:hanging="110"/>
              <w:spacing w:before="8" w:line="300" w:lineRule="auto"/>
              <w:rPr/>
            </w:pPr>
            <w:r>
              <w:rPr>
                <w:b/>
                <w:bCs/>
                <w:spacing w:val="-13"/>
              </w:rPr>
              <w:t>估算年执行/判决数量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6"/>
              </w:rPr>
              <w:t>(例)</w:t>
            </w:r>
          </w:p>
        </w:tc>
        <w:tc>
          <w:tcPr>
            <w:tcW w:w="1685" w:type="dxa"/>
            <w:vAlign w:val="top"/>
          </w:tcPr>
          <w:p>
            <w:pPr>
              <w:pStyle w:val="TableText"/>
              <w:ind w:left="207"/>
              <w:spacing w:line="221" w:lineRule="auto"/>
              <w:rPr/>
            </w:pPr>
            <w:r>
              <w:rPr>
                <w:b/>
                <w:bCs/>
                <w:spacing w:val="-12"/>
              </w:rPr>
              <w:t>占重刑比例估</w:t>
            </w:r>
          </w:p>
          <w:p>
            <w:pPr>
              <w:pStyle w:val="TableText"/>
              <w:ind w:left="203"/>
              <w:spacing w:before="98" w:line="222" w:lineRule="auto"/>
              <w:rPr/>
            </w:pPr>
            <w:r>
              <w:rPr/>
              <w:t>算</w:t>
            </w:r>
          </w:p>
        </w:tc>
        <w:tc>
          <w:tcPr>
            <w:tcW w:w="1816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71" w:line="222" w:lineRule="auto"/>
              <w:rPr/>
            </w:pPr>
            <w:r>
              <w:rPr>
                <w:b/>
                <w:bCs/>
                <w:spacing w:val="-10"/>
              </w:rPr>
              <w:t>减刑率估算</w:t>
            </w:r>
          </w:p>
        </w:tc>
        <w:tc>
          <w:tcPr>
            <w:tcW w:w="2955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6"/>
              <w:spacing w:before="72" w:line="222" w:lineRule="auto"/>
              <w:rPr/>
            </w:pPr>
            <w:r>
              <w:rPr>
                <w:b/>
                <w:bCs/>
                <w:spacing w:val="-11"/>
              </w:rPr>
              <w:t>主要适用罪名</w:t>
            </w:r>
          </w:p>
        </w:tc>
      </w:tr>
      <w:tr>
        <w:trPr>
          <w:trHeight w:val="414" w:hRule="atLeast"/>
        </w:trPr>
        <w:tc>
          <w:tcPr>
            <w:tcW w:w="3606" w:type="dxa"/>
            <w:vAlign w:val="top"/>
            <w:gridSpan w:val="2"/>
          </w:tcPr>
          <w:p>
            <w:pPr>
              <w:pStyle w:val="TableText"/>
              <w:spacing w:before="187" w:line="182" w:lineRule="auto"/>
              <w:rPr/>
            </w:pPr>
            <w:r>
              <w:rPr>
                <w:spacing w:val="10"/>
              </w:rPr>
              <w:t>死刑立即执</w:t>
            </w:r>
            <w:r>
              <w:rPr>
                <w:spacing w:val="10"/>
              </w:rPr>
              <w:t xml:space="preserve">  </w:t>
            </w:r>
            <w:r>
              <w:rPr>
                <w:spacing w:val="10"/>
              </w:rPr>
              <w:t>约2000(2010</w:t>
            </w:r>
            <w:r>
              <w:rPr>
                <w:rFonts w:ascii="SimSun" w:hAnsi="SimSun" w:eastAsia="SimSun" w:cs="SimSun"/>
                <w:spacing w:val="10"/>
              </w:rPr>
              <w:t>s</w:t>
            </w:r>
            <w:r>
              <w:rPr>
                <w:spacing w:val="10"/>
              </w:rPr>
              <w:t>后期)</w:t>
            </w:r>
          </w:p>
        </w:tc>
        <w:tc>
          <w:tcPr>
            <w:tcW w:w="1685" w:type="dxa"/>
            <w:vAlign w:val="top"/>
          </w:tcPr>
          <w:p>
            <w:pPr>
              <w:pStyle w:val="TableText"/>
              <w:ind w:left="203"/>
              <w:spacing w:before="191" w:line="178" w:lineRule="auto"/>
              <w:rPr/>
            </w:pPr>
            <w:r>
              <w:rPr>
                <w:spacing w:val="31"/>
              </w:rPr>
              <w:t>较低(&lt;50%)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8"/>
              <w:spacing w:before="191" w:line="178" w:lineRule="auto"/>
              <w:rPr/>
            </w:pPr>
            <w:r>
              <w:rPr>
                <w:spacing w:val="-3"/>
              </w:rPr>
              <w:t>不适用</w:t>
            </w:r>
          </w:p>
        </w:tc>
        <w:tc>
          <w:tcPr>
            <w:tcW w:w="2955" w:type="dxa"/>
            <w:vAlign w:val="top"/>
          </w:tcPr>
          <w:p>
            <w:pPr>
              <w:pStyle w:val="TableText"/>
              <w:spacing w:before="189" w:line="180" w:lineRule="auto"/>
              <w:jc w:val="right"/>
              <w:rPr/>
            </w:pPr>
            <w:r>
              <w:rPr>
                <w:spacing w:val="-9"/>
              </w:rPr>
              <w:t>故意杀人、毒品、重特大</w:t>
            </w:r>
          </w:p>
        </w:tc>
      </w:tr>
    </w:tbl>
    <w:p>
      <w:pPr>
        <w:pStyle w:val="BodyText"/>
        <w:ind w:left="6"/>
        <w:spacing w:before="155" w:line="181" w:lineRule="auto"/>
        <w:rPr>
          <w:sz w:val="20"/>
          <w:szCs w:val="20"/>
        </w:rPr>
      </w:pPr>
      <w:r>
        <w:rPr>
          <w:sz w:val="17"/>
          <w:szCs w:val="17"/>
          <w:spacing w:val="-2"/>
        </w:rPr>
        <w:t>行</w:t>
      </w:r>
      <w:r>
        <w:rPr>
          <w:sz w:val="17"/>
          <w:szCs w:val="17"/>
          <w:spacing w:val="-2"/>
        </w:rPr>
        <w:t xml:space="preserve">                                                                                           </w:t>
      </w:r>
      <w:r>
        <w:rPr>
          <w:sz w:val="20"/>
          <w:szCs w:val="20"/>
          <w:spacing w:val="-2"/>
        </w:rPr>
        <w:t>贪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腐</w:t>
      </w:r>
    </w:p>
    <w:tbl>
      <w:tblPr>
        <w:tblStyle w:val="TableNormal"/>
        <w:tblW w:w="100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6"/>
        <w:gridCol w:w="2015"/>
        <w:gridCol w:w="1896"/>
        <w:gridCol w:w="2492"/>
        <w:gridCol w:w="2507"/>
      </w:tblGrid>
      <w:tr>
        <w:trPr>
          <w:trHeight w:val="959" w:hRule="atLeast"/>
        </w:trPr>
        <w:tc>
          <w:tcPr>
            <w:tcW w:w="11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right="122"/>
              <w:spacing w:before="71" w:line="269" w:lineRule="auto"/>
              <w:rPr>
                <w:sz w:val="17"/>
                <w:szCs w:val="17"/>
              </w:rPr>
            </w:pPr>
            <w:r>
              <w:rPr>
                <w:spacing w:val="-11"/>
              </w:rPr>
              <w:t>死刑缓期执</w:t>
            </w:r>
            <w:r>
              <w:rPr>
                <w:spacing w:val="1"/>
              </w:rPr>
              <w:t xml:space="preserve"> </w:t>
            </w:r>
            <w:r>
              <w:rPr>
                <w:sz w:val="17"/>
                <w:szCs w:val="17"/>
              </w:rPr>
              <w:t>行</w:t>
            </w:r>
          </w:p>
        </w:tc>
        <w:tc>
          <w:tcPr>
            <w:tcW w:w="201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1" w:line="222" w:lineRule="auto"/>
              <w:rPr/>
            </w:pPr>
            <w:r>
              <w:rPr>
                <w:spacing w:val="-8"/>
              </w:rPr>
              <w:t>多数死刑判决</w:t>
            </w:r>
          </w:p>
        </w:tc>
        <w:tc>
          <w:tcPr>
            <w:tcW w:w="189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5"/>
              <w:spacing w:before="72" w:line="223" w:lineRule="auto"/>
              <w:rPr/>
            </w:pPr>
            <w:r>
              <w:rPr>
                <w:spacing w:val="14"/>
                <w:w w:val="118"/>
              </w:rPr>
              <w:t>高(&gt;50%)</w:t>
            </w:r>
          </w:p>
        </w:tc>
        <w:tc>
          <w:tcPr>
            <w:tcW w:w="249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 w:right="123" w:firstLine="56"/>
              <w:spacing w:before="72" w:line="277" w:lineRule="auto"/>
              <w:rPr>
                <w:sz w:val="17"/>
                <w:szCs w:val="17"/>
              </w:rPr>
            </w:pPr>
            <w:r>
              <w:rPr>
                <w:spacing w:val="14"/>
              </w:rPr>
              <w:t>高(近100%通过考验</w:t>
            </w:r>
            <w:r>
              <w:rPr>
                <w:spacing w:val="3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期</w:t>
            </w:r>
            <w:r>
              <w:rPr>
                <w:sz w:val="17"/>
                <w:szCs w:val="17"/>
                <w:spacing w:val="56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)</w:t>
            </w:r>
          </w:p>
        </w:tc>
        <w:tc>
          <w:tcPr>
            <w:tcW w:w="250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 w:right="50" w:firstLine="23"/>
              <w:spacing w:before="71" w:line="264" w:lineRule="auto"/>
              <w:rPr>
                <w:sz w:val="19"/>
                <w:szCs w:val="19"/>
              </w:rPr>
            </w:pPr>
            <w:r>
              <w:rPr>
                <w:spacing w:val="-11"/>
              </w:rPr>
              <w:t>同上，非必须立即执行案</w:t>
            </w:r>
            <w:r>
              <w:rPr/>
              <w:t xml:space="preserve"> </w:t>
            </w:r>
            <w:r>
              <w:rPr>
                <w:sz w:val="19"/>
                <w:szCs w:val="19"/>
              </w:rPr>
              <w:t>件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1" w:line="203" w:lineRule="auto"/>
        <w:rPr>
          <w:sz w:val="22"/>
          <w:szCs w:val="22"/>
        </w:rPr>
      </w:pPr>
      <w:r>
        <w:rPr>
          <w:sz w:val="22"/>
          <w:szCs w:val="22"/>
        </w:rPr>
        <w:t>终身监禁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10-20(公开案件)</w:t>
      </w:r>
      <w:r>
        <w:rPr>
          <w:sz w:val="22"/>
          <w:szCs w:val="22"/>
          <w:spacing w:val="10"/>
        </w:rPr>
        <w:t xml:space="preserve">      </w:t>
      </w:r>
      <w:r>
        <w:rPr>
          <w:sz w:val="22"/>
          <w:szCs w:val="22"/>
        </w:rPr>
        <w:t>极低</w:t>
      </w:r>
      <w:r>
        <w:rPr>
          <w:sz w:val="22"/>
          <w:szCs w:val="22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position w:val="-1"/>
        </w:rPr>
        <w:t>0%                            </w:t>
      </w:r>
      <w:r>
        <w:rPr>
          <w:sz w:val="22"/>
          <w:szCs w:val="22"/>
        </w:rPr>
        <w:t>重大贪污受贿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spacing w:before="72" w:line="218" w:lineRule="auto"/>
        <w:jc w:val="right"/>
        <w:rPr>
          <w:sz w:val="22"/>
          <w:szCs w:val="22"/>
        </w:rPr>
      </w:pPr>
      <w:r>
        <w:rPr>
          <w:sz w:val="22"/>
          <w:szCs w:val="22"/>
          <w:spacing w:val="11"/>
        </w:rPr>
        <w:t>数据来源：</w:t>
      </w:r>
      <w:r>
        <w:rPr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Dui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Hua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Foundation</w:t>
      </w:r>
      <w:r>
        <w:rPr>
          <w:rFonts w:ascii="SimSun" w:hAnsi="SimSun" w:eastAsia="SimSun" w:cs="SimSun"/>
          <w:sz w:val="22"/>
          <w:szCs w:val="22"/>
          <w:spacing w:val="11"/>
        </w:rPr>
        <w:t>、</w:t>
      </w:r>
      <w:r>
        <w:rPr>
          <w:rFonts w:ascii="SimSun" w:hAnsi="SimSun" w:eastAsia="SimSun" w:cs="SimSun"/>
          <w:sz w:val="22"/>
          <w:szCs w:val="22"/>
        </w:rPr>
        <w:t>Amnesty</w:t>
      </w:r>
      <w:r>
        <w:rPr>
          <w:rFonts w:ascii="SimSun" w:hAnsi="SimSun" w:eastAsia="SimSun" w:cs="SimSun"/>
          <w:sz w:val="22"/>
          <w:szCs w:val="22"/>
          <w:spacing w:val="30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International</w:t>
      </w:r>
      <w:r>
        <w:rPr>
          <w:sz w:val="22"/>
          <w:szCs w:val="22"/>
          <w:spacing w:val="11"/>
        </w:rPr>
        <w:t>报告、最高人民法院间接信息。局限：</w:t>
      </w:r>
    </w:p>
    <w:p>
      <w:pPr>
        <w:pStyle w:val="BodyText"/>
        <w:ind w:left="6"/>
        <w:spacing w:before="164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无官方精确数据，估算可能低估；趋势显示立</w:t>
      </w:r>
      <w:r>
        <w:rPr>
          <w:sz w:val="22"/>
          <w:szCs w:val="22"/>
          <w:spacing w:val="18"/>
        </w:rPr>
        <w:t>即执行下降、死缓增加。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减刑机制详细阐述</w:t>
      </w:r>
    </w:p>
    <w:p>
      <w:pPr>
        <w:pStyle w:val="BodyText"/>
        <w:ind w:left="6" w:right="72"/>
        <w:spacing w:before="237" w:line="355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死缓减刑路径：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9"/>
        </w:rPr>
        <w:t>刑法第50条规定，二年考验期内无故意犯罪，减为无期；重大立功减为25年有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27"/>
        </w:rPr>
        <w:t>期。实际：考验期表现良好几乎必减。限制减刑(累犯、八类暴力犯罪)</w:t>
      </w:r>
      <w:r>
        <w:rPr>
          <w:sz w:val="22"/>
          <w:szCs w:val="22"/>
          <w:spacing w:val="26"/>
        </w:rPr>
        <w:t>最低服刑20-25年。操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作：监狱提出，法院裁定。</w:t>
      </w:r>
    </w:p>
    <w:p>
      <w:pPr>
        <w:pStyle w:val="BodyText"/>
        <w:ind w:left="6" w:right="72" w:firstLine="3"/>
        <w:spacing w:before="102" w:line="35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终身监禁减刑：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7"/>
        </w:rPr>
        <w:t>附加于贪腐死缓，考验期后减为无期即终身监禁</w:t>
      </w:r>
      <w:r>
        <w:rPr>
          <w:sz w:val="22"/>
          <w:szCs w:val="22"/>
          <w:spacing w:val="16"/>
        </w:rPr>
        <w:t>，无减刑假释可能。司法解释强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调一审二审同时决定。</w:t>
      </w:r>
    </w:p>
    <w:p>
      <w:pPr>
        <w:pStyle w:val="BodyText"/>
        <w:ind w:left="9"/>
        <w:spacing w:before="22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废除死刑的因素分析与审慎预测</w:t>
      </w:r>
    </w:p>
    <w:p>
      <w:pPr>
        <w:pStyle w:val="BodyText"/>
        <w:ind w:left="6"/>
        <w:spacing w:before="240" w:line="222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影响因素：</w:t>
      </w:r>
    </w:p>
    <w:p>
      <w:pPr>
        <w:pStyle w:val="BodyText"/>
        <w:ind w:left="376"/>
        <w:spacing w:before="264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4"/>
        </w:rPr>
        <w:t>国内改革：罪名减至46个，死缓与终身监禁完善替代。</w:t>
      </w:r>
    </w:p>
    <w:p>
      <w:pPr>
        <w:pStyle w:val="BodyText"/>
        <w:ind w:left="376"/>
        <w:spacing w:before="306" w:line="222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11"/>
        </w:rPr>
        <w:t>犯罪形势：严重暴力犯罪仍需威慑。</w:t>
      </w:r>
    </w:p>
    <w:p>
      <w:pPr>
        <w:pStyle w:val="BodyText"/>
        <w:ind w:left="376"/>
        <w:spacing w:before="265" w:line="22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·</w:t>
      </w:r>
      <w:r>
        <w:rPr>
          <w:sz w:val="22"/>
          <w:szCs w:val="22"/>
          <w:spacing w:val="-87"/>
        </w:rPr>
        <w:t xml:space="preserve"> </w:t>
      </w:r>
      <w:r>
        <w:rPr>
          <w:sz w:val="22"/>
          <w:szCs w:val="22"/>
          <w:spacing w:val="6"/>
        </w:rPr>
        <w:t>公众舆论：支持率高(“杀人偿命”观念根</w:t>
      </w:r>
      <w:r>
        <w:rPr>
          <w:sz w:val="22"/>
          <w:szCs w:val="22"/>
          <w:spacing w:val="5"/>
        </w:rPr>
        <w:t>深)。</w:t>
      </w:r>
    </w:p>
    <w:p>
      <w:pPr>
        <w:pStyle w:val="BodyText"/>
        <w:ind w:left="376"/>
        <w:spacing w:before="277" w:line="222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·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7"/>
        </w:rPr>
        <w:t>国际压力：人权公约推动限制。</w:t>
      </w:r>
    </w:p>
    <w:p>
      <w:pPr>
        <w:pStyle w:val="BodyText"/>
        <w:ind w:left="376"/>
        <w:spacing w:before="266" w:line="21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·</w:t>
      </w:r>
      <w:r>
        <w:rPr>
          <w:sz w:val="22"/>
          <w:szCs w:val="22"/>
          <w:spacing w:val="-85"/>
        </w:rPr>
        <w:t xml:space="preserve"> </w:t>
      </w:r>
      <w:r>
        <w:rPr>
          <w:sz w:val="22"/>
          <w:szCs w:val="22"/>
          <w:spacing w:val="4"/>
        </w:rPr>
        <w:t>政治决策：“少杀慎杀”持续，但完全废除需民意转变。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" w:right="27"/>
        <w:spacing w:before="72" w:line="351" w:lineRule="auto"/>
        <w:jc w:val="both"/>
        <w:rPr>
          <w:sz w:val="22"/>
          <w:szCs w:val="22"/>
        </w:rPr>
      </w:pPr>
      <w:r>
        <w:rPr>
          <w:sz w:val="22"/>
          <w:szCs w:val="22"/>
          <w:spacing w:val="33"/>
        </w:rPr>
        <w:t>预测：趋势向限制与减少明确，短期(10</w:t>
      </w:r>
      <w:r>
        <w:rPr>
          <w:sz w:val="22"/>
          <w:szCs w:val="22"/>
          <w:spacing w:val="32"/>
        </w:rPr>
        <w:t>-20年)</w:t>
      </w:r>
      <w:r>
        <w:rPr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unlikely</w:t>
      </w:r>
      <w:r>
        <w:rPr>
          <w:sz w:val="22"/>
          <w:szCs w:val="22"/>
          <w:spacing w:val="32"/>
        </w:rPr>
        <w:t>完全废除；中长期(2050年前后)可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能实现，条件包括替代刑完善、民意转变、犯罪率稳定。审慎评估：逐步废止非暴力死刑后，保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6"/>
        </w:rPr>
        <w:t>留核心罪名，最终全面废除。</w:t>
      </w:r>
    </w:p>
    <w:p>
      <w:pPr>
        <w:spacing w:line="351" w:lineRule="auto"/>
        <w:sectPr>
          <w:pgSz w:w="12240" w:h="15840"/>
          <w:pgMar w:top="1263" w:right="1100" w:bottom="0" w:left="973" w:header="0" w:footer="0" w:gutter="0"/>
        </w:sectPr>
        <w:rPr>
          <w:sz w:val="22"/>
          <w:szCs w:val="22"/>
        </w:rPr>
      </w:pPr>
    </w:p>
    <w:p>
      <w:pPr>
        <w:pStyle w:val="BodyText"/>
        <w:ind w:left="3"/>
        <w:spacing w:before="48" w:line="22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结论</w:t>
      </w:r>
    </w:p>
    <w:p>
      <w:pPr>
        <w:pStyle w:val="BodyText"/>
        <w:spacing w:before="211" w:line="376" w:lineRule="auto"/>
        <w:rPr>
          <w:sz w:val="24"/>
          <w:szCs w:val="24"/>
        </w:rPr>
      </w:pPr>
      <w:r>
        <w:rPr>
          <w:sz w:val="24"/>
          <w:szCs w:val="24"/>
        </w:rPr>
        <w:t>中国重刑体系体现惩治与人道平衡，死刑适用严格控制，死缓主导，终身监禁针对特定腐败。数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据不透明限制精确分析，但趋势显示人文进步。未来废除死刑需多因素合力，推动刑罚现代</w:t>
      </w:r>
      <w:r>
        <w:rPr>
          <w:sz w:val="24"/>
          <w:szCs w:val="24"/>
          <w:spacing w:val="-1"/>
        </w:rPr>
        <w:t>化。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关键引用：</w:t>
      </w:r>
    </w:p>
    <w:p>
      <w:pPr>
        <w:ind w:left="369"/>
        <w:spacing w:before="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·Amnesty   International</w:t>
      </w:r>
      <w:r>
        <w:rPr>
          <w:rFonts w:ascii="Arial" w:hAnsi="Arial" w:eastAsia="Arial" w:cs="Arial"/>
          <w:sz w:val="24"/>
          <w:szCs w:val="24"/>
          <w:spacing w:val="3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Death</w:t>
      </w:r>
      <w:r>
        <w:rPr>
          <w:rFonts w:ascii="Arial" w:hAnsi="Arial" w:eastAsia="Arial" w:cs="Arial"/>
          <w:sz w:val="24"/>
          <w:szCs w:val="24"/>
          <w:spacing w:val="2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Sentences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Executions</w:t>
      </w:r>
      <w:r>
        <w:rPr>
          <w:rFonts w:ascii="Arial" w:hAnsi="Arial" w:eastAsia="Arial" w:cs="Arial"/>
          <w:sz w:val="24"/>
          <w:szCs w:val="24"/>
          <w:spacing w:val="3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Reports(2023-2024)</w:t>
      </w:r>
    </w:p>
    <w:p>
      <w:pPr>
        <w:ind w:left="369"/>
        <w:spacing w:before="28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·Dui  Hua  Foundation  Estimates  </w:t>
      </w:r>
      <w:r>
        <w:rPr>
          <w:rFonts w:ascii="Arial" w:hAnsi="Arial" w:eastAsia="Arial" w:cs="Arial"/>
          <w:sz w:val="24"/>
          <w:szCs w:val="24"/>
          <w:spacing w:val="-3"/>
        </w:rPr>
        <w:t>on  Chinese  Executions</w:t>
      </w:r>
    </w:p>
    <w:p>
      <w:pPr>
        <w:pStyle w:val="BodyText"/>
        <w:ind w:left="369"/>
        <w:spacing w:before="290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·《中华人民共和国刑法》及修正案(八)、</w:t>
      </w:r>
      <w:r>
        <w:rPr>
          <w:sz w:val="24"/>
          <w:szCs w:val="24"/>
          <w:spacing w:val="-3"/>
        </w:rPr>
        <w:t xml:space="preserve">  </w:t>
      </w:r>
      <w:r>
        <w:rPr>
          <w:sz w:val="24"/>
          <w:szCs w:val="24"/>
          <w:spacing w:val="-3"/>
        </w:rPr>
        <w:t>丸)</w:t>
      </w:r>
    </w:p>
    <w:p>
      <w:pPr>
        <w:pStyle w:val="BodyText"/>
        <w:ind w:left="369"/>
        <w:spacing w:before="243" w:line="222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·最高人民法院工作报告及司法解释</w:t>
      </w:r>
    </w:p>
    <w:p>
      <w:pPr>
        <w:pStyle w:val="BodyText"/>
        <w:ind w:left="369"/>
        <w:spacing w:before="251" w:line="221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·学术论文：上海交通大学、中国社科院相关研究</w:t>
      </w:r>
    </w:p>
    <w:sectPr>
      <w:pgSz w:w="12240" w:h="15840"/>
      <w:pgMar w:top="1192" w:right="116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2026-03-15T23:57:17</vt:filetime>
  </property>
  <property fmtid="{D5CDD505-2E9C-101B-9397-08002B2CF9AE}" pid="4" name="UsrData">
    <vt:lpwstr>69b6d6db5b4fbf001fccdea9wl</vt:lpwstr>
  </property>
</Properties>
</file>