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1" w:line="222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关键要点</w:t>
      </w:r>
    </w:p>
    <w:p>
      <w:pPr>
        <w:pStyle w:val="BodyText"/>
        <w:ind w:left="509" w:right="112" w:hanging="130"/>
        <w:spacing w:before="219" w:line="281" w:lineRule="auto"/>
        <w:rPr/>
      </w:pPr>
      <w:r>
        <w:rPr>
          <w:spacing w:val="-2"/>
        </w:rPr>
        <w:t>·死刑适用趋势：据有限数据显示，中国死刑立即执行数量呈现长期下降趋势，通常而言，自</w:t>
      </w:r>
      <w:r>
        <w:rPr>
          <w:spacing w:val="18"/>
        </w:rPr>
        <w:t xml:space="preserve"> </w:t>
      </w:r>
      <w:r>
        <w:rPr>
          <w:spacing w:val="4"/>
        </w:rPr>
        <w:t>2007年最高人民法院收回死刑复核程序权以来，执行数量在一定程度上显著减</w:t>
      </w:r>
      <w:r>
        <w:rPr>
          <w:spacing w:val="3"/>
        </w:rPr>
        <w:t>少，国际组</w:t>
      </w:r>
      <w:r>
        <w:rPr/>
        <w:t xml:space="preserve">  </w:t>
      </w:r>
      <w:r>
        <w:rPr>
          <w:spacing w:val="-1"/>
        </w:rPr>
        <w:t>织如大赦国际估计近年每年数千例，但官方数据视为国家机密。</w:t>
      </w:r>
    </w:p>
    <w:p>
      <w:pPr>
        <w:pStyle w:val="BodyText"/>
        <w:ind w:left="509" w:right="136" w:hanging="130"/>
        <w:spacing w:before="284" w:line="286" w:lineRule="auto"/>
        <w:rPr/>
      </w:pPr>
      <w:r>
        <w:rPr>
          <w:spacing w:val="1"/>
        </w:rPr>
        <w:t>·死缓与终身监禁比例：研究表明，死刑缓</w:t>
      </w:r>
      <w:r>
        <w:rPr/>
        <w:t>期执行(简称死缓，指死刑判决附带二年考验期的</w:t>
      </w:r>
      <w:r>
        <w:rPr/>
        <w:t xml:space="preserve"> </w:t>
      </w:r>
      <w:r>
        <w:rPr>
          <w:spacing w:val="7"/>
        </w:rPr>
        <w:t>刑罚阶梯措施)在重罪案件中占比上升，死缓后转</w:t>
      </w:r>
      <w:r>
        <w:rPr>
          <w:spacing w:val="6"/>
        </w:rPr>
        <w:t>为无期徒刑的比例较高，而终身监禁(指</w:t>
      </w:r>
      <w:r>
        <w:rPr/>
        <w:t xml:space="preserve"> </w:t>
      </w:r>
      <w:r>
        <w:rPr>
          <w:spacing w:val="3"/>
        </w:rPr>
        <w:t>特定贪污受贿案件中不得减刑假释的执行措施)作为死刑替代措施，</w:t>
      </w:r>
      <w:r>
        <w:rPr>
          <w:spacing w:val="2"/>
        </w:rPr>
        <w:t>仅限于极少数案件。</w:t>
      </w:r>
    </w:p>
    <w:p>
      <w:pPr>
        <w:pStyle w:val="BodyText"/>
        <w:ind w:left="509" w:right="197" w:hanging="130"/>
        <w:spacing w:before="253" w:line="268" w:lineRule="auto"/>
        <w:rPr/>
      </w:pPr>
      <w:r>
        <w:rPr>
          <w:spacing w:val="-1"/>
        </w:rPr>
        <w:t>·减刑率分析：一般而言，无期徒刑减刑率较高，实际执行期多在13-25年，但限制减刑及终</w:t>
      </w:r>
      <w:r>
        <w:rPr>
          <w:spacing w:val="14"/>
        </w:rPr>
        <w:t xml:space="preserve"> </w:t>
      </w:r>
      <w:r>
        <w:rPr/>
        <w:t>身监禁规定使部分重罪犯减刑可能性降低，在一定程度</w:t>
      </w:r>
      <w:r>
        <w:rPr>
          <w:spacing w:val="-1"/>
        </w:rPr>
        <w:t>上强化了刑罚严厉性。</w:t>
      </w:r>
    </w:p>
    <w:p>
      <w:pPr>
        <w:pStyle w:val="BodyText"/>
        <w:ind w:left="509" w:right="151" w:hanging="130"/>
        <w:spacing w:before="242" w:line="280" w:lineRule="auto"/>
        <w:rPr/>
      </w:pPr>
      <w:r>
        <w:rPr>
          <w:spacing w:val="-2"/>
        </w:rPr>
        <w:t>·废除预测：证据倾向于中国将继续严格控制</w:t>
      </w:r>
      <w:r>
        <w:rPr>
          <w:spacing w:val="-3"/>
        </w:rPr>
        <w:t>死刑，但全面废除可能需较长时期，专家观点显</w:t>
      </w:r>
      <w:r>
        <w:rPr/>
        <w:t xml:space="preserve"> </w:t>
      </w:r>
      <w:r>
        <w:rPr/>
        <w:t>示，一种潜在路径是逐步压缩适用范围，预计在社会稳定与人权保</w:t>
      </w:r>
      <w:r>
        <w:rPr>
          <w:spacing w:val="-1"/>
        </w:rPr>
        <w:t>障平衡前提下逐步推进。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中国刑罚体系概述</w:t>
      </w:r>
    </w:p>
    <w:p>
      <w:pPr>
        <w:pStyle w:val="BodyText"/>
        <w:ind w:right="162"/>
        <w:spacing w:before="234" w:line="320" w:lineRule="auto"/>
        <w:rPr/>
      </w:pPr>
      <w:r>
        <w:rPr>
          <w:spacing w:val="1"/>
        </w:rPr>
        <w:t>中国刑法规定死刑仅适用于罪行极其严重的犯罪分子，同时</w:t>
      </w:r>
      <w:r>
        <w:rPr/>
        <w:t>强调少杀慎杀政策。死刑复核程序由</w:t>
      </w:r>
      <w:r>
        <w:rPr/>
        <w:t xml:space="preserve"> </w:t>
      </w:r>
      <w:r>
        <w:rPr>
          <w:spacing w:val="-1"/>
        </w:rPr>
        <w:t>最高人民法院统一行使，确保统一适用标准。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近年判决趋势</w:t>
      </w:r>
    </w:p>
    <w:p>
      <w:pPr>
        <w:pStyle w:val="BodyText"/>
        <w:ind w:right="174"/>
        <w:spacing w:before="178" w:line="349" w:lineRule="auto"/>
        <w:rPr/>
      </w:pPr>
      <w:r>
        <w:rPr/>
        <w:t>据最高人民法院工作报告，严重暴力犯罪案件审结数量稳定，死刑立即执行趋于严格限制，死缓</w:t>
      </w:r>
      <w:r>
        <w:rPr>
          <w:spacing w:val="14"/>
        </w:rPr>
        <w:t xml:space="preserve"> </w:t>
      </w:r>
      <w:r>
        <w:rPr>
          <w:spacing w:val="-4"/>
        </w:rPr>
        <w:t>作为主要替代形式。</w:t>
      </w:r>
    </w:p>
    <w:p>
      <w:pPr>
        <w:pStyle w:val="BodyText"/>
        <w:ind w:left="4"/>
        <w:spacing w:before="300" w:line="219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减刑与执行分析</w:t>
      </w:r>
    </w:p>
    <w:p>
      <w:pPr>
        <w:pStyle w:val="BodyText"/>
        <w:spacing w:before="227" w:line="213" w:lineRule="auto"/>
        <w:rPr/>
      </w:pPr>
      <w:r>
        <w:rPr/>
        <w:t>无期徒刑及死缓转为无期后，通常可减刑，但特定案件适</w:t>
      </w:r>
      <w:r>
        <w:rPr>
          <w:spacing w:val="-1"/>
        </w:rPr>
        <w:t>用限制减刑或终身监禁。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国际比较与预测</w:t>
      </w:r>
    </w:p>
    <w:p>
      <w:pPr>
        <w:pStyle w:val="BodyText"/>
        <w:spacing w:before="201" w:line="213" w:lineRule="auto"/>
        <w:rPr/>
      </w:pPr>
      <w:r>
        <w:rPr/>
        <w:t>全球多数国家已废除死刑，中国保留但控制严格，未来改革可能进</w:t>
      </w:r>
      <w:r>
        <w:rPr>
          <w:spacing w:val="-1"/>
        </w:rPr>
        <w:t>一步减少适用。</w:t>
      </w:r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155141</wp:posOffset>
            </wp:positionV>
            <wp:extent cx="651505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05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right="44"/>
        <w:spacing w:before="99" w:line="262" w:lineRule="auto"/>
        <w:rPr>
          <w:sz w:val="30"/>
          <w:szCs w:val="30"/>
        </w:rPr>
      </w:pPr>
      <w:r>
        <w:rPr>
          <w:sz w:val="30"/>
          <w:szCs w:val="30"/>
          <w:spacing w:val="1"/>
        </w:rPr>
        <w:t>中国死刑、死缓、终身监禁的数量、比例、减刑率量化</w:t>
      </w:r>
      <w:r>
        <w:rPr>
          <w:sz w:val="30"/>
          <w:szCs w:val="30"/>
        </w:rPr>
        <w:t>分析及死刑废除时间预</w:t>
      </w:r>
      <w:r>
        <w:rPr>
          <w:sz w:val="30"/>
          <w:szCs w:val="30"/>
        </w:rPr>
        <w:t xml:space="preserve"> </w:t>
      </w:r>
      <w:r>
        <w:rPr>
          <w:sz w:val="30"/>
          <w:szCs w:val="30"/>
          <w:spacing w:val="-2"/>
        </w:rPr>
        <w:t>测咨询报告</w:t>
      </w:r>
    </w:p>
    <w:p>
      <w:pPr>
        <w:pStyle w:val="BodyText"/>
        <w:ind w:left="3"/>
        <w:spacing w:before="114" w:line="221" w:lineRule="auto"/>
        <w:rPr/>
      </w:pPr>
      <w:r>
        <w:rPr>
          <w:b/>
          <w:bCs/>
          <w:spacing w:val="-4"/>
        </w:rPr>
        <w:t>前言：研究背景与意义</w:t>
      </w:r>
    </w:p>
    <w:p>
      <w:pPr>
        <w:spacing w:line="221" w:lineRule="auto"/>
        <w:sectPr>
          <w:pgSz w:w="12240" w:h="15840"/>
          <w:pgMar w:top="1126" w:right="1000" w:bottom="0" w:left="970" w:header="0" w:footer="0" w:gutter="0"/>
        </w:sectPr>
        <w:rPr/>
      </w:pPr>
    </w:p>
    <w:p>
      <w:pPr>
        <w:pStyle w:val="BodyText"/>
        <w:ind w:left="3" w:right="17"/>
        <w:spacing w:before="44" w:line="338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据中华人民共和国最高人民法院在近年工作报告中指出，死刑适用坚持“保留死刑、严格控制和慎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8"/>
        </w:rPr>
        <w:t>重适用死刑”的政策，通常而言，这一政策在一</w:t>
      </w:r>
      <w:r>
        <w:rPr>
          <w:sz w:val="22"/>
          <w:szCs w:val="22"/>
          <w:spacing w:val="17"/>
        </w:rPr>
        <w:t>定程度上体现了人道主义考量与社会治安需求的平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衡。大赦国际在其年度报告中强调，全球死刑执行呈现分化趋势，中国作为保留死刑的国家之</w:t>
      </w:r>
    </w:p>
    <w:p>
      <w:pPr>
        <w:pStyle w:val="BodyText"/>
        <w:ind w:left="3"/>
        <w:spacing w:before="23" w:line="351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一，其数据透明度仍有提升空间。世界银行相关法治指数分析显示，</w:t>
      </w:r>
      <w:r>
        <w:rPr>
          <w:sz w:val="22"/>
          <w:szCs w:val="22"/>
          <w:spacing w:val="19"/>
        </w:rPr>
        <w:t>刑罚体系现代化有助于国家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3"/>
        </w:rPr>
        <w:t>治理体系与治理能力现代化。本报告从量化视角分析中国死刑、死缓(死刑缓期执行，</w:t>
      </w:r>
      <w:r>
        <w:rPr>
          <w:sz w:val="22"/>
          <w:szCs w:val="22"/>
          <w:spacing w:val="22"/>
        </w:rPr>
        <w:t>指对应当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1"/>
        </w:rPr>
        <w:t>判处死刑但不是必须立即执行的犯罪分子，判</w:t>
      </w:r>
      <w:r>
        <w:rPr>
          <w:sz w:val="22"/>
          <w:szCs w:val="22"/>
          <w:spacing w:val="20"/>
        </w:rPr>
        <w:t>处死刑同时宣告缓期二年执行的刑罚阶梯制度)、终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5"/>
        </w:rPr>
        <w:t>身监禁(指特定案件中死缓期满减为无期徒刑后不得减刑、假释的执行措施)的数量、比例及减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19"/>
        </w:rPr>
        <w:t>刑率，并对死刑废除时间进行审慎预测，旨在为全面依法治国提供参考。</w:t>
      </w:r>
    </w:p>
    <w:p>
      <w:pPr>
        <w:pStyle w:val="BodyText"/>
        <w:ind w:left="6"/>
        <w:spacing w:before="232" w:line="221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3"/>
        </w:rPr>
        <w:t>一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b/>
          <w:bCs/>
          <w:spacing w:val="13"/>
        </w:rPr>
        <w:t>、中国重刑适用现状诊断</w:t>
      </w:r>
    </w:p>
    <w:p>
      <w:pPr>
        <w:pStyle w:val="BodyText"/>
        <w:ind w:left="3" w:right="145"/>
        <w:spacing w:before="220" w:line="371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中国刑法中，死刑、死缓、无期徒刑构成刑罚阶梯的核心，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7"/>
        </w:rPr>
        <w:t>通常而言，死缓作为死刑替代措施发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14"/>
        </w:rPr>
        <w:t>挥关键作用。</w:t>
      </w:r>
    </w:p>
    <w:p>
      <w:pPr>
        <w:pStyle w:val="BodyText"/>
        <w:ind w:left="173"/>
        <w:spacing w:before="224" w:line="219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(</w:t>
      </w:r>
      <w:r>
        <w:rPr>
          <w:sz w:val="22"/>
          <w:szCs w:val="22"/>
          <w:spacing w:val="-58"/>
        </w:rPr>
        <w:t xml:space="preserve"> </w:t>
      </w:r>
      <w:r>
        <w:rPr>
          <w:sz w:val="22"/>
          <w:szCs w:val="22"/>
          <w:spacing w:val="22"/>
        </w:rPr>
        <w:t>一)死刑立即执行数量趋势</w:t>
      </w:r>
    </w:p>
    <w:p>
      <w:pPr>
        <w:pStyle w:val="BodyText"/>
        <w:ind w:left="3" w:right="2"/>
        <w:spacing w:before="242" w:line="382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据最高人民法院工作报告及大赦国际估计数</w:t>
      </w:r>
      <w:r>
        <w:rPr>
          <w:sz w:val="22"/>
          <w:szCs w:val="22"/>
          <w:spacing w:val="22"/>
        </w:rPr>
        <w:t>据显示，中国死刑执行数量自2007年收回死刑复核程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6"/>
        </w:rPr>
        <w:t>序权后显著下降。</w:t>
      </w:r>
    </w:p>
    <w:p>
      <w:pPr>
        <w:pStyle w:val="BodyText"/>
        <w:ind w:left="3"/>
        <w:spacing w:before="178" w:line="21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1.</w:t>
      </w:r>
      <w:r>
        <w:rPr>
          <w:sz w:val="22"/>
          <w:szCs w:val="22"/>
          <w:spacing w:val="21"/>
        </w:rPr>
        <w:t>中国近年死刑、死缓、无期徒刑判决数量趋势对比表(基于公开报告及估算数据，单位：例/</w:t>
      </w:r>
    </w:p>
    <w:p>
      <w:pPr>
        <w:spacing w:line="189" w:lineRule="exact"/>
        <w:rPr/>
      </w:pPr>
      <w:r/>
    </w:p>
    <w:tbl>
      <w:tblPr>
        <w:tblStyle w:val="TableNormal"/>
        <w:tblW w:w="1012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2"/>
        <w:gridCol w:w="1735"/>
        <w:gridCol w:w="1728"/>
        <w:gridCol w:w="1651"/>
        <w:gridCol w:w="1301"/>
        <w:gridCol w:w="2616"/>
      </w:tblGrid>
      <w:tr>
        <w:trPr>
          <w:trHeight w:val="2140" w:hRule="atLeast"/>
        </w:trPr>
        <w:tc>
          <w:tcPr>
            <w:tcW w:w="109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"/>
              <w:spacing w:line="223" w:lineRule="auto"/>
              <w:rPr/>
            </w:pPr>
            <w:r>
              <w:rPr>
                <w:spacing w:val="-5"/>
              </w:rPr>
              <w:t>年</w:t>
            </w:r>
            <w:r>
              <w:rPr>
                <w:spacing w:val="-44"/>
              </w:rPr>
              <w:t xml:space="preserve"> </w:t>
            </w:r>
            <w:r>
              <w:rPr>
                <w:spacing w:val="-5"/>
              </w:rPr>
              <w:t>)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71" w:line="223" w:lineRule="auto"/>
              <w:rPr/>
            </w:pPr>
            <w:r>
              <w:rPr>
                <w:spacing w:val="-3"/>
              </w:rPr>
              <w:t>年份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71" w:line="222" w:lineRule="auto"/>
              <w:rPr/>
            </w:pPr>
            <w:r>
              <w:rPr>
                <w:spacing w:val="9"/>
              </w:rPr>
              <w:t>2006年前</w:t>
            </w:r>
          </w:p>
        </w:tc>
        <w:tc>
          <w:tcPr>
            <w:tcW w:w="1735" w:type="dxa"/>
            <w:vAlign w:val="top"/>
            <w:tcBorders>
              <w:bottom w:val="single" w:color="000000" w:sz="2" w:space="0"/>
            </w:tcBorders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0" w:right="316" w:hanging="129"/>
              <w:spacing w:before="72" w:line="297" w:lineRule="auto"/>
              <w:rPr/>
            </w:pPr>
            <w:r>
              <w:rPr>
                <w:spacing w:val="-9"/>
              </w:rPr>
              <w:t>死刑立即执行</w:t>
            </w:r>
            <w:r>
              <w:rPr/>
              <w:t xml:space="preserve"> </w:t>
            </w:r>
            <w:r>
              <w:rPr>
                <w:spacing w:val="-4"/>
              </w:rPr>
              <w:t>(估算)</w:t>
            </w:r>
          </w:p>
          <w:p>
            <w:pPr>
              <w:ind w:left="151"/>
              <w:spacing w:before="266" w:line="188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8000+</w:t>
            </w:r>
          </w:p>
        </w:tc>
        <w:tc>
          <w:tcPr>
            <w:tcW w:w="1728" w:type="dxa"/>
            <w:vAlign w:val="top"/>
            <w:tcBorders>
              <w:bottom w:val="single" w:color="000000" w:sz="2" w:space="0"/>
            </w:tcBorders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 w:right="138"/>
              <w:spacing w:before="72" w:line="297" w:lineRule="auto"/>
              <w:rPr/>
            </w:pPr>
            <w:r>
              <w:rPr>
                <w:spacing w:val="10"/>
              </w:rPr>
              <w:t>死缓判决(估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算)</w:t>
            </w:r>
          </w:p>
          <w:p>
            <w:pPr>
              <w:pStyle w:val="TableText"/>
              <w:ind w:left="316"/>
              <w:spacing w:before="255" w:line="223" w:lineRule="auto"/>
              <w:rPr/>
            </w:pPr>
            <w:r>
              <w:rPr>
                <w:spacing w:val="-2"/>
              </w:rPr>
              <w:t>较低</w:t>
            </w:r>
          </w:p>
        </w:tc>
        <w:tc>
          <w:tcPr>
            <w:tcW w:w="1651" w:type="dxa"/>
            <w:vAlign w:val="top"/>
            <w:tcBorders>
              <w:bottom w:val="single" w:color="000000" w:sz="2" w:space="0"/>
            </w:tcBorders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7" w:right="256" w:hanging="119"/>
              <w:spacing w:before="72" w:line="297" w:lineRule="auto"/>
              <w:rPr/>
            </w:pPr>
            <w:r>
              <w:rPr>
                <w:spacing w:val="-11"/>
              </w:rPr>
              <w:t>无期徒刑判决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(估算)</w:t>
            </w:r>
          </w:p>
          <w:p>
            <w:pPr>
              <w:pStyle w:val="TableText"/>
              <w:ind w:left="138"/>
              <w:spacing w:before="255" w:line="223" w:lineRule="auto"/>
              <w:rPr/>
            </w:pPr>
            <w:r>
              <w:rPr>
                <w:spacing w:val="-7"/>
              </w:rPr>
              <w:t>中等</w:t>
            </w:r>
          </w:p>
        </w:tc>
        <w:tc>
          <w:tcPr>
            <w:tcW w:w="1301" w:type="dxa"/>
            <w:vAlign w:val="top"/>
            <w:tcBorders>
              <w:bottom w:val="single" w:color="000000" w:sz="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" w:right="166"/>
              <w:spacing w:before="71" w:line="514" w:lineRule="auto"/>
              <w:rPr/>
            </w:pPr>
            <w:r>
              <w:rPr>
                <w:spacing w:val="-11"/>
              </w:rPr>
              <w:t>趋势描述</w:t>
            </w:r>
            <w:r>
              <w:rPr/>
              <w:t xml:space="preserve"> </w:t>
            </w:r>
            <w:r>
              <w:rPr>
                <w:spacing w:val="-4"/>
              </w:rPr>
              <w:t>高峰期</w:t>
            </w:r>
          </w:p>
        </w:tc>
        <w:tc>
          <w:tcPr>
            <w:tcW w:w="2616" w:type="dxa"/>
            <w:vAlign w:val="top"/>
            <w:tcBorders>
              <w:bottom w:val="single" w:color="000000" w:sz="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71" w:line="221" w:lineRule="auto"/>
              <w:rPr/>
            </w:pPr>
            <w:r>
              <w:rPr>
                <w:spacing w:val="-10"/>
              </w:rPr>
              <w:t>数据来源依据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 w:right="123"/>
              <w:spacing w:before="72" w:line="278" w:lineRule="auto"/>
              <w:rPr/>
            </w:pPr>
            <w:r>
              <w:rPr>
                <w:spacing w:val="-10"/>
              </w:rPr>
              <w:t>大赦国际及对话基金会报</w:t>
            </w:r>
            <w:r>
              <w:rPr>
                <w:spacing w:val="5"/>
              </w:rPr>
              <w:t xml:space="preserve"> </w:t>
            </w:r>
            <w:r>
              <w:rPr/>
              <w:t>告</w:t>
            </w:r>
          </w:p>
        </w:tc>
      </w:tr>
      <w:tr>
        <w:trPr>
          <w:trHeight w:val="862" w:hRule="atLeast"/>
        </w:trPr>
        <w:tc>
          <w:tcPr>
            <w:tcW w:w="10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"/>
              <w:spacing w:before="284" w:line="188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2"/>
              </w:rPr>
              <w:t>2007-</w:t>
            </w:r>
          </w:p>
          <w:p>
            <w:pPr>
              <w:ind w:left="3"/>
              <w:spacing w:before="212" w:line="16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2010</w:t>
            </w:r>
          </w:p>
        </w:tc>
        <w:tc>
          <w:tcPr>
            <w:tcW w:w="1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51"/>
              <w:spacing w:before="284" w:line="188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2"/>
              </w:rPr>
              <w:t>5000-6000</w:t>
            </w:r>
          </w:p>
        </w:tc>
        <w:tc>
          <w:tcPr>
            <w:tcW w:w="172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16"/>
              <w:spacing w:before="272" w:line="227" w:lineRule="auto"/>
              <w:rPr/>
            </w:pPr>
            <w:r>
              <w:rPr>
                <w:spacing w:val="-4"/>
              </w:rPr>
              <w:t>上升</w:t>
            </w:r>
          </w:p>
        </w:tc>
        <w:tc>
          <w:tcPr>
            <w:tcW w:w="165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8"/>
              <w:spacing w:before="272" w:line="227" w:lineRule="auto"/>
              <w:rPr/>
            </w:pPr>
            <w:r>
              <w:rPr>
                <w:spacing w:val="-4"/>
              </w:rPr>
              <w:t>上升</w:t>
            </w:r>
          </w:p>
        </w:tc>
        <w:tc>
          <w:tcPr>
            <w:tcW w:w="13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7"/>
              <w:spacing w:before="273" w:line="224" w:lineRule="auto"/>
              <w:rPr/>
            </w:pPr>
            <w:r>
              <w:rPr>
                <w:spacing w:val="-9"/>
              </w:rPr>
              <w:t>显著下降</w:t>
            </w:r>
          </w:p>
        </w:tc>
        <w:tc>
          <w:tcPr>
            <w:tcW w:w="26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6"/>
              <w:spacing w:before="272" w:line="222" w:lineRule="auto"/>
              <w:rPr/>
            </w:pPr>
            <w:r>
              <w:rPr>
                <w:spacing w:val="-7"/>
              </w:rPr>
              <w:t>最高人民法院政策影响</w:t>
            </w:r>
          </w:p>
        </w:tc>
      </w:tr>
      <w:tr>
        <w:trPr>
          <w:trHeight w:val="963" w:hRule="atLeast"/>
        </w:trPr>
        <w:tc>
          <w:tcPr>
            <w:tcW w:w="10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ind w:left="3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2011-</w:t>
            </w:r>
          </w:p>
          <w:p>
            <w:pPr>
              <w:ind w:left="3"/>
              <w:spacing w:before="199" w:line="16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2015</w:t>
            </w:r>
          </w:p>
        </w:tc>
        <w:tc>
          <w:tcPr>
            <w:tcW w:w="1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151"/>
              <w:spacing w:before="75" w:line="188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1"/>
              </w:rPr>
              <w:t>2000-3000</w:t>
            </w:r>
          </w:p>
        </w:tc>
        <w:tc>
          <w:tcPr>
            <w:tcW w:w="172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/>
              <w:spacing w:before="72" w:line="223" w:lineRule="auto"/>
              <w:rPr/>
            </w:pPr>
            <w:r>
              <w:rPr>
                <w:spacing w:val="-2"/>
              </w:rPr>
              <w:t>较高</w:t>
            </w:r>
          </w:p>
        </w:tc>
        <w:tc>
          <w:tcPr>
            <w:tcW w:w="165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2" w:line="223" w:lineRule="auto"/>
              <w:rPr/>
            </w:pPr>
            <w:r>
              <w:rPr>
                <w:spacing w:val="-2"/>
              </w:rPr>
              <w:t>较高</w:t>
            </w:r>
          </w:p>
        </w:tc>
        <w:tc>
          <w:tcPr>
            <w:tcW w:w="13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7" w:right="164" w:firstLine="39"/>
              <w:spacing w:before="71" w:line="278" w:lineRule="auto"/>
              <w:rPr>
                <w:sz w:val="15"/>
                <w:szCs w:val="15"/>
              </w:rPr>
            </w:pPr>
            <w:r>
              <w:rPr>
                <w:spacing w:val="-11"/>
              </w:rPr>
              <w:t>进一步控</w:t>
            </w:r>
            <w:r>
              <w:rPr>
                <w:spacing w:val="2"/>
              </w:rPr>
              <w:t xml:space="preserve"> </w:t>
            </w:r>
            <w:r>
              <w:rPr>
                <w:sz w:val="15"/>
                <w:szCs w:val="15"/>
              </w:rPr>
              <w:t>制</w:t>
            </w:r>
          </w:p>
        </w:tc>
        <w:tc>
          <w:tcPr>
            <w:tcW w:w="26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71" w:line="222" w:lineRule="auto"/>
              <w:rPr/>
            </w:pPr>
            <w:r>
              <w:rPr>
                <w:spacing w:val="-11"/>
              </w:rPr>
              <w:t>刑法修正案(八)影响</w:t>
            </w:r>
          </w:p>
        </w:tc>
      </w:tr>
      <w:tr>
        <w:trPr>
          <w:trHeight w:val="1080" w:hRule="atLeast"/>
        </w:trPr>
        <w:tc>
          <w:tcPr>
            <w:tcW w:w="10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ind w:left="3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2016-</w:t>
            </w:r>
          </w:p>
          <w:p>
            <w:pPr>
              <w:ind w:left="3"/>
              <w:spacing w:before="220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2020</w:t>
            </w:r>
          </w:p>
        </w:tc>
        <w:tc>
          <w:tcPr>
            <w:tcW w:w="17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ind w:left="151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3"/>
              </w:rPr>
              <w:t>1000-2000</w:t>
            </w:r>
          </w:p>
        </w:tc>
        <w:tc>
          <w:tcPr>
            <w:tcW w:w="172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/>
              <w:spacing w:before="71" w:line="222" w:lineRule="auto"/>
              <w:rPr/>
            </w:pPr>
            <w:r>
              <w:rPr>
                <w:spacing w:val="-4"/>
              </w:rPr>
              <w:t>主导</w:t>
            </w:r>
          </w:p>
        </w:tc>
        <w:tc>
          <w:tcPr>
            <w:tcW w:w="165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71" w:line="222" w:lineRule="auto"/>
              <w:rPr/>
            </w:pPr>
            <w:r>
              <w:rPr>
                <w:spacing w:val="-4"/>
              </w:rPr>
              <w:t>主导</w:t>
            </w:r>
          </w:p>
        </w:tc>
        <w:tc>
          <w:tcPr>
            <w:tcW w:w="130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"/>
              <w:spacing w:before="71" w:line="222" w:lineRule="auto"/>
              <w:rPr/>
            </w:pPr>
            <w:r>
              <w:rPr>
                <w:spacing w:val="-7"/>
              </w:rPr>
              <w:t>严格限制</w:t>
            </w:r>
          </w:p>
        </w:tc>
        <w:tc>
          <w:tcPr>
            <w:tcW w:w="261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72" w:line="222" w:lineRule="auto"/>
              <w:rPr/>
            </w:pPr>
            <w:r>
              <w:rPr>
                <w:spacing w:val="-7"/>
              </w:rPr>
              <w:t>大赦国际年度报告</w:t>
            </w:r>
          </w:p>
        </w:tc>
      </w:tr>
      <w:tr>
        <w:trPr>
          <w:trHeight w:val="574" w:hRule="atLeast"/>
        </w:trPr>
        <w:tc>
          <w:tcPr>
            <w:tcW w:w="1092" w:type="dxa"/>
            <w:vAlign w:val="top"/>
            <w:tcBorders>
              <w:top w:val="single" w:color="000000" w:sz="2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3"/>
              <w:spacing w:before="63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2021-</w:t>
            </w:r>
          </w:p>
        </w:tc>
        <w:tc>
          <w:tcPr>
            <w:tcW w:w="17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1"/>
              <w:spacing w:before="282" w:line="221" w:lineRule="auto"/>
              <w:rPr/>
            </w:pPr>
            <w:r>
              <w:rPr>
                <w:spacing w:val="13"/>
              </w:rPr>
              <w:t>数千(机密)</w:t>
            </w:r>
          </w:p>
        </w:tc>
        <w:tc>
          <w:tcPr>
            <w:tcW w:w="17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6"/>
              <w:spacing w:before="282" w:line="223" w:lineRule="auto"/>
              <w:rPr/>
            </w:pPr>
            <w:r>
              <w:rPr>
                <w:spacing w:val="-6"/>
              </w:rPr>
              <w:t>占比增加</w:t>
            </w:r>
          </w:p>
        </w:tc>
        <w:tc>
          <w:tcPr>
            <w:tcW w:w="16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8"/>
              <w:spacing w:before="282" w:line="223" w:lineRule="auto"/>
              <w:rPr/>
            </w:pPr>
            <w:r>
              <w:rPr>
                <w:spacing w:val="-6"/>
              </w:rPr>
              <w:t>占比增加</w:t>
            </w:r>
          </w:p>
        </w:tc>
        <w:tc>
          <w:tcPr>
            <w:tcW w:w="13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7"/>
              <w:spacing w:before="282" w:line="222" w:lineRule="auto"/>
              <w:rPr/>
            </w:pPr>
            <w:r>
              <w:rPr>
                <w:spacing w:val="-12"/>
              </w:rPr>
              <w:t>平缓下降</w:t>
            </w:r>
          </w:p>
        </w:tc>
        <w:tc>
          <w:tcPr>
            <w:tcW w:w="261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6"/>
              <w:spacing w:before="282" w:line="222" w:lineRule="auto"/>
              <w:rPr/>
            </w:pPr>
            <w:r>
              <w:rPr>
                <w:spacing w:val="-10"/>
              </w:rPr>
              <w:t>最高人民法院工作报告及</w:t>
            </w:r>
          </w:p>
        </w:tc>
      </w:tr>
      <w:tr>
        <w:trPr>
          <w:trHeight w:val="292" w:hRule="atLeast"/>
        </w:trPr>
        <w:tc>
          <w:tcPr>
            <w:tcW w:w="1092" w:type="dxa"/>
            <w:vAlign w:val="top"/>
          </w:tcPr>
          <w:p>
            <w:pPr>
              <w:ind w:left="3"/>
              <w:spacing w:before="156" w:line="17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2024</w:t>
            </w:r>
          </w:p>
        </w:tc>
        <w:tc>
          <w:tcPr>
            <w:tcW w:w="17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1" w:type="dxa"/>
            <w:vAlign w:val="top"/>
          </w:tcPr>
          <w:p>
            <w:pPr>
              <w:pStyle w:val="TableText"/>
              <w:ind w:left="297"/>
              <w:spacing w:before="69" w:line="178" w:lineRule="auto"/>
              <w:rPr/>
            </w:pPr>
            <w:r>
              <w:rPr>
                <w:spacing w:val="-2"/>
              </w:rPr>
              <w:t>趋势</w:t>
            </w:r>
          </w:p>
        </w:tc>
        <w:tc>
          <w:tcPr>
            <w:tcW w:w="2616" w:type="dxa"/>
            <w:vAlign w:val="top"/>
          </w:tcPr>
          <w:p>
            <w:pPr>
              <w:pStyle w:val="TableText"/>
              <w:ind w:left="176"/>
              <w:spacing w:before="69" w:line="178" w:lineRule="auto"/>
              <w:rPr/>
            </w:pPr>
            <w:r>
              <w:rPr>
                <w:spacing w:val="-5"/>
              </w:rPr>
              <w:t>国际估算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293" w:right="1038" w:bottom="0" w:left="96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right="6"/>
        <w:spacing w:before="48" w:line="328" w:lineRule="auto"/>
        <w:rPr/>
      </w:pPr>
      <w:r>
        <w:rPr/>
        <w:t>该表显示，死刑立即执行呈现平滑下降趋势，在一定程度上反映慎杀政策成效，但需注意数据有</w:t>
      </w:r>
      <w:r>
        <w:rPr>
          <w:spacing w:val="13"/>
        </w:rPr>
        <w:t xml:space="preserve"> </w:t>
      </w:r>
      <w:r>
        <w:rPr>
          <w:spacing w:val="-2"/>
        </w:rPr>
        <w:t>限性及潜在局限，如估算偏差。</w:t>
      </w:r>
    </w:p>
    <w:p>
      <w:pPr>
        <w:pStyle w:val="BodyText"/>
        <w:ind w:left="149"/>
        <w:spacing w:before="239" w:line="222" w:lineRule="auto"/>
        <w:rPr/>
      </w:pPr>
      <w:r>
        <w:rPr>
          <w:spacing w:val="11"/>
        </w:rPr>
        <w:t>(二)比例构成分析</w:t>
      </w:r>
    </w:p>
    <w:p>
      <w:pPr>
        <w:pStyle w:val="BodyText"/>
        <w:spacing w:before="248" w:line="213" w:lineRule="auto"/>
        <w:rPr/>
      </w:pPr>
      <w:r>
        <w:rPr>
          <w:spacing w:val="7"/>
        </w:rPr>
        <w:t>据有限数据显示，死缓在死刑案件中占比通常超过50%,终</w:t>
      </w:r>
      <w:r>
        <w:rPr>
          <w:spacing w:val="6"/>
        </w:rPr>
        <w:t>身监禁适用于特定贪污受贿案件。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rFonts w:ascii="SimSun" w:hAnsi="SimSun" w:eastAsia="SimSun" w:cs="SimSun"/>
          <w:spacing w:val="5"/>
        </w:rPr>
        <w:t>1.</w:t>
      </w:r>
      <w:r>
        <w:rPr>
          <w:spacing w:val="5"/>
        </w:rPr>
        <w:t>死刑罪名构成比例饼图描述(基于典型年份估算)</w:t>
      </w:r>
    </w:p>
    <w:p>
      <w:pPr>
        <w:pStyle w:val="BodyText"/>
        <w:ind w:left="369"/>
        <w:spacing w:before="243" w:line="222" w:lineRule="auto"/>
        <w:rPr/>
      </w:pPr>
      <w:r>
        <w:rPr>
          <w:spacing w:val="17"/>
        </w:rPr>
        <w:t>·</w:t>
      </w:r>
      <w:r>
        <w:rPr>
          <w:spacing w:val="-82"/>
        </w:rPr>
        <w:t xml:space="preserve"> </w:t>
      </w:r>
      <w:r>
        <w:rPr>
          <w:spacing w:val="17"/>
        </w:rPr>
        <w:t>暴力犯罪(故意杀人等):约40%</w:t>
      </w:r>
    </w:p>
    <w:p>
      <w:pPr>
        <w:pStyle w:val="BodyText"/>
        <w:ind w:left="369"/>
        <w:spacing w:before="252" w:line="222" w:lineRule="auto"/>
        <w:rPr/>
      </w:pPr>
      <w:r>
        <w:rPr>
          <w:spacing w:val="3"/>
        </w:rPr>
        <w:t>·</w:t>
      </w:r>
      <w:r>
        <w:rPr>
          <w:spacing w:val="-83"/>
        </w:rPr>
        <w:t xml:space="preserve"> </w:t>
      </w:r>
      <w:r>
        <w:rPr>
          <w:spacing w:val="3"/>
        </w:rPr>
        <w:t>毒品犯罪：约30%</w:t>
      </w:r>
    </w:p>
    <w:p>
      <w:pPr>
        <w:pStyle w:val="BodyText"/>
        <w:ind w:left="369"/>
        <w:spacing w:before="251" w:line="222" w:lineRule="auto"/>
        <w:rPr/>
      </w:pPr>
      <w:r>
        <w:rPr>
          <w:spacing w:val="16"/>
        </w:rPr>
        <w:t>·</w:t>
      </w:r>
      <w:r>
        <w:rPr>
          <w:spacing w:val="-69"/>
        </w:rPr>
        <w:t xml:space="preserve"> </w:t>
      </w:r>
      <w:r>
        <w:rPr>
          <w:spacing w:val="16"/>
        </w:rPr>
        <w:t>经济犯罪(贪污受贿):约20%</w:t>
      </w:r>
    </w:p>
    <w:p>
      <w:pPr>
        <w:pStyle w:val="BodyText"/>
        <w:ind w:left="369"/>
        <w:spacing w:before="253" w:line="222" w:lineRule="auto"/>
        <w:rPr/>
      </w:pPr>
      <w:r>
        <w:rPr/>
        <w:t>·</w:t>
      </w:r>
      <w:r>
        <w:rPr>
          <w:spacing w:val="-83"/>
        </w:rPr>
        <w:t xml:space="preserve"> </w:t>
      </w:r>
      <w:r>
        <w:rPr/>
        <w:t>其他：约10%</w:t>
      </w:r>
    </w:p>
    <w:p>
      <w:pPr>
        <w:pStyle w:val="BodyText"/>
        <w:spacing w:before="300" w:line="333" w:lineRule="auto"/>
        <w:rPr/>
      </w:pPr>
      <w:r>
        <w:rPr>
          <w:spacing w:val="1"/>
        </w:rPr>
        <w:t>该比例体现了刑罚阶梯的层级适用，通常而</w:t>
      </w:r>
      <w:r>
        <w:rPr/>
        <w:t>言，暴力犯罪占比最高，但经济犯罪中终身监禁作为</w:t>
      </w:r>
      <w:r>
        <w:rPr/>
        <w:t xml:space="preserve"> </w:t>
      </w:r>
      <w:r>
        <w:rPr>
          <w:spacing w:val="-2"/>
        </w:rPr>
        <w:t>死刑替代措施日益突出。</w:t>
      </w:r>
    </w:p>
    <w:p>
      <w:pPr>
        <w:pStyle w:val="BodyText"/>
        <w:ind w:left="149"/>
        <w:spacing w:before="224" w:line="222" w:lineRule="auto"/>
        <w:rPr/>
      </w:pPr>
      <w:r>
        <w:rPr>
          <w:spacing w:val="16"/>
        </w:rPr>
        <w:t>(三)辩证评估</w:t>
      </w:r>
    </w:p>
    <w:p>
      <w:pPr>
        <w:pStyle w:val="BodyText"/>
        <w:ind w:right="9"/>
        <w:spacing w:before="252" w:line="320" w:lineRule="auto"/>
        <w:rPr/>
      </w:pPr>
      <w:r>
        <w:rPr/>
        <w:t>一方面，下降趋势有助于人权司法保障；另一方面，其潜在局限在于数据不透明可能影响国际合</w:t>
      </w:r>
      <w:r>
        <w:rPr>
          <w:spacing w:val="10"/>
        </w:rPr>
        <w:t xml:space="preserve"> </w:t>
      </w:r>
      <w:r>
        <w:rPr/>
        <w:t>作，面临的挑战包括公众对重罪惩治的期待，适用前</w:t>
      </w:r>
      <w:r>
        <w:rPr>
          <w:spacing w:val="-1"/>
        </w:rPr>
        <w:t>提条件需结合社会稳定。</w:t>
      </w:r>
    </w:p>
    <w:p>
      <w:pPr>
        <w:pStyle w:val="BodyText"/>
        <w:ind w:left="3"/>
        <w:spacing w:before="202" w:line="219" w:lineRule="auto"/>
        <w:outlineLvl w:val="3"/>
        <w:rPr/>
      </w:pPr>
      <w:r>
        <w:rPr>
          <w:b/>
          <w:bCs/>
          <w:spacing w:val="-4"/>
        </w:rPr>
        <w:t>二、减刑率与执行机制量化分析</w:t>
      </w:r>
    </w:p>
    <w:p>
      <w:pPr>
        <w:pStyle w:val="BodyText"/>
        <w:ind w:right="27"/>
        <w:spacing w:before="221" w:line="333" w:lineRule="auto"/>
        <w:rPr/>
      </w:pPr>
      <w:r>
        <w:rPr/>
        <w:t>减刑率是评估刑罚实际效果的关键指标，通常而言，无期徒刑减刑较为常见，</w:t>
      </w:r>
      <w:r>
        <w:rPr>
          <w:spacing w:val="-1"/>
        </w:rPr>
        <w:t>但限制减刑及终身</w:t>
      </w:r>
      <w:r>
        <w:rPr/>
        <w:t xml:space="preserve"> </w:t>
      </w:r>
      <w:r>
        <w:rPr>
          <w:spacing w:val="-3"/>
        </w:rPr>
        <w:t>监禁改变了这一格局。</w:t>
      </w:r>
    </w:p>
    <w:p>
      <w:pPr>
        <w:pStyle w:val="BodyText"/>
        <w:ind w:left="149"/>
        <w:spacing w:before="234" w:line="222" w:lineRule="auto"/>
        <w:rPr/>
      </w:pPr>
      <w:r>
        <w:rPr>
          <w:spacing w:val="12"/>
        </w:rPr>
        <w:t>(一)减刑率比较</w:t>
      </w:r>
    </w:p>
    <w:p>
      <w:pPr>
        <w:pStyle w:val="BodyText"/>
        <w:spacing w:before="241" w:line="213" w:lineRule="auto"/>
        <w:rPr/>
      </w:pPr>
      <w:r>
        <w:rPr>
          <w:spacing w:val="1"/>
        </w:rPr>
        <w:t>据司法部相关规定及最高人民法院司法解释，无期徒刑实际执行期多在13-25</w:t>
      </w:r>
      <w:r>
        <w:rPr/>
        <w:t>年。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rFonts w:ascii="SimSun" w:hAnsi="SimSun" w:eastAsia="SimSun" w:cs="SimSun"/>
          <w:spacing w:val="-4"/>
        </w:rPr>
        <w:t>1.</w:t>
      </w:r>
      <w:r>
        <w:rPr>
          <w:spacing w:val="-4"/>
        </w:rPr>
        <w:t>重刑减刑率对比表</w:t>
      </w:r>
    </w:p>
    <w:p>
      <w:pPr>
        <w:spacing w:line="222" w:lineRule="auto"/>
        <w:sectPr>
          <w:pgSz w:w="12240" w:h="15840"/>
          <w:pgMar w:top="1108" w:right="1159" w:bottom="0" w:left="980" w:header="0" w:footer="0" w:gutter="0"/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67" w:right="158"/>
        <w:spacing w:before="71" w:line="25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普通无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期徒刑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72"/>
        <w:spacing w:before="71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刑罚类型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right="142" w:firstLine="169"/>
        <w:spacing w:before="49" w:line="266" w:lineRule="auto"/>
        <w:rPr>
          <w:sz w:val="22"/>
          <w:szCs w:val="22"/>
        </w:rPr>
      </w:pPr>
      <w:r>
        <w:rPr>
          <w:sz w:val="15"/>
          <w:szCs w:val="15"/>
          <w:spacing w:val="-11"/>
        </w:rPr>
        <w:t>高</w:t>
      </w:r>
      <w:r>
        <w:rPr>
          <w:sz w:val="15"/>
          <w:szCs w:val="15"/>
          <w:spacing w:val="-11"/>
        </w:rPr>
        <w:t xml:space="preserve">  </w:t>
      </w:r>
      <w:r>
        <w:rPr>
          <w:sz w:val="15"/>
          <w:szCs w:val="15"/>
          <w:spacing w:val="-11"/>
        </w:rPr>
        <w:t>(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1"/>
        </w:rPr>
        <w:t>8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1"/>
        </w:rPr>
        <w:t>0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1"/>
        </w:rPr>
        <w:t>%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1"/>
        </w:rPr>
        <w:t>以</w:t>
      </w:r>
      <w:r>
        <w:rPr>
          <w:sz w:val="15"/>
          <w:szCs w:val="15"/>
        </w:rPr>
        <w:t xml:space="preserve"> </w:t>
      </w:r>
      <w:r>
        <w:rPr>
          <w:sz w:val="22"/>
          <w:szCs w:val="22"/>
          <w:spacing w:val="-7"/>
        </w:rPr>
        <w:t>上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7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79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3" w:lineRule="exact"/>
        <w:rPr/>
      </w:pPr>
      <w:r/>
    </w:p>
    <w:tbl>
      <w:tblPr>
        <w:tblStyle w:val="TableNormal"/>
        <w:tblW w:w="6402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37"/>
        <w:gridCol w:w="2652"/>
        <w:gridCol w:w="758"/>
        <w:gridCol w:w="855"/>
      </w:tblGrid>
      <w:tr>
        <w:trPr>
          <w:trHeight w:val="597" w:hRule="atLeast"/>
        </w:trPr>
        <w:tc>
          <w:tcPr>
            <w:tcW w:w="2137" w:type="dxa"/>
            <w:vAlign w:val="top"/>
          </w:tcPr>
          <w:p>
            <w:pPr>
              <w:pStyle w:val="TableText"/>
              <w:spacing w:before="2" w:line="222" w:lineRule="auto"/>
              <w:rPr/>
            </w:pPr>
            <w:r>
              <w:rPr>
                <w:b/>
                <w:bCs/>
                <w:spacing w:val="-9"/>
              </w:rPr>
              <w:t>典型减刑率</w:t>
            </w:r>
          </w:p>
          <w:p>
            <w:pPr>
              <w:pStyle w:val="TableText"/>
              <w:ind w:left="130"/>
              <w:spacing w:before="105" w:line="180" w:lineRule="auto"/>
              <w:rPr/>
            </w:pPr>
            <w:r>
              <w:rPr>
                <w:b/>
                <w:bCs/>
                <w:spacing w:val="-8"/>
              </w:rPr>
              <w:t>(估算)</w:t>
            </w:r>
          </w:p>
        </w:tc>
        <w:tc>
          <w:tcPr>
            <w:tcW w:w="2652" w:type="dxa"/>
            <w:vAlign w:val="top"/>
          </w:tcPr>
          <w:p>
            <w:pPr>
              <w:pStyle w:val="TableText"/>
              <w:ind w:left="1072"/>
              <w:spacing w:line="219" w:lineRule="auto"/>
              <w:rPr/>
            </w:pPr>
            <w:r>
              <w:rPr>
                <w:b/>
                <w:bCs/>
                <w:spacing w:val="-14"/>
              </w:rPr>
              <w:t>实际执行最低期</w:t>
            </w:r>
          </w:p>
          <w:p>
            <w:pPr>
              <w:pStyle w:val="TableText"/>
              <w:ind w:left="1163"/>
              <w:spacing w:before="112" w:line="179" w:lineRule="auto"/>
              <w:rPr/>
            </w:pPr>
            <w:r>
              <w:rPr>
                <w:b/>
                <w:bCs/>
                <w:spacing w:val="-4"/>
              </w:rPr>
              <w:t>(年)</w:t>
            </w:r>
          </w:p>
        </w:tc>
        <w:tc>
          <w:tcPr>
            <w:tcW w:w="758" w:type="dxa"/>
            <w:vAlign w:val="top"/>
          </w:tcPr>
          <w:p>
            <w:pPr>
              <w:pStyle w:val="TableText"/>
              <w:ind w:left="131"/>
              <w:spacing w:line="221" w:lineRule="auto"/>
              <w:rPr/>
            </w:pPr>
            <w:r>
              <w:rPr>
                <w:b/>
                <w:bCs/>
                <w:spacing w:val="-4"/>
              </w:rPr>
              <w:t>减刑</w:t>
            </w:r>
          </w:p>
          <w:p>
            <w:pPr>
              <w:pStyle w:val="TableText"/>
              <w:ind w:left="140"/>
              <w:spacing w:before="109" w:line="179" w:lineRule="auto"/>
              <w:rPr/>
            </w:pPr>
            <w:r>
              <w:rPr>
                <w:b/>
                <w:bCs/>
                <w:spacing w:val="-12"/>
              </w:rPr>
              <w:t>条件</w:t>
            </w:r>
          </w:p>
        </w:tc>
        <w:tc>
          <w:tcPr>
            <w:tcW w:w="855" w:type="dxa"/>
            <w:vAlign w:val="top"/>
          </w:tcPr>
          <w:p>
            <w:pPr>
              <w:pStyle w:val="TableText"/>
              <w:ind w:left="193" w:firstLine="10"/>
              <w:spacing w:line="246" w:lineRule="auto"/>
              <w:rPr/>
            </w:pPr>
            <w:r>
              <w:rPr>
                <w:b/>
                <w:bCs/>
                <w:spacing w:val="-5"/>
              </w:rPr>
              <w:t>潜在局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限性</w:t>
            </w:r>
          </w:p>
        </w:tc>
      </w:tr>
    </w:tbl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悔改表现</w:t>
      </w:r>
      <w:r>
        <w:rPr>
          <w:sz w:val="22"/>
          <w:szCs w:val="22"/>
          <w:spacing w:val="2"/>
        </w:rPr>
        <w:t xml:space="preserve">      </w:t>
      </w:r>
      <w:r>
        <w:rPr>
          <w:sz w:val="22"/>
          <w:szCs w:val="22"/>
          <w:spacing w:val="-8"/>
        </w:rPr>
        <w:t>可能弱化威慑</w:t>
      </w:r>
    </w:p>
    <w:p>
      <w:pPr>
        <w:spacing w:line="222" w:lineRule="auto"/>
        <w:sectPr>
          <w:pgSz w:w="12240" w:h="15840"/>
          <w:pgMar w:top="1067" w:right="1008" w:bottom="0" w:left="912" w:header="0" w:footer="0" w:gutter="0"/>
          <w:cols w:equalWidth="0" w:num="4">
            <w:col w:w="879" w:space="100"/>
            <w:col w:w="1420" w:space="100"/>
            <w:col w:w="720" w:space="0"/>
            <w:col w:w="7102" w:space="0"/>
          </w:cols>
        </w:sectPr>
        <w:rPr>
          <w:sz w:val="22"/>
          <w:szCs w:val="22"/>
        </w:rPr>
      </w:pPr>
    </w:p>
    <w:tbl>
      <w:tblPr>
        <w:tblStyle w:val="TableNormal"/>
        <w:tblW w:w="10083" w:type="dxa"/>
        <w:tblInd w:w="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1"/>
        <w:gridCol w:w="1140"/>
        <w:gridCol w:w="2264"/>
        <w:gridCol w:w="5808"/>
      </w:tblGrid>
      <w:tr>
        <w:trPr>
          <w:trHeight w:val="669" w:hRule="atLeast"/>
        </w:trPr>
        <w:tc>
          <w:tcPr>
            <w:tcW w:w="871" w:type="dxa"/>
            <w:vAlign w:val="top"/>
            <w:tcBorders>
              <w:top w:val="single" w:color="000000" w:sz="4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71" w:line="220" w:lineRule="auto"/>
              <w:rPr/>
            </w:pPr>
            <w:r>
              <w:rPr>
                <w:spacing w:val="-3"/>
              </w:rPr>
              <w:t>死缓转</w:t>
            </w:r>
          </w:p>
        </w:tc>
        <w:tc>
          <w:tcPr>
            <w:tcW w:w="1140" w:type="dxa"/>
            <w:vAlign w:val="top"/>
            <w:tcBorders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72" w:line="221" w:lineRule="auto"/>
              <w:rPr/>
            </w:pPr>
            <w:r>
              <w:rPr>
                <w:spacing w:val="-7"/>
              </w:rPr>
              <w:t>中等</w:t>
            </w:r>
          </w:p>
        </w:tc>
        <w:tc>
          <w:tcPr>
            <w:tcW w:w="8072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2"/>
              <w:spacing w:before="72" w:line="219" w:lineRule="auto"/>
              <w:rPr/>
            </w:pPr>
            <w:r>
              <w:rPr>
                <w:rFonts w:ascii="SimSun" w:hAnsi="SimSun" w:eastAsia="SimSun" w:cs="SimSun"/>
                <w:spacing w:val="-8"/>
              </w:rPr>
              <w:t>25    </w:t>
            </w:r>
            <w:r>
              <w:rPr>
                <w:spacing w:val="-8"/>
              </w:rPr>
              <w:t>重大立功可进</w:t>
            </w:r>
            <w:r>
              <w:rPr>
                <w:spacing w:val="24"/>
              </w:rPr>
              <w:t xml:space="preserve">  </w:t>
            </w:r>
            <w:r>
              <w:rPr>
                <w:spacing w:val="-8"/>
              </w:rPr>
              <w:t>执行期长，改造</w:t>
            </w:r>
          </w:p>
        </w:tc>
      </w:tr>
      <w:tr>
        <w:trPr>
          <w:trHeight w:val="281" w:hRule="atLeast"/>
        </w:trPr>
        <w:tc>
          <w:tcPr>
            <w:tcW w:w="87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"/>
              <w:spacing w:before="74" w:line="165" w:lineRule="auto"/>
              <w:rPr/>
            </w:pPr>
            <w:r>
              <w:rPr>
                <w:spacing w:val="-4"/>
              </w:rPr>
              <w:t>为无期</w:t>
            </w:r>
          </w:p>
        </w:tc>
        <w:tc>
          <w:tcPr>
            <w:tcW w:w="114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75"/>
              <w:spacing w:before="74" w:line="165" w:lineRule="auto"/>
              <w:rPr/>
            </w:pPr>
            <w:r>
              <w:rPr>
                <w:spacing w:val="-10"/>
              </w:rPr>
              <w:t>一</w:t>
            </w:r>
            <w:r>
              <w:rPr>
                <w:spacing w:val="19"/>
              </w:rPr>
              <w:t xml:space="preserve"> </w:t>
            </w:r>
            <w:r>
              <w:rPr>
                <w:spacing w:val="-10"/>
              </w:rPr>
              <w:t>步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减</w:t>
            </w:r>
          </w:p>
        </w:tc>
        <w:tc>
          <w:tcPr>
            <w:tcW w:w="580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8"/>
              <w:spacing w:before="74" w:line="165" w:lineRule="auto"/>
              <w:rPr/>
            </w:pPr>
            <w:r>
              <w:rPr>
                <w:spacing w:val="-6"/>
              </w:rPr>
              <w:t>难</w:t>
            </w:r>
            <w:r>
              <w:rPr>
                <w:spacing w:val="32"/>
              </w:rPr>
              <w:t xml:space="preserve"> </w:t>
            </w:r>
            <w:r>
              <w:rPr>
                <w:spacing w:val="-6"/>
              </w:rPr>
              <w:t>度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增</w:t>
            </w:r>
          </w:p>
        </w:tc>
      </w:tr>
      <w:tr>
        <w:trPr>
          <w:trHeight w:val="953" w:hRule="atLeast"/>
        </w:trPr>
        <w:tc>
          <w:tcPr>
            <w:tcW w:w="87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 w:right="219"/>
              <w:spacing w:before="71" w:line="233" w:lineRule="auto"/>
              <w:rPr/>
            </w:pPr>
            <w:r>
              <w:rPr>
                <w:spacing w:val="-8"/>
              </w:rPr>
              <w:t>限制减</w:t>
            </w:r>
            <w:r>
              <w:rPr/>
              <w:t xml:space="preserve"> </w:t>
            </w:r>
            <w:r>
              <w:rPr/>
              <w:t>刑</w:t>
            </w:r>
          </w:p>
        </w:tc>
        <w:tc>
          <w:tcPr>
            <w:tcW w:w="11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55" w:line="22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低</w:t>
            </w:r>
          </w:p>
        </w:tc>
        <w:tc>
          <w:tcPr>
            <w:tcW w:w="22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2"/>
              <w:spacing w:before="72" w:line="220" w:lineRule="auto"/>
              <w:rPr/>
            </w:pPr>
            <w:r>
              <w:rPr>
                <w:rFonts w:ascii="SimSun" w:hAnsi="SimSun" w:eastAsia="SimSun" w:cs="SimSun"/>
                <w:spacing w:val="-3"/>
              </w:rPr>
              <w:t>25+</w:t>
            </w:r>
            <w:r>
              <w:rPr>
                <w:rFonts w:ascii="SimSun" w:hAnsi="SimSun" w:eastAsia="SimSun" w:cs="SimSun"/>
                <w:spacing w:val="51"/>
              </w:rPr>
              <w:t xml:space="preserve">  </w:t>
            </w:r>
            <w:r>
              <w:rPr>
                <w:spacing w:val="-3"/>
              </w:rPr>
              <w:t>严格限制</w:t>
            </w:r>
          </w:p>
        </w:tc>
        <w:tc>
          <w:tcPr>
            <w:tcW w:w="58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8"/>
              <w:spacing w:before="71" w:line="221" w:lineRule="auto"/>
              <w:rPr/>
            </w:pPr>
            <w:r>
              <w:rPr>
                <w:spacing w:val="-8"/>
              </w:rPr>
              <w:t>适用范围有限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89" w:lineRule="exact"/>
        <w:rPr/>
      </w:pPr>
      <w:r/>
    </w:p>
    <w:p>
      <w:pPr>
        <w:spacing w:line="89" w:lineRule="exact"/>
        <w:sectPr>
          <w:type w:val="continuous"/>
          <w:pgSz w:w="12240" w:h="15840"/>
          <w:pgMar w:top="1067" w:right="1008" w:bottom="0" w:left="912" w:header="0" w:footer="0" w:gutter="0"/>
          <w:cols w:equalWidth="0" w:num="1">
            <w:col w:w="10320" w:space="0"/>
          </w:cols>
        </w:sectPr>
        <w:rPr/>
      </w:pPr>
    </w:p>
    <w:p>
      <w:pPr>
        <w:pStyle w:val="BodyText"/>
        <w:ind w:left="67" w:right="327"/>
        <w:spacing w:before="44" w:line="312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终身监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3" w:line="221" w:lineRule="auto"/>
        <w:rPr>
          <w:sz w:val="22"/>
          <w:szCs w:val="22"/>
        </w:rPr>
      </w:pPr>
      <w:r>
        <w:rPr>
          <w:sz w:val="22"/>
          <w:szCs w:val="22"/>
        </w:rPr>
        <w:t>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13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终</w:t>
      </w:r>
      <w:r>
        <w:rPr>
          <w:sz w:val="22"/>
          <w:szCs w:val="22"/>
          <w:spacing w:val="29"/>
        </w:rPr>
        <w:t xml:space="preserve">   </w:t>
      </w:r>
      <w:r>
        <w:rPr>
          <w:sz w:val="22"/>
          <w:szCs w:val="22"/>
          <w:spacing w:val="-8"/>
        </w:rPr>
        <w:t>不得减刑假释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8"/>
        </w:rPr>
        <w:t>人道主义争议，</w:t>
      </w:r>
    </w:p>
    <w:p>
      <w:pPr>
        <w:pStyle w:val="BodyText"/>
        <w:spacing w:before="115" w:line="221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身</w:t>
      </w:r>
      <w:r>
        <w:rPr>
          <w:sz w:val="22"/>
          <w:szCs w:val="22"/>
          <w:spacing w:val="5"/>
        </w:rPr>
        <w:t xml:space="preserve">                 </w:t>
      </w:r>
      <w:r>
        <w:rPr>
          <w:sz w:val="22"/>
          <w:szCs w:val="22"/>
          <w:spacing w:val="-8"/>
        </w:rPr>
        <w:t>狱政压力</w:t>
      </w:r>
    </w:p>
    <w:p>
      <w:pPr>
        <w:spacing w:line="221" w:lineRule="auto"/>
        <w:sectPr>
          <w:type w:val="continuous"/>
          <w:pgSz w:w="12240" w:h="15840"/>
          <w:pgMar w:top="1067" w:right="1008" w:bottom="0" w:left="912" w:header="0" w:footer="0" w:gutter="0"/>
          <w:cols w:equalWidth="0" w:num="3">
            <w:col w:w="1048" w:space="100"/>
            <w:col w:w="1330" w:space="100"/>
            <w:col w:w="7742" w:space="0"/>
          </w:cols>
        </w:sectPr>
        <w:rPr>
          <w:sz w:val="22"/>
          <w:szCs w:val="22"/>
        </w:rPr>
      </w:pP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67" w:right="154"/>
        <w:spacing w:before="72" w:line="366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该表显示，终身监禁减刑率为零，在一定程度上强化了对特定犯罪的惩治，但需考虑其面临的挑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4"/>
        </w:rPr>
        <w:t>战，如老年犯人处遇问题。</w:t>
      </w:r>
    </w:p>
    <w:p>
      <w:pPr>
        <w:pStyle w:val="BodyText"/>
        <w:ind w:left="237"/>
        <w:spacing w:before="236" w:line="221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(二)死缓犯后续处理路径流程图描述</w:t>
      </w:r>
    </w:p>
    <w:p>
      <w:pPr>
        <w:pStyle w:val="BodyText"/>
        <w:ind w:left="746" w:hanging="319"/>
        <w:spacing w:before="249" w:line="326" w:lineRule="auto"/>
        <w:rPr>
          <w:sz w:val="22"/>
          <w:szCs w:val="22"/>
        </w:rPr>
      </w:pPr>
      <w:r>
        <w:rPr>
          <w:rFonts w:ascii="SimSun" w:hAnsi="SimSun" w:eastAsia="SimSun" w:cs="SimSun"/>
          <w:sz w:val="25"/>
          <w:szCs w:val="25"/>
          <w:spacing w:val="4"/>
        </w:rPr>
        <w:t>1.</w:t>
      </w:r>
      <w:r>
        <w:rPr>
          <w:rFonts w:ascii="SimSun" w:hAnsi="SimSun" w:eastAsia="SimSun" w:cs="SimSun"/>
          <w:sz w:val="25"/>
          <w:szCs w:val="25"/>
          <w:spacing w:val="-32"/>
        </w:rPr>
        <w:t xml:space="preserve"> </w:t>
      </w:r>
      <w:r>
        <w:rPr>
          <w:sz w:val="25"/>
          <w:szCs w:val="25"/>
          <w:spacing w:val="4"/>
        </w:rPr>
        <w:t>判处死缓→2.二年考验期(考察表现)→3.无故意犯罪：减为无期徒刑(可能限制减刑或</w:t>
      </w:r>
      <w:r>
        <w:rPr>
          <w:sz w:val="25"/>
          <w:szCs w:val="25"/>
        </w:rPr>
        <w:t xml:space="preserve"> </w:t>
      </w:r>
      <w:r>
        <w:rPr>
          <w:sz w:val="22"/>
          <w:szCs w:val="22"/>
          <w:spacing w:val="19"/>
        </w:rPr>
        <w:t>终身监禁)</w:t>
      </w:r>
      <w:r>
        <w:rPr>
          <w:sz w:val="22"/>
          <w:szCs w:val="22"/>
          <w:spacing w:val="-68"/>
        </w:rPr>
        <w:t xml:space="preserve"> </w:t>
      </w:r>
      <w:r>
        <w:rPr>
          <w:sz w:val="22"/>
          <w:szCs w:val="22"/>
          <w:spacing w:val="19"/>
        </w:rPr>
        <w:t>→</w:t>
      </w:r>
      <w:r>
        <w:rPr>
          <w:sz w:val="22"/>
          <w:szCs w:val="22"/>
          <w:spacing w:val="-79"/>
        </w:rPr>
        <w:t xml:space="preserve"> </w:t>
      </w:r>
      <w:r>
        <w:rPr>
          <w:sz w:val="22"/>
          <w:szCs w:val="22"/>
          <w:spacing w:val="19"/>
        </w:rPr>
        <w:t>4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19"/>
        </w:rPr>
        <w:t>.有重大立功：减为有期徒刑</w:t>
      </w:r>
      <w:r>
        <w:rPr>
          <w:sz w:val="22"/>
          <w:szCs w:val="22"/>
          <w:spacing w:val="-68"/>
        </w:rPr>
        <w:t xml:space="preserve"> </w:t>
      </w:r>
      <w:r>
        <w:rPr>
          <w:sz w:val="22"/>
          <w:szCs w:val="22"/>
          <w:spacing w:val="19"/>
        </w:rPr>
        <w:t>→</w:t>
      </w:r>
      <w:r>
        <w:rPr>
          <w:sz w:val="22"/>
          <w:szCs w:val="22"/>
          <w:spacing w:val="-79"/>
        </w:rPr>
        <w:t xml:space="preserve"> </w:t>
      </w:r>
      <w:r>
        <w:rPr>
          <w:sz w:val="22"/>
          <w:szCs w:val="22"/>
          <w:spacing w:val="19"/>
        </w:rPr>
        <w:t>5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19"/>
        </w:rPr>
        <w:t>.故意犯罪：</w:t>
      </w:r>
      <w:r>
        <w:rPr>
          <w:sz w:val="22"/>
          <w:szCs w:val="22"/>
          <w:spacing w:val="18"/>
        </w:rPr>
        <w:t>执行死刑。</w:t>
      </w:r>
    </w:p>
    <w:p>
      <w:pPr>
        <w:pStyle w:val="BodyText"/>
        <w:ind w:left="67" w:right="168"/>
        <w:spacing w:before="189" w:line="380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该流程体现了刑罚阶梯的灵活性，通常而言，有助于个案公正，但潜在局限在于考验期考察标准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13"/>
        </w:rPr>
        <w:t>的主观性。</w:t>
      </w:r>
    </w:p>
    <w:p>
      <w:pPr>
        <w:pStyle w:val="BodyText"/>
        <w:ind w:left="237"/>
        <w:spacing w:before="193" w:line="222" w:lineRule="auto"/>
        <w:rPr>
          <w:sz w:val="22"/>
          <w:szCs w:val="22"/>
        </w:rPr>
      </w:pPr>
      <w:r>
        <w:rPr>
          <w:sz w:val="22"/>
          <w:szCs w:val="22"/>
          <w:spacing w:val="30"/>
        </w:rPr>
        <w:t>(三)辩证评估</w:t>
      </w:r>
    </w:p>
    <w:p>
      <w:pPr>
        <w:pStyle w:val="BodyText"/>
        <w:ind w:left="67" w:right="173"/>
        <w:spacing w:before="257" w:line="379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一方面，较高减刑率体现教育改造方针；另一方面，其挑战在于可能影响一般预防效果</w:t>
      </w:r>
      <w:r>
        <w:rPr>
          <w:sz w:val="22"/>
          <w:szCs w:val="22"/>
          <w:spacing w:val="19"/>
        </w:rPr>
        <w:t>，适用前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6"/>
        </w:rPr>
        <w:t>提需严格把握悔改标准。</w:t>
      </w:r>
    </w:p>
    <w:p>
      <w:pPr>
        <w:pStyle w:val="BodyText"/>
        <w:ind w:left="71"/>
        <w:spacing w:before="182" w:line="222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2"/>
        </w:rPr>
        <w:t>三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b/>
          <w:bCs/>
          <w:spacing w:val="12"/>
        </w:rPr>
        <w:t>、国际比较与废除预测</w:t>
      </w:r>
    </w:p>
    <w:p>
      <w:pPr>
        <w:pStyle w:val="BodyText"/>
        <w:ind w:left="67"/>
        <w:spacing w:before="219" w:line="213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据大赦国际2024-2025报告，全球执行死刑国家减少至15个左右，废除国家超过140个。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67"/>
        <w:spacing w:before="72" w:line="187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1.</w:t>
      </w:r>
      <w:r>
        <w:rPr>
          <w:sz w:val="22"/>
          <w:szCs w:val="22"/>
          <w:spacing w:val="16"/>
        </w:rPr>
        <w:t>中外死刑存废国家对比表</w:t>
      </w:r>
    </w:p>
    <w:p>
      <w:pPr>
        <w:spacing w:line="187" w:lineRule="auto"/>
        <w:sectPr>
          <w:type w:val="continuous"/>
          <w:pgSz w:w="12240" w:h="15840"/>
          <w:pgMar w:top="1067" w:right="1008" w:bottom="0" w:left="912" w:header="0" w:footer="0" w:gutter="0"/>
          <w:cols w:equalWidth="0" w:num="1">
            <w:col w:w="10320" w:space="0"/>
          </w:cols>
        </w:sectPr>
        <w:rPr>
          <w:sz w:val="22"/>
          <w:szCs w:val="22"/>
        </w:rPr>
      </w:pPr>
    </w:p>
    <w:p>
      <w:pPr>
        <w:pStyle w:val="BodyText"/>
        <w:ind w:left="6911"/>
        <w:spacing w:before="45" w:line="23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3"/>
        </w:rPr>
        <w:t>废除时间/</w:t>
      </w:r>
      <w:r>
        <w:rPr>
          <w:sz w:val="22"/>
          <w:szCs w:val="22"/>
          <w:spacing w:val="45"/>
        </w:rPr>
        <w:t xml:space="preserve">  </w:t>
      </w:r>
      <w:r>
        <w:rPr>
          <w:sz w:val="22"/>
          <w:szCs w:val="22"/>
          <w:b/>
          <w:bCs/>
          <w:spacing w:val="-13"/>
        </w:rPr>
        <w:t>主要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b/>
          <w:bCs/>
          <w:spacing w:val="-13"/>
        </w:rPr>
        <w:t>中国</w:t>
      </w:r>
    </w:p>
    <w:p>
      <w:pPr>
        <w:pStyle w:val="BodyText"/>
        <w:ind w:left="1041"/>
        <w:spacing w:before="75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类别</w:t>
      </w:r>
      <w:r>
        <w:rPr>
          <w:sz w:val="22"/>
          <w:szCs w:val="22"/>
        </w:rPr>
        <w:t xml:space="preserve">                        </w:t>
      </w:r>
      <w:r>
        <w:rPr>
          <w:sz w:val="22"/>
          <w:szCs w:val="22"/>
          <w:b/>
          <w:bCs/>
          <w:spacing w:val="-6"/>
        </w:rPr>
        <w:t>国家示例</w:t>
      </w:r>
      <w:r>
        <w:rPr>
          <w:sz w:val="22"/>
          <w:szCs w:val="22"/>
          <w:spacing w:val="4"/>
        </w:rPr>
        <w:t xml:space="preserve">                 </w:t>
      </w:r>
      <w:r>
        <w:rPr>
          <w:sz w:val="22"/>
          <w:szCs w:val="22"/>
          <w:b/>
          <w:bCs/>
          <w:spacing w:val="-6"/>
        </w:rPr>
        <w:t>现状</w:t>
      </w:r>
      <w:r>
        <w:rPr>
          <w:sz w:val="22"/>
          <w:szCs w:val="22"/>
          <w:spacing w:val="4"/>
        </w:rPr>
        <w:t xml:space="preserve">       </w:t>
      </w:r>
      <w:r>
        <w:rPr>
          <w:sz w:val="22"/>
          <w:szCs w:val="22"/>
          <w:b/>
          <w:bCs/>
          <w:spacing w:val="-6"/>
        </w:rPr>
        <w:t>理由</w:t>
      </w:r>
      <w:r>
        <w:rPr>
          <w:sz w:val="22"/>
          <w:szCs w:val="22"/>
          <w:spacing w:val="-6"/>
        </w:rPr>
        <w:t xml:space="preserve">    </w:t>
      </w:r>
      <w:r>
        <w:rPr>
          <w:sz w:val="22"/>
          <w:szCs w:val="22"/>
          <w:b/>
          <w:bCs/>
          <w:spacing w:val="-6"/>
        </w:rPr>
        <w:t>比较</w:t>
      </w:r>
    </w:p>
    <w:p>
      <w:pPr>
        <w:pStyle w:val="BodyText"/>
        <w:ind w:left="8"/>
        <w:spacing w:before="297" w:line="300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1"/>
        </w:rPr>
        <w:t>完全废</w:t>
      </w:r>
      <w:r>
        <w:rPr>
          <w:sz w:val="22"/>
          <w:szCs w:val="22"/>
          <w:spacing w:val="16"/>
          <w:position w:val="1"/>
        </w:rPr>
        <w:t xml:space="preserve">   </w:t>
      </w:r>
      <w:r>
        <w:rPr>
          <w:sz w:val="22"/>
          <w:szCs w:val="22"/>
          <w:spacing w:val="-3"/>
          <w:position w:val="1"/>
        </w:rPr>
        <w:t>法国、德国、</w:t>
      </w:r>
      <w:r>
        <w:rPr>
          <w:sz w:val="22"/>
          <w:szCs w:val="22"/>
          <w:spacing w:val="-3"/>
          <w:position w:val="1"/>
        </w:rPr>
        <w:t xml:space="preserve">   </w:t>
      </w:r>
      <w:r>
        <w:rPr>
          <w:rFonts w:ascii="Arial" w:hAnsi="Arial" w:eastAsia="Arial" w:cs="Arial"/>
          <w:sz w:val="22"/>
          <w:szCs w:val="22"/>
          <w:spacing w:val="-3"/>
          <w:position w:val="1"/>
        </w:rPr>
        <w:t>1980s-  </w:t>
      </w:r>
      <w:r>
        <w:rPr>
          <w:rFonts w:ascii="Arial" w:hAnsi="Arial" w:eastAsia="Arial" w:cs="Arial"/>
          <w:sz w:val="22"/>
          <w:szCs w:val="22"/>
          <w:spacing w:val="-4"/>
          <w:position w:val="1"/>
        </w:rPr>
        <w:t xml:space="preserve">           </w:t>
      </w:r>
      <w:r>
        <w:rPr>
          <w:sz w:val="22"/>
          <w:szCs w:val="22"/>
          <w:spacing w:val="-4"/>
          <w:position w:val="1"/>
        </w:rPr>
        <w:t>人权保障</w:t>
      </w:r>
      <w:r>
        <w:rPr>
          <w:sz w:val="22"/>
          <w:szCs w:val="22"/>
          <w:position w:val="1"/>
        </w:rPr>
        <w:t xml:space="preserve">    </w:t>
      </w:r>
      <w:r>
        <w:rPr>
          <w:sz w:val="22"/>
          <w:szCs w:val="22"/>
          <w:spacing w:val="-4"/>
          <w:position w:val="1"/>
        </w:rPr>
        <w:t>保留但控制严</w:t>
      </w:r>
    </w:p>
    <w:p>
      <w:pPr>
        <w:pStyle w:val="BodyText"/>
        <w:ind w:left="8"/>
        <w:spacing w:before="69" w:line="286" w:lineRule="auto"/>
        <w:rPr>
          <w:sz w:val="20"/>
          <w:szCs w:val="20"/>
        </w:rPr>
      </w:pPr>
      <w:r>
        <w:rPr>
          <w:sz w:val="17"/>
          <w:szCs w:val="17"/>
          <w:u w:val="single" w:color="auto"/>
          <w:spacing w:val="-3"/>
        </w:rPr>
        <w:t>除</w:t>
      </w:r>
      <w:r>
        <w:rPr>
          <w:sz w:val="17"/>
          <w:szCs w:val="17"/>
          <w:u w:val="single" w:color="auto"/>
          <w:spacing w:val="3"/>
        </w:rPr>
        <w:t xml:space="preserve">        </w:t>
      </w:r>
      <w:r>
        <w:rPr>
          <w:sz w:val="22"/>
          <w:szCs w:val="22"/>
          <w:u w:val="single" w:color="auto"/>
          <w:spacing w:val="-3"/>
        </w:rPr>
        <w:t>加</w:t>
      </w:r>
      <w:r>
        <w:rPr>
          <w:sz w:val="22"/>
          <w:szCs w:val="22"/>
          <w:u w:val="single" w:color="auto"/>
          <w:spacing w:val="-3"/>
        </w:rPr>
        <w:t xml:space="preserve"> </w:t>
      </w:r>
      <w:r>
        <w:rPr>
          <w:sz w:val="22"/>
          <w:szCs w:val="22"/>
          <w:u w:val="single" w:color="auto"/>
          <w:spacing w:val="-3"/>
        </w:rPr>
        <w:t>拿</w:t>
      </w:r>
      <w:r>
        <w:rPr>
          <w:sz w:val="22"/>
          <w:szCs w:val="22"/>
          <w:u w:val="single" w:color="auto"/>
          <w:spacing w:val="-10"/>
        </w:rPr>
        <w:t xml:space="preserve"> </w:t>
      </w:r>
      <w:r>
        <w:rPr>
          <w:sz w:val="22"/>
          <w:szCs w:val="22"/>
          <w:u w:val="single" w:color="auto"/>
          <w:spacing w:val="-3"/>
        </w:rPr>
        <w:t>大</w:t>
      </w:r>
      <w:r>
        <w:rPr>
          <w:sz w:val="22"/>
          <w:szCs w:val="22"/>
          <w:u w:val="single" w:color="auto"/>
          <w:spacing w:val="5"/>
        </w:rPr>
        <w:t xml:space="preserve">         </w:t>
      </w:r>
      <w:r>
        <w:rPr>
          <w:rFonts w:ascii="Arial" w:hAnsi="Arial" w:eastAsia="Arial" w:cs="Arial"/>
          <w:sz w:val="22"/>
          <w:szCs w:val="22"/>
          <w:u w:val="single" w:color="auto"/>
          <w:spacing w:val="-3"/>
        </w:rPr>
        <w:t>2000s                                  </w:t>
      </w:r>
      <w:r>
        <w:rPr>
          <w:sz w:val="20"/>
          <w:szCs w:val="20"/>
          <w:u w:val="single" w:color="auto"/>
          <w:spacing w:val="-3"/>
        </w:rPr>
        <w:t>格</w:t>
      </w:r>
      <w:r>
        <w:rPr>
          <w:sz w:val="20"/>
          <w:szCs w:val="20"/>
          <w:u w:val="single" w:color="auto"/>
          <w:spacing w:val="-3"/>
        </w:rPr>
        <w:t xml:space="preserve">                                               </w:t>
      </w:r>
    </w:p>
    <w:p>
      <w:pPr>
        <w:spacing w:before="12"/>
        <w:rPr/>
      </w:pPr>
      <w:r/>
    </w:p>
    <w:p>
      <w:pPr>
        <w:sectPr>
          <w:pgSz w:w="12240" w:h="15840"/>
          <w:pgMar w:top="1069" w:right="1015" w:bottom="0" w:left="961" w:header="0" w:footer="0" w:gutter="0"/>
          <w:cols w:equalWidth="0" w:num="1">
            <w:col w:w="10264" w:space="0"/>
          </w:cols>
        </w:sectPr>
        <w:rPr/>
      </w:pPr>
    </w:p>
    <w:p>
      <w:pPr>
        <w:pStyle w:val="BodyText"/>
        <w:ind w:left="8" w:right="279"/>
        <w:spacing w:before="50" w:line="284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实践中</w:t>
      </w:r>
      <w:r>
        <w:rPr>
          <w:sz w:val="22"/>
          <w:szCs w:val="22"/>
          <w:spacing w:val="10"/>
        </w:rPr>
        <w:t xml:space="preserve">   </w:t>
      </w:r>
      <w:r>
        <w:rPr>
          <w:sz w:val="22"/>
          <w:szCs w:val="22"/>
          <w:spacing w:val="-8"/>
        </w:rPr>
        <w:t>俄罗斯、韩国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3"/>
        </w:rPr>
        <w:t>废除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9"/>
        <w:spacing w:before="54" w:line="282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10年以上未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执行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49"/>
        <w:spacing w:before="54" w:line="282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民意与国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4"/>
        </w:rPr>
        <w:t>际压力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617"/>
        <w:spacing w:before="44" w:line="286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数据机密，执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行持续</w:t>
      </w:r>
    </w:p>
    <w:p>
      <w:pPr>
        <w:spacing w:line="286" w:lineRule="auto"/>
        <w:sectPr>
          <w:type w:val="continuous"/>
          <w:pgSz w:w="12240" w:h="15840"/>
          <w:pgMar w:top="1069" w:right="1015" w:bottom="0" w:left="961" w:header="0" w:footer="0" w:gutter="0"/>
          <w:cols w:equalWidth="0" w:num="4">
            <w:col w:w="2559" w:space="100"/>
            <w:col w:w="1351" w:space="100"/>
            <w:col w:w="1180" w:space="100"/>
            <w:col w:w="4875" w:space="0"/>
          </w:cols>
        </w:sectPr>
        <w:rPr>
          <w:sz w:val="22"/>
          <w:szCs w:val="22"/>
        </w:rPr>
      </w:pPr>
    </w:p>
    <w:tbl>
      <w:tblPr>
        <w:tblStyle w:val="TableNormal"/>
        <w:tblW w:w="1010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2"/>
        <w:gridCol w:w="1546"/>
        <w:gridCol w:w="1245"/>
        <w:gridCol w:w="1546"/>
        <w:gridCol w:w="4969"/>
      </w:tblGrid>
      <w:tr>
        <w:trPr>
          <w:trHeight w:val="575" w:hRule="atLeast"/>
        </w:trPr>
        <w:tc>
          <w:tcPr>
            <w:tcW w:w="80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291" w:line="219" w:lineRule="auto"/>
              <w:rPr/>
            </w:pPr>
            <w:r>
              <w:rPr>
                <w:spacing w:val="-2"/>
              </w:rPr>
              <w:t>保留执</w:t>
            </w:r>
          </w:p>
        </w:tc>
        <w:tc>
          <w:tcPr>
            <w:tcW w:w="15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6"/>
              <w:spacing w:before="290" w:line="222" w:lineRule="auto"/>
              <w:rPr/>
            </w:pPr>
            <w:r>
              <w:rPr>
                <w:spacing w:val="-13"/>
              </w:rPr>
              <w:t>伊朗、沙特、</w:t>
            </w:r>
          </w:p>
        </w:tc>
        <w:tc>
          <w:tcPr>
            <w:tcW w:w="12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0"/>
              <w:spacing w:before="294" w:line="223" w:lineRule="auto"/>
              <w:rPr/>
            </w:pPr>
            <w:r>
              <w:rPr>
                <w:spacing w:val="-4"/>
              </w:rPr>
              <w:t>活跃</w:t>
            </w:r>
          </w:p>
        </w:tc>
        <w:tc>
          <w:tcPr>
            <w:tcW w:w="15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5"/>
              <w:spacing w:before="292" w:line="222" w:lineRule="auto"/>
              <w:rPr/>
            </w:pPr>
            <w:r>
              <w:rPr>
                <w:spacing w:val="-8"/>
              </w:rPr>
              <w:t>治安需求</w:t>
            </w:r>
          </w:p>
        </w:tc>
        <w:tc>
          <w:tcPr>
            <w:tcW w:w="49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49"/>
              <w:spacing w:before="282" w:line="213" w:lineRule="auto"/>
              <w:rPr/>
            </w:pPr>
            <w:r>
              <w:rPr>
                <w:spacing w:val="-8"/>
              </w:rPr>
              <w:t>强调慎杀，下</w:t>
            </w:r>
          </w:p>
        </w:tc>
      </w:tr>
      <w:tr>
        <w:trPr>
          <w:trHeight w:val="302" w:hRule="atLeast"/>
        </w:trPr>
        <w:tc>
          <w:tcPr>
            <w:tcW w:w="80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"/>
              <w:spacing w:before="77" w:line="180" w:lineRule="auto"/>
              <w:rPr/>
            </w:pPr>
            <w:r>
              <w:rPr>
                <w:u w:val="single" w:color="auto"/>
              </w:rPr>
              <w:t>行</w:t>
            </w:r>
          </w:p>
        </w:tc>
        <w:tc>
          <w:tcPr>
            <w:tcW w:w="15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8"/>
              <w:spacing w:before="88" w:line="171" w:lineRule="auto"/>
              <w:rPr/>
            </w:pPr>
            <w:r>
              <w:rPr>
                <w:spacing w:val="-13"/>
              </w:rPr>
              <w:t>中</w:t>
            </w:r>
            <w:r>
              <w:rPr>
                <w:spacing w:val="26"/>
              </w:rPr>
              <w:t xml:space="preserve"> </w:t>
            </w:r>
            <w:r>
              <w:rPr>
                <w:spacing w:val="-13"/>
              </w:rPr>
              <w:t>国</w:t>
            </w:r>
          </w:p>
        </w:tc>
        <w:tc>
          <w:tcPr>
            <w:tcW w:w="124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6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6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0"/>
              <w:spacing w:before="88" w:line="171" w:lineRule="auto"/>
              <w:rPr/>
            </w:pPr>
            <w:r>
              <w:rPr>
                <w:spacing w:val="-9"/>
              </w:rPr>
              <w:t>降</w:t>
            </w:r>
            <w:r>
              <w:rPr>
                <w:spacing w:val="29"/>
              </w:rPr>
              <w:t xml:space="preserve"> </w:t>
            </w:r>
            <w:r>
              <w:rPr>
                <w:spacing w:val="-9"/>
              </w:rPr>
              <w:t>趋</w:t>
            </w:r>
            <w:r>
              <w:rPr>
                <w:spacing w:val="29"/>
              </w:rPr>
              <w:t xml:space="preserve"> </w:t>
            </w:r>
            <w:r>
              <w:rPr>
                <w:spacing w:val="-9"/>
              </w:rPr>
              <w:t>势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1" w:line="22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部分废</w:t>
      </w:r>
      <w:r>
        <w:rPr>
          <w:sz w:val="22"/>
          <w:szCs w:val="22"/>
          <w:spacing w:val="2"/>
        </w:rPr>
        <w:t xml:space="preserve">   </w:t>
      </w:r>
      <w:r>
        <w:rPr>
          <w:sz w:val="22"/>
          <w:szCs w:val="22"/>
          <w:spacing w:val="2"/>
        </w:rPr>
        <w:t>美国(部分州)</w:t>
      </w:r>
      <w:r>
        <w:rPr>
          <w:sz w:val="22"/>
          <w:szCs w:val="22"/>
          <w:spacing w:val="19"/>
        </w:rPr>
        <w:t xml:space="preserve">  </w:t>
      </w:r>
      <w:r>
        <w:rPr>
          <w:sz w:val="22"/>
          <w:szCs w:val="22"/>
          <w:spacing w:val="2"/>
        </w:rPr>
        <w:t>州级差异</w:t>
      </w:r>
      <w:r>
        <w:rPr>
          <w:sz w:val="22"/>
          <w:szCs w:val="22"/>
          <w:spacing w:val="7"/>
        </w:rPr>
        <w:t xml:space="preserve">     </w:t>
      </w:r>
      <w:r>
        <w:rPr>
          <w:sz w:val="22"/>
          <w:szCs w:val="22"/>
          <w:spacing w:val="2"/>
        </w:rPr>
        <w:t>联邦制</w:t>
      </w:r>
      <w:r>
        <w:rPr>
          <w:sz w:val="22"/>
          <w:szCs w:val="22"/>
          <w:spacing w:val="16"/>
        </w:rPr>
        <w:t xml:space="preserve">     </w:t>
      </w:r>
      <w:r>
        <w:rPr>
          <w:sz w:val="22"/>
          <w:szCs w:val="22"/>
          <w:spacing w:val="2"/>
        </w:rPr>
        <w:t>统一适用</w:t>
      </w:r>
    </w:p>
    <w:p>
      <w:pPr>
        <w:pStyle w:val="BodyText"/>
        <w:ind w:left="8"/>
        <w:spacing w:before="98" w:line="222" w:lineRule="auto"/>
        <w:rPr>
          <w:sz w:val="22"/>
          <w:szCs w:val="22"/>
        </w:rPr>
      </w:pPr>
      <w:r>
        <w:rPr>
          <w:sz w:val="22"/>
          <w:szCs w:val="22"/>
        </w:rPr>
        <w:t>除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8" w:right="150"/>
        <w:spacing w:before="71" w:line="378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该表选取发达国家作为参照，通常而言，国际主流</w:t>
      </w:r>
      <w:r>
        <w:rPr>
          <w:sz w:val="22"/>
          <w:szCs w:val="22"/>
          <w:spacing w:val="20"/>
        </w:rPr>
        <w:t>趋向废除，但需考虑国情差异，其潜在局限在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于直接移植可能忽略社会条件独特性的权衡。</w:t>
      </w:r>
    </w:p>
    <w:p>
      <w:pPr>
        <w:pStyle w:val="BodyText"/>
        <w:ind w:left="8"/>
        <w:spacing w:before="219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1.</w:t>
      </w:r>
      <w:r>
        <w:rPr>
          <w:sz w:val="22"/>
          <w:szCs w:val="22"/>
          <w:spacing w:val="16"/>
        </w:rPr>
        <w:t>影响死刑存废的关键因素</w:t>
      </w:r>
      <w:r>
        <w:rPr>
          <w:rFonts w:ascii="SimSun" w:hAnsi="SimSun" w:eastAsia="SimSun" w:cs="SimSun"/>
          <w:sz w:val="22"/>
          <w:szCs w:val="22"/>
        </w:rPr>
        <w:t>SWOT</w:t>
      </w:r>
      <w:r>
        <w:rPr>
          <w:rFonts w:ascii="SimSun" w:hAnsi="SimSun" w:eastAsia="SimSun" w:cs="SimSun"/>
          <w:sz w:val="22"/>
          <w:szCs w:val="22"/>
          <w:spacing w:val="40"/>
        </w:rPr>
        <w:t xml:space="preserve">  </w:t>
      </w:r>
      <w:r>
        <w:rPr>
          <w:sz w:val="22"/>
          <w:szCs w:val="22"/>
          <w:spacing w:val="16"/>
        </w:rPr>
        <w:t>分析表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2" w:line="212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-2"/>
        </w:rPr>
        <w:t>维度</w:t>
      </w:r>
      <w:r>
        <w:rPr>
          <w:sz w:val="22"/>
          <w:szCs w:val="22"/>
          <w:spacing w:val="-2"/>
        </w:rPr>
        <w:t xml:space="preserve">  </w:t>
      </w:r>
      <w:r>
        <w:rPr>
          <w:sz w:val="22"/>
          <w:szCs w:val="22"/>
          <w:spacing w:val="-2"/>
        </w:rPr>
        <w:t>优势</w:t>
      </w:r>
      <w:r>
        <w:rPr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(Strengths)    </w:t>
      </w:r>
      <w:r>
        <w:rPr>
          <w:sz w:val="22"/>
          <w:szCs w:val="22"/>
          <w:spacing w:val="-2"/>
        </w:rPr>
        <w:t>弱点</w:t>
      </w:r>
      <w:r>
        <w:rPr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(Weaknesses)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   </w:t>
      </w:r>
      <w:r>
        <w:rPr>
          <w:sz w:val="22"/>
          <w:szCs w:val="22"/>
          <w:spacing w:val="-2"/>
        </w:rPr>
        <w:t>机会</w:t>
      </w:r>
      <w:r>
        <w:rPr>
          <w:sz w:val="22"/>
          <w:szCs w:val="22"/>
          <w:spacing w:val="-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(Opportunities)         </w:t>
      </w:r>
      <w:r>
        <w:rPr>
          <w:sz w:val="22"/>
          <w:szCs w:val="22"/>
          <w:spacing w:val="-2"/>
        </w:rPr>
        <w:t>威胁</w:t>
      </w:r>
      <w:r>
        <w:rPr>
          <w:sz w:val="22"/>
          <w:szCs w:val="22"/>
          <w:spacing w:val="-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(T</w:t>
      </w:r>
      <w:r>
        <w:rPr>
          <w:rFonts w:ascii="Arial" w:hAnsi="Arial" w:eastAsia="Arial" w:cs="Arial"/>
          <w:sz w:val="22"/>
          <w:szCs w:val="22"/>
          <w:spacing w:val="-3"/>
        </w:rPr>
        <w:t>hreats)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2" w:line="221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32"/>
        </w:rPr>
        <w:t>内部</w:t>
      </w:r>
      <w:r>
        <w:rPr>
          <w:sz w:val="22"/>
          <w:szCs w:val="22"/>
          <w:u w:val="single" w:color="auto"/>
          <w:spacing w:val="21"/>
        </w:rPr>
        <w:t xml:space="preserve">   </w:t>
      </w:r>
      <w:r>
        <w:rPr>
          <w:sz w:val="22"/>
          <w:szCs w:val="22"/>
          <w:u w:val="single" w:color="auto"/>
          <w:spacing w:val="32"/>
        </w:rPr>
        <w:t>治安维护、民意支持</w:t>
      </w:r>
      <w:r>
        <w:rPr>
          <w:sz w:val="22"/>
          <w:szCs w:val="22"/>
          <w:u w:val="single" w:color="auto"/>
          <w:spacing w:val="17"/>
        </w:rPr>
        <w:t xml:space="preserve">   </w:t>
      </w:r>
      <w:r>
        <w:rPr>
          <w:sz w:val="22"/>
          <w:szCs w:val="22"/>
          <w:u w:val="single" w:color="auto"/>
          <w:spacing w:val="32"/>
        </w:rPr>
        <w:t>数据不透明</w:t>
      </w:r>
      <w:r>
        <w:rPr>
          <w:sz w:val="22"/>
          <w:szCs w:val="22"/>
          <w:u w:val="single" w:color="auto"/>
          <w:spacing w:val="12"/>
        </w:rPr>
        <w:t xml:space="preserve">       </w:t>
      </w:r>
      <w:r>
        <w:rPr>
          <w:sz w:val="22"/>
          <w:szCs w:val="22"/>
          <w:u w:val="single" w:color="auto"/>
          <w:spacing w:val="32"/>
        </w:rPr>
        <w:t>法治进步</w:t>
      </w:r>
      <w:r>
        <w:rPr>
          <w:sz w:val="22"/>
          <w:szCs w:val="22"/>
          <w:u w:val="single" w:color="auto"/>
          <w:spacing w:val="32"/>
        </w:rPr>
        <w:t xml:space="preserve">         </w:t>
      </w:r>
      <w:r>
        <w:rPr>
          <w:sz w:val="22"/>
          <w:szCs w:val="22"/>
          <w:u w:val="single" w:color="auto"/>
          <w:spacing w:val="32"/>
        </w:rPr>
        <w:t>冤错风险</w:t>
      </w:r>
      <w:r>
        <w:rPr>
          <w:sz w:val="22"/>
          <w:szCs w:val="22"/>
          <w:u w:val="single" w:color="auto"/>
        </w:rPr>
        <w:t xml:space="preserve">        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72" w:line="222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外部</w:t>
      </w:r>
      <w:r>
        <w:rPr>
          <w:sz w:val="22"/>
          <w:szCs w:val="22"/>
          <w:spacing w:val="-4"/>
        </w:rPr>
        <w:t xml:space="preserve">  </w:t>
      </w:r>
      <w:r>
        <w:rPr>
          <w:sz w:val="22"/>
          <w:szCs w:val="22"/>
          <w:spacing w:val="-4"/>
        </w:rPr>
        <w:t>国家主权</w:t>
      </w:r>
      <w:r>
        <w:rPr>
          <w:sz w:val="22"/>
          <w:szCs w:val="22"/>
          <w:spacing w:val="9"/>
        </w:rPr>
        <w:t xml:space="preserve">           </w:t>
      </w:r>
      <w:r>
        <w:rPr>
          <w:sz w:val="22"/>
          <w:szCs w:val="22"/>
          <w:spacing w:val="-4"/>
        </w:rPr>
        <w:t>国际压力</w:t>
      </w:r>
      <w:r>
        <w:rPr>
          <w:sz w:val="22"/>
          <w:szCs w:val="22"/>
          <w:spacing w:val="-4"/>
        </w:rPr>
        <w:t xml:space="preserve">              </w:t>
      </w:r>
      <w:r>
        <w:rPr>
          <w:rFonts w:ascii="Arial" w:hAnsi="Arial" w:eastAsia="Arial" w:cs="Arial"/>
          <w:sz w:val="22"/>
          <w:szCs w:val="22"/>
          <w:spacing w:val="-4"/>
        </w:rPr>
        <w:t>SDGs</w:t>
      </w:r>
      <w:r>
        <w:rPr>
          <w:sz w:val="22"/>
          <w:szCs w:val="22"/>
          <w:spacing w:val="-4"/>
        </w:rPr>
        <w:t>人权目标</w:t>
      </w:r>
      <w:r>
        <w:rPr>
          <w:sz w:val="22"/>
          <w:szCs w:val="22"/>
          <w:spacing w:val="-4"/>
        </w:rPr>
        <w:t xml:space="preserve">          </w:t>
      </w:r>
      <w:r>
        <w:rPr>
          <w:sz w:val="22"/>
          <w:szCs w:val="22"/>
          <w:spacing w:val="-4"/>
        </w:rPr>
        <w:t>犯</w:t>
      </w:r>
      <w:r>
        <w:rPr>
          <w:sz w:val="22"/>
          <w:szCs w:val="22"/>
          <w:spacing w:val="-5"/>
        </w:rPr>
        <w:t>罪率波动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8" w:right="154"/>
        <w:spacing w:before="71" w:line="388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该分析显示，保留死刑有治安优势，但废除机会在于人权保障，通常而言，</w:t>
      </w:r>
      <w:r>
        <w:rPr>
          <w:sz w:val="22"/>
          <w:szCs w:val="22"/>
          <w:spacing w:val="82"/>
        </w:rPr>
        <w:t xml:space="preserve"> </w:t>
      </w:r>
      <w:r>
        <w:rPr>
          <w:sz w:val="22"/>
          <w:szCs w:val="22"/>
          <w:spacing w:val="16"/>
        </w:rPr>
        <w:t>一种潜</w:t>
      </w:r>
      <w:r>
        <w:rPr>
          <w:sz w:val="22"/>
          <w:szCs w:val="22"/>
          <w:spacing w:val="15"/>
        </w:rPr>
        <w:t>在路径是渐进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2"/>
        </w:rPr>
        <w:t>改革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12"/>
        </w:rPr>
        <w:t>。</w:t>
      </w:r>
    </w:p>
    <w:p>
      <w:pPr>
        <w:pStyle w:val="BodyText"/>
        <w:ind w:left="178"/>
        <w:spacing w:before="186" w:line="222" w:lineRule="auto"/>
        <w:rPr>
          <w:sz w:val="22"/>
          <w:szCs w:val="22"/>
        </w:rPr>
      </w:pPr>
      <w:r>
        <w:rPr>
          <w:sz w:val="22"/>
          <w:szCs w:val="22"/>
          <w:spacing w:val="22"/>
        </w:rPr>
        <w:t>(</w:t>
      </w:r>
      <w:r>
        <w:rPr>
          <w:sz w:val="22"/>
          <w:szCs w:val="22"/>
          <w:spacing w:val="-52"/>
        </w:rPr>
        <w:t xml:space="preserve"> </w:t>
      </w:r>
      <w:r>
        <w:rPr>
          <w:sz w:val="22"/>
          <w:szCs w:val="22"/>
          <w:spacing w:val="22"/>
        </w:rPr>
        <w:t>一)废除时间预测</w:t>
      </w:r>
    </w:p>
    <w:p>
      <w:pPr>
        <w:pStyle w:val="BodyText"/>
        <w:ind w:left="8"/>
        <w:spacing w:before="247" w:line="367" w:lineRule="auto"/>
        <w:rPr>
          <w:sz w:val="22"/>
          <w:szCs w:val="22"/>
        </w:rPr>
      </w:pPr>
      <w:r>
        <w:rPr>
          <w:sz w:val="22"/>
          <w:szCs w:val="22"/>
          <w:spacing w:val="25"/>
        </w:rPr>
        <w:t>据专家观点及趋势外推，中国死刑废除可能</w:t>
      </w:r>
      <w:r>
        <w:rPr>
          <w:sz w:val="22"/>
          <w:szCs w:val="22"/>
          <w:spacing w:val="24"/>
        </w:rPr>
        <w:t>在2030-2050年间逐步实现非暴力犯罪废除，全面废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1"/>
        </w:rPr>
        <w:t>除需更长时期，在一定程度上取决于社会稳</w:t>
      </w:r>
      <w:r>
        <w:rPr>
          <w:sz w:val="22"/>
          <w:szCs w:val="22"/>
          <w:spacing w:val="20"/>
        </w:rPr>
        <w:t>定与国际合作，但需注意外推法的局限，如变量复杂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5"/>
        </w:rPr>
        <w:t>性</w:t>
      </w:r>
      <w:r>
        <w:rPr>
          <w:sz w:val="22"/>
          <w:szCs w:val="22"/>
          <w:spacing w:val="-53"/>
        </w:rPr>
        <w:t xml:space="preserve"> </w:t>
      </w:r>
      <w:r>
        <w:rPr>
          <w:sz w:val="22"/>
          <w:szCs w:val="22"/>
          <w:spacing w:val="-5"/>
        </w:rPr>
        <w:t>。</w:t>
      </w:r>
    </w:p>
    <w:p>
      <w:pPr>
        <w:pStyle w:val="BodyText"/>
        <w:ind w:left="168"/>
        <w:spacing w:before="216" w:line="222" w:lineRule="auto"/>
        <w:rPr>
          <w:sz w:val="22"/>
          <w:szCs w:val="22"/>
        </w:rPr>
      </w:pPr>
      <w:r>
        <w:rPr>
          <w:sz w:val="22"/>
          <w:szCs w:val="22"/>
          <w:spacing w:val="33"/>
        </w:rPr>
        <w:t>(二)辩证评估</w:t>
      </w:r>
    </w:p>
    <w:p>
      <w:pPr>
        <w:pStyle w:val="BodyText"/>
        <w:ind w:left="8" w:right="237"/>
        <w:spacing w:before="243" w:line="369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一方面，废除符合联合国可持续发展目标</w:t>
      </w:r>
      <w:r>
        <w:rPr>
          <w:sz w:val="22"/>
          <w:szCs w:val="2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SDGs</w:t>
      </w:r>
      <w:r>
        <w:rPr>
          <w:rFonts w:ascii="Times New Roman" w:hAnsi="Times New Roman" w:eastAsia="Times New Roman" w:cs="Times New Roman"/>
          <w:sz w:val="22"/>
          <w:szCs w:val="22"/>
          <w:spacing w:val="18"/>
        </w:rPr>
        <w:t>)     </w:t>
      </w:r>
      <w:r>
        <w:rPr>
          <w:sz w:val="22"/>
          <w:szCs w:val="22"/>
          <w:spacing w:val="18"/>
        </w:rPr>
        <w:t>及构建人类命运共同体；另一方面，其挑战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17"/>
        </w:rPr>
        <w:t>在于公众支持保留，适用前提需渐进式推进。</w:t>
      </w:r>
    </w:p>
    <w:p>
      <w:pPr>
        <w:pStyle w:val="BodyText"/>
        <w:ind w:left="11"/>
        <w:spacing w:before="221" w:line="187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1"/>
        </w:rPr>
        <w:t>四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b/>
          <w:bCs/>
          <w:spacing w:val="11"/>
        </w:rPr>
        <w:t>、结论与政策建议</w:t>
      </w:r>
    </w:p>
    <w:p>
      <w:pPr>
        <w:spacing w:line="187" w:lineRule="auto"/>
        <w:sectPr>
          <w:type w:val="continuous"/>
          <w:pgSz w:w="12240" w:h="15840"/>
          <w:pgMar w:top="1069" w:right="1015" w:bottom="0" w:left="961" w:header="0" w:footer="0" w:gutter="0"/>
          <w:cols w:equalWidth="0" w:num="1">
            <w:col w:w="10264" w:space="0"/>
          </w:cols>
        </w:sectPr>
        <w:rPr>
          <w:sz w:val="22"/>
          <w:szCs w:val="22"/>
        </w:rPr>
      </w:pPr>
    </w:p>
    <w:p>
      <w:pPr>
        <w:pStyle w:val="BodyText"/>
        <w:spacing w:before="46" w:line="322" w:lineRule="auto"/>
        <w:rPr/>
      </w:pPr>
      <w:r>
        <w:rPr/>
        <w:t>中国重刑适用呈现控制趋势，通常而言，这一改革体现了全面依法治国与人权司法保障的统一。</w:t>
      </w:r>
      <w:r>
        <w:rPr>
          <w:spacing w:val="10"/>
        </w:rPr>
        <w:t xml:space="preserve"> </w:t>
      </w:r>
      <w:r>
        <w:rPr/>
        <w:t>建议考虑进一步压缩死刑罪名、完善死刑复核程序、加强数据透明，一种潜在路径是将终身监禁</w:t>
      </w:r>
      <w:r>
        <w:rPr>
          <w:spacing w:val="10"/>
        </w:rPr>
        <w:t xml:space="preserve"> </w:t>
      </w:r>
      <w:r>
        <w:rPr/>
        <w:t>扩展作为死刑替代措施，与国家治理体系现代化相衔接。未来，死刑废除</w:t>
      </w:r>
      <w:r>
        <w:rPr>
          <w:spacing w:val="-1"/>
        </w:rPr>
        <w:t>可能在社会共识成熟前</w:t>
      </w:r>
      <w:r>
        <w:rPr/>
        <w:t xml:space="preserve"> </w:t>
      </w:r>
      <w:r>
        <w:rPr/>
        <w:t>提下逐步实现，有助于人道主义考量与国际形象提升，</w:t>
      </w:r>
      <w:r>
        <w:rPr>
          <w:spacing w:val="-1"/>
        </w:rPr>
        <w:t>但需审慎评估潜在挑战。</w:t>
      </w:r>
    </w:p>
    <w:p>
      <w:pPr>
        <w:pStyle w:val="BodyText"/>
        <w:ind w:left="3"/>
        <w:spacing w:before="247" w:line="223" w:lineRule="auto"/>
        <w:rPr/>
      </w:pPr>
      <w:r>
        <w:rPr>
          <w:b/>
          <w:bCs/>
          <w:spacing w:val="1"/>
        </w:rPr>
        <w:t>关键引用</w:t>
      </w:r>
    </w:p>
    <w:p>
      <w:pPr>
        <w:pStyle w:val="BodyText"/>
        <w:ind w:left="379"/>
        <w:spacing w:before="221" w:line="222" w:lineRule="auto"/>
        <w:rPr/>
      </w:pPr>
      <w:r>
        <w:rPr>
          <w:spacing w:val="8"/>
        </w:rPr>
        <w:t>·</w:t>
      </w:r>
      <w:r>
        <w:rPr>
          <w:spacing w:val="-79"/>
        </w:rPr>
        <w:t xml:space="preserve"> </w:t>
      </w:r>
      <w:r>
        <w:rPr>
          <w:spacing w:val="8"/>
        </w:rPr>
        <w:t>中华人民共和国最高人民法院工作报告(2020-202</w:t>
      </w:r>
      <w:r>
        <w:rPr>
          <w:spacing w:val="7"/>
        </w:rPr>
        <w:t>4系列)</w:t>
      </w:r>
    </w:p>
    <w:p>
      <w:pPr>
        <w:pStyle w:val="BodyText"/>
        <w:ind w:left="379"/>
        <w:spacing w:before="183" w:line="327" w:lineRule="exact"/>
        <w:rPr>
          <w:rFonts w:ascii="Arial" w:hAnsi="Arial" w:eastAsia="Arial" w:cs="Arial"/>
        </w:rPr>
      </w:pPr>
      <w:r>
        <w:rPr>
          <w:spacing w:val="-3"/>
          <w:position w:val="2"/>
        </w:rPr>
        <w:t>·大赦国际《</w:t>
      </w:r>
      <w:r>
        <w:rPr>
          <w:rFonts w:ascii="Arial" w:hAnsi="Arial" w:eastAsia="Arial" w:cs="Arial"/>
          <w:spacing w:val="-3"/>
          <w:position w:val="2"/>
        </w:rPr>
        <w:t>Death  Sentences  and  Executi</w:t>
      </w:r>
      <w:r>
        <w:rPr>
          <w:rFonts w:ascii="Arial" w:hAnsi="Arial" w:eastAsia="Arial" w:cs="Arial"/>
          <w:spacing w:val="-4"/>
          <w:position w:val="2"/>
        </w:rPr>
        <w:t>ons</w:t>
      </w:r>
      <w:r>
        <w:rPr>
          <w:rFonts w:ascii="SimSun" w:hAnsi="SimSun" w:eastAsia="SimSun" w:cs="SimSun"/>
          <w:spacing w:val="-4"/>
          <w:position w:val="2"/>
        </w:rPr>
        <w:t>》 </w:t>
      </w:r>
      <w:r>
        <w:rPr>
          <w:rFonts w:ascii="Arial" w:hAnsi="Arial" w:eastAsia="Arial" w:cs="Arial"/>
          <w:spacing w:val="-4"/>
          <w:position w:val="2"/>
        </w:rPr>
        <w:t>2020-2024)</w:t>
      </w:r>
    </w:p>
    <w:p>
      <w:pPr>
        <w:pStyle w:val="BodyText"/>
        <w:ind w:left="379"/>
        <w:spacing w:before="280" w:line="222" w:lineRule="auto"/>
        <w:rPr/>
      </w:pPr>
      <w:r>
        <w:rPr>
          <w:spacing w:val="-5"/>
        </w:rPr>
        <w:t>·对话基金会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-5"/>
        </w:rPr>
        <w:t>(Dui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rFonts w:ascii="SimSun" w:hAnsi="SimSun" w:eastAsia="SimSun" w:cs="SimSun"/>
          <w:spacing w:val="-5"/>
        </w:rPr>
        <w:t>Hua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rFonts w:ascii="SimSun" w:hAnsi="SimSun" w:eastAsia="SimSun" w:cs="SimSun"/>
          <w:spacing w:val="-5"/>
        </w:rPr>
        <w:t>Foundation)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5"/>
        </w:rPr>
        <w:t>中国死刑报告</w:t>
      </w:r>
    </w:p>
    <w:p>
      <w:pPr>
        <w:pStyle w:val="BodyText"/>
        <w:ind w:left="379"/>
        <w:spacing w:before="241" w:line="222" w:lineRule="auto"/>
        <w:rPr/>
      </w:pPr>
      <w:r>
        <w:rPr>
          <w:spacing w:val="-8"/>
        </w:rPr>
        <w:t>·联合国人权理事会相关决议</w:t>
      </w:r>
    </w:p>
    <w:p>
      <w:pPr>
        <w:pStyle w:val="BodyText"/>
        <w:ind w:left="379"/>
        <w:spacing w:before="251" w:line="221" w:lineRule="auto"/>
        <w:rPr/>
      </w:pPr>
      <w:r>
        <w:rPr>
          <w:spacing w:val="-10"/>
        </w:rPr>
        <w:t>·世界银行法治指数报告</w:t>
      </w:r>
    </w:p>
    <w:p>
      <w:pPr>
        <w:pStyle w:val="BodyText"/>
        <w:ind w:left="379"/>
        <w:spacing w:before="254" w:line="222" w:lineRule="auto"/>
        <w:rPr/>
      </w:pPr>
      <w:r>
        <w:rPr>
          <w:spacing w:val="1"/>
        </w:rPr>
        <w:t>·</w:t>
      </w:r>
      <w:r>
        <w:rPr>
          <w:spacing w:val="-63"/>
        </w:rPr>
        <w:t xml:space="preserve"> </w:t>
      </w:r>
      <w:r>
        <w:rPr>
          <w:spacing w:val="1"/>
        </w:rPr>
        <w:t>中国刑法修正案(八)、</w:t>
      </w:r>
      <w:r>
        <w:rPr>
          <w:spacing w:val="70"/>
        </w:rPr>
        <w:t xml:space="preserve"> </w:t>
      </w:r>
      <w:r>
        <w:rPr>
          <w:spacing w:val="1"/>
        </w:rPr>
        <w:t>九)及相关司法解释</w:t>
      </w:r>
    </w:p>
    <w:sectPr>
      <w:pgSz w:w="12240" w:h="15840"/>
      <w:pgMar w:top="1148" w:right="1168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2026-03-15T23:57:40</vt:filetime>
  </property>
  <property fmtid="{D5CDD505-2E9C-101B-9397-08002B2CF9AE}" pid="4" name="UsrData">
    <vt:lpwstr>69b6d6f19aafeb0020194f09wl</vt:lpwstr>
  </property>
</Properties>
</file>