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CC252">
      <w:pPr>
        <w:spacing w:before="210" w:after="0" w:line="360" w:lineRule="auto"/>
      </w:pPr>
      <w:bookmarkStart w:id="417" w:name="_GoBack"/>
      <w:bookmarkEnd w:id="417"/>
      <w:r>
        <w:pict>
          <v:rect id="_x0000_s1026" o:spid="_x0000_s1026" o:spt="1" style="height:0.05pt;width:475.5pt;" coordsize="21600,21600">
            <v:path/>
            <v:fill focussize="0,0"/>
            <v:stroke weight="1pt" color="#000000" opacity="0f"/>
            <v:imagedata o:title=""/>
            <o:lock v:ext="edit"/>
            <w10:wrap type="none"/>
            <w10:anchorlock/>
          </v:rect>
        </w:pict>
      </w:r>
    </w:p>
    <w:p w14:paraId="4DB97229">
      <w:pPr>
        <w:spacing w:before="315" w:after="105" w:line="360" w:lineRule="auto"/>
        <w:ind w:left="-30"/>
        <w:jc w:val="left"/>
      </w:pPr>
      <w:bookmarkStart w:id="0" w:name="一_宏观背景与问题提出"/>
      <w:r>
        <w:rPr>
          <w:rFonts w:ascii="inter" w:hAnsi="inter" w:eastAsia="inter" w:cs="inter"/>
          <w:b/>
          <w:color w:val="000000"/>
          <w:sz w:val="24"/>
        </w:rPr>
        <w:t>一、宏观背景与问题提出</w:t>
      </w:r>
      <w:bookmarkEnd w:id="0"/>
    </w:p>
    <w:p w14:paraId="5C3F859F">
      <w:pPr>
        <w:spacing w:before="315" w:after="105" w:line="360" w:lineRule="auto"/>
        <w:ind w:left="-30"/>
        <w:jc w:val="left"/>
      </w:pPr>
      <w:bookmarkStart w:id="1" w:name="一_国家战略与政策脉络"/>
      <w:r>
        <w:rPr>
          <w:rFonts w:ascii="inter" w:hAnsi="inter" w:eastAsia="inter" w:cs="inter"/>
          <w:b/>
          <w:color w:val="000000"/>
          <w:sz w:val="24"/>
        </w:rPr>
        <w:t>（一）国家战略与政策脉络</w:t>
      </w:r>
      <w:bookmarkEnd w:id="1"/>
    </w:p>
    <w:p w14:paraId="3CE0E2A7">
      <w:pPr>
        <w:spacing w:after="210" w:line="360" w:lineRule="auto"/>
      </w:pPr>
      <w:r>
        <w:rPr>
          <w:rFonts w:ascii="inter" w:hAnsi="inter" w:eastAsia="inter" w:cs="inter"/>
          <w:color w:val="000000"/>
        </w:rPr>
        <w:t>《教育强国建设规划纲要（2024—2035年）》明确提出“落实健康第一教育理念，实施学生体质强健计划，中小学生每天综合体育活动时间不低于2小时，加强校园足球建设”，将学校体育和学生体质健康提升为教育强国建设的基础性工程。据教育部等五部门联合印发的《关于实施学生体质强健计划的意见》（以下简称《意见》），上述2小时要求被进一步细化为“全面高质量落实”的硬约束性指标，成为未来十年学校体育改革的关键“牛鼻子”工程。</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6" w:name="fnref5"/>
      <w:bookmarkEnd w:id="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A8EBAC5">
      <w:pPr>
        <w:spacing w:after="210" w:line="360" w:lineRule="auto"/>
      </w:pPr>
      <w:r>
        <w:rPr>
          <w:rFonts w:ascii="inter" w:hAnsi="inter" w:eastAsia="inter" w:cs="inter"/>
          <w:color w:val="000000"/>
        </w:rPr>
        <w:t>从更宏观的健康治理视角看，《“健康中国2030”规划纲要》提出“实施青少年体育活动促进计划……确保学生校内每天体育活动时间不少于1小时”，并设定到2030年“学校体育场地设施与器材配置达标率达到100%，青少年学生每周参与体育活动达到中等强度3次以上，国家学生体质健康标准达标优秀率25%以上”的量化目标。随后出台的《健康中国行动（2019—2030年）》和最新《儿童青少年“五健”促进行动计划（2026—2030年）》在行动层面进一步提出，到2030年中小学生国家学生体质健康标准达标优良率达到60%以上，并明确要求“中小学校全面实施学生体质强健计划，保障中小学生每天综合体育活动时间不低于2小时”。</w:t>
      </w:r>
      <w:bookmarkStart w:id="7" w:name="fnref6"/>
      <w:bookmarkEnd w:id="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 w:name="fnref7"/>
      <w:bookmarkEnd w:id="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9" w:name="fnref8"/>
      <w:bookmarkEnd w:id="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0" w:name="fnref9"/>
      <w:bookmarkEnd w:id="1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BD1501B">
      <w:pPr>
        <w:spacing w:after="210" w:line="360" w:lineRule="auto"/>
      </w:pPr>
      <w:r>
        <w:rPr>
          <w:rFonts w:ascii="inter" w:hAnsi="inter" w:eastAsia="inter" w:cs="inter"/>
          <w:color w:val="000000"/>
        </w:rPr>
        <w:t>一般而言，上述政策体系已经构成了“健康中国—教育强国—体育强国”三位一体的顶层设计框架，为2小时体育活动目标提供了明确的政治合法性与制度支撑。</w:t>
      </w:r>
      <w:bookmarkStart w:id="11" w:name="fnref2_1"/>
      <w:bookmarkEnd w:id="1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2" w:name="fnref10"/>
      <w:bookmarkEnd w:id="1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3E9F2F2">
      <w:pPr>
        <w:spacing w:before="315" w:after="105" w:line="360" w:lineRule="auto"/>
        <w:ind w:left="-30"/>
        <w:jc w:val="left"/>
      </w:pPr>
      <w:bookmarkStart w:id="13" w:name="二_问题提出_体质健康压力与时间资源结构性失衡"/>
      <w:r>
        <w:rPr>
          <w:rFonts w:ascii="inter" w:hAnsi="inter" w:eastAsia="inter" w:cs="inter"/>
          <w:b/>
          <w:color w:val="000000"/>
          <w:sz w:val="24"/>
        </w:rPr>
        <w:t>（二）问题提出：体质健康压力与时间资源结构性失衡</w:t>
      </w:r>
      <w:bookmarkEnd w:id="13"/>
    </w:p>
    <w:p w14:paraId="364A7803">
      <w:pPr>
        <w:numPr>
          <w:ilvl w:val="0"/>
          <w:numId w:val="1"/>
        </w:numPr>
        <w:spacing w:before="105" w:after="105" w:line="360" w:lineRule="auto"/>
      </w:pPr>
      <w:r>
        <w:rPr>
          <w:rFonts w:ascii="inter" w:hAnsi="inter" w:eastAsia="inter" w:cs="inter"/>
          <w:color w:val="000000"/>
          <w:sz w:val="21"/>
        </w:rPr>
        <w:t>学生体质健康状况的结构性矛盾</w:t>
      </w:r>
    </w:p>
    <w:p w14:paraId="6BCA1124">
      <w:pPr>
        <w:spacing w:after="210" w:line="360" w:lineRule="auto"/>
      </w:pPr>
      <w:r>
        <w:rPr>
          <w:rFonts w:ascii="inter" w:hAnsi="inter" w:eastAsia="inter" w:cs="inter"/>
          <w:color w:val="000000"/>
        </w:rPr>
        <w:t>根据教育部学生体质健康监测和国家相关专项评估结果，近二十年来我国学生体质健康状况总体呈“先持续下滑、后回稳改善但隐忧犹存”的态势：</w:t>
      </w:r>
      <w:r>
        <w:rPr>
          <w:rFonts w:ascii="inter" w:hAnsi="inter" w:eastAsia="inter" w:cs="inter"/>
          <w:color w:val="000000"/>
        </w:rPr>
        <w:br w:type="textWrapping"/>
      </w:r>
      <w:r>
        <w:rPr>
          <w:rFonts w:ascii="inter" w:hAnsi="inter" w:eastAsia="inter" w:cs="inter"/>
          <w:color w:val="000000"/>
        </w:rPr>
        <w:t>——国家相关部门发布的解读指出，近5年抽测复核结果显示，学生体质健康总体不及格率有所下降、优良率有所上升，趋势性拐点正在显现；</w:t>
      </w:r>
      <w:bookmarkStart w:id="14" w:name="fnref11"/>
      <w:bookmarkEnd w:id="1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15" w:name="fnref12"/>
      <w:bookmarkEnd w:id="1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——然而，《健康中国行动》公布的2014年调研数据表明，7—18岁儿童青少年肥胖检出率持续上升，城市男生肥胖率达11.1%，远高于2002年水平；</w:t>
      </w:r>
      <w:bookmarkStart w:id="16" w:name="fnref13"/>
      <w:bookmarkEnd w:id="1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——人民日报等报道指出，目前仅约7%的大学生体质健康达标率达到“良好”和“优秀”水平，大学生群体体质持续偏弱现象依然突出。</w:t>
      </w:r>
      <w:bookmarkStart w:id="17" w:name="fnref14"/>
      <w:bookmarkEnd w:id="1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18" w:name="fnref15"/>
      <w:bookmarkEnd w:id="18"/>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65A7F7C3">
      <w:pPr>
        <w:spacing w:after="210" w:line="360" w:lineRule="auto"/>
      </w:pPr>
      <w:r>
        <w:rPr>
          <w:rFonts w:ascii="inter" w:hAnsi="inter" w:eastAsia="inter" w:cs="inter"/>
          <w:color w:val="000000"/>
        </w:rPr>
        <w:t>学术研究普遍认为，这种“总体好转但结构性问题突出”的局面，一般而言反映出学生体质健康水平与教育现代化发展之间存在“体质健康资本”积累不足的结构性矛盾。</w:t>
      </w:r>
      <w:bookmarkStart w:id="19" w:name="fnref10_1"/>
      <w:bookmarkEnd w:id="1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0" w:name="fnref16"/>
      <w:bookmarkEnd w:id="20"/>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42CB6C65">
      <w:pPr>
        <w:spacing w:after="210" w:line="360" w:lineRule="auto"/>
        <w:ind w:left="630"/>
      </w:pPr>
      <w:r>
        <w:rPr>
          <w:rFonts w:ascii="inter" w:hAnsi="inter" w:eastAsia="inter" w:cs="inter"/>
          <w:color w:val="000000"/>
        </w:rPr>
        <w:t>【术语框1：体质健康资本】</w:t>
      </w:r>
      <w:r>
        <w:rPr>
          <w:rFonts w:ascii="inter" w:hAnsi="inter" w:eastAsia="inter" w:cs="inter"/>
          <w:color w:val="000000"/>
        </w:rPr>
        <w:br w:type="textWrapping"/>
      </w:r>
      <w:r>
        <w:rPr>
          <w:rFonts w:ascii="inter" w:hAnsi="inter" w:eastAsia="inter" w:cs="inter"/>
          <w:color w:val="000000"/>
        </w:rPr>
        <w:t>本报告将“体质健康资本”界定为：个体在学段发展周期内通过体育活动、生活方式与健康服务等投入所形成的、具有长期回报特征的身体机能、体适能与健康习惯总和，其既是人力资本的重要组成部分，也是人口高质量发展的前提性资本。</w:t>
      </w:r>
      <w:bookmarkStart w:id="21" w:name="fnref9_1"/>
      <w:bookmarkEnd w:id="2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22" w:name="fnref10_2"/>
      <w:bookmarkEnd w:id="2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49271E7">
      <w:pPr>
        <w:numPr>
          <w:ilvl w:val="0"/>
          <w:numId w:val="2"/>
        </w:numPr>
        <w:spacing w:before="105" w:after="105" w:line="360" w:lineRule="auto"/>
      </w:pPr>
      <w:r>
        <w:rPr>
          <w:rFonts w:ascii="inter" w:hAnsi="inter" w:eastAsia="inter" w:cs="inter"/>
          <w:color w:val="000000"/>
          <w:sz w:val="21"/>
        </w:rPr>
        <w:t>时间资源配置的结构性失衡</w:t>
      </w:r>
    </w:p>
    <w:p w14:paraId="555EF9DE">
      <w:pPr>
        <w:spacing w:after="210" w:line="360" w:lineRule="auto"/>
      </w:pPr>
      <w:r>
        <w:rPr>
          <w:rFonts w:ascii="inter" w:hAnsi="inter" w:eastAsia="inter" w:cs="inter"/>
          <w:color w:val="000000"/>
        </w:rPr>
        <w:t>一方面，国家在法规和政策层面持续强调“每天一小时校园体育活动”并逐步抬升至“综合体育活动时间不低于2小时”的要求；另一方面，多项调查表明，中小学生学业负担与课外补习时间在国际比较中长期处于高位：</w:t>
      </w:r>
      <w:bookmarkStart w:id="23" w:name="fnref17"/>
      <w:bookmarkEnd w:id="2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4" w:name="fnref18"/>
      <w:bookmarkEnd w:id="2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25" w:name="fnref2_2"/>
      <w:bookmarkEnd w:id="2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EB48FFF">
      <w:pPr>
        <w:spacing w:after="210" w:line="360" w:lineRule="auto"/>
      </w:pPr>
      <w:r>
        <w:rPr>
          <w:rFonts w:ascii="inter" w:hAnsi="inter" w:eastAsia="inter" w:cs="inter"/>
          <w:color w:val="000000"/>
        </w:rPr>
        <w:t>——基于PISA数据的研究指出，2012年上海16岁学生每周课外学习时间（不含课堂）达13.8小时，位居20个参与国家与地区首位，加上校外辅导和私人家教，每周校外学习时间更是“领跑全球”；</w:t>
      </w:r>
      <w:bookmarkStart w:id="26" w:name="fnref19"/>
      <w:bookmarkEnd w:id="2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27" w:name="fnref20"/>
      <w:bookmarkEnd w:id="2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28" w:name="fnref21"/>
      <w:bookmarkEnd w:id="28"/>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——减负研究报告显示，小学生和初中生在工作日和休息日的作业时间超标率普遍超过60%—80%，显著压缩了学生自由支配时间与体育活动时间。</w:t>
      </w:r>
      <w:bookmarkStart w:id="29" w:name="fnref22"/>
      <w:bookmarkEnd w:id="2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30" w:name="fnref20_1"/>
      <w:bookmarkEnd w:id="30"/>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1C64316B">
      <w:pPr>
        <w:spacing w:after="210" w:line="360" w:lineRule="auto"/>
      </w:pPr>
      <w:r>
        <w:rPr>
          <w:rFonts w:ascii="inter" w:hAnsi="inter" w:eastAsia="inter" w:cs="inter"/>
          <w:color w:val="000000"/>
        </w:rPr>
        <w:t>在此背景下，“政策文本中体育活动时间不断增加”与“现实中可支配体育活动时间被学业和补习长期侵蚀”的时间资源配置矛盾，构成了落实2小时要求的关键制约因素。</w:t>
      </w:r>
      <w:bookmarkStart w:id="31" w:name="fnref23"/>
      <w:bookmarkEnd w:id="31"/>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32" w:name="fnref24"/>
      <w:bookmarkEnd w:id="32"/>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293FD00A">
      <w:pPr>
        <w:spacing w:after="210" w:line="360" w:lineRule="auto"/>
        <w:ind w:left="630"/>
      </w:pPr>
      <w:r>
        <w:rPr>
          <w:rFonts w:ascii="inter" w:hAnsi="inter" w:eastAsia="inter" w:cs="inter"/>
          <w:color w:val="000000"/>
        </w:rPr>
        <w:t>【术语框2：时间资源配置效率】</w:t>
      </w:r>
      <w:r>
        <w:rPr>
          <w:rFonts w:ascii="inter" w:hAnsi="inter" w:eastAsia="inter" w:cs="inter"/>
          <w:color w:val="000000"/>
        </w:rPr>
        <w:br w:type="textWrapping"/>
      </w:r>
      <w:r>
        <w:rPr>
          <w:rFonts w:ascii="inter" w:hAnsi="inter" w:eastAsia="inter" w:cs="inter"/>
          <w:color w:val="000000"/>
        </w:rPr>
        <w:t>“时间资源配置效率”是指在既定作息框架下，学生全日24小时在睡眠、课堂学习、作业与补习、综合体育活动、屏幕娱乐及其他活动之间的结构性分配效率；高效率状态下，体育活动获得与身心发展需求相匹配的时间权重，而不会被学业与碎片化活动系统性挤压。</w:t>
      </w:r>
      <w:bookmarkStart w:id="33" w:name="fnref25"/>
      <w:bookmarkEnd w:id="33"/>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34" w:name="fnref16_1"/>
      <w:bookmarkEnd w:id="34"/>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480D9858">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6998FED3">
      <w:pPr>
        <w:spacing w:before="315" w:after="105" w:line="360" w:lineRule="auto"/>
        <w:ind w:left="-30"/>
        <w:jc w:val="left"/>
      </w:pPr>
      <w:bookmarkStart w:id="35" w:name="二_国际比较视域下的差距与_2小时目标_的战略意义"/>
      <w:r>
        <w:rPr>
          <w:rFonts w:ascii="inter" w:hAnsi="inter" w:eastAsia="inter" w:cs="inter"/>
          <w:b/>
          <w:color w:val="000000"/>
          <w:sz w:val="24"/>
        </w:rPr>
        <w:t>二、国际比较视域下的差距与“2小时目标”的战略意义</w:t>
      </w:r>
      <w:bookmarkEnd w:id="35"/>
    </w:p>
    <w:p w14:paraId="65ED2E18">
      <w:pPr>
        <w:spacing w:before="315" w:after="105" w:line="360" w:lineRule="auto"/>
        <w:ind w:left="-30"/>
        <w:jc w:val="left"/>
      </w:pPr>
      <w:bookmarkStart w:id="36" w:name="一_国际青少年身体活动基准与实践经验"/>
      <w:r>
        <w:rPr>
          <w:rFonts w:ascii="inter" w:hAnsi="inter" w:eastAsia="inter" w:cs="inter"/>
          <w:b/>
          <w:color w:val="000000"/>
          <w:sz w:val="24"/>
        </w:rPr>
        <w:t>（一）国际青少年身体活动基准与实践经验</w:t>
      </w:r>
      <w:bookmarkEnd w:id="36"/>
    </w:p>
    <w:p w14:paraId="7A532D73">
      <w:pPr>
        <w:numPr>
          <w:ilvl w:val="0"/>
          <w:numId w:val="3"/>
        </w:numPr>
        <w:spacing w:before="105" w:after="105" w:line="360" w:lineRule="auto"/>
      </w:pPr>
      <w:r>
        <w:rPr>
          <w:rFonts w:ascii="inter" w:hAnsi="inter" w:eastAsia="inter" w:cs="inter"/>
          <w:color w:val="000000"/>
          <w:sz w:val="21"/>
        </w:rPr>
        <w:t>WHO建议与全球不达标现象</w:t>
      </w:r>
    </w:p>
    <w:p w14:paraId="5C983463">
      <w:pPr>
        <w:spacing w:after="210" w:line="360" w:lineRule="auto"/>
      </w:pPr>
      <w:r>
        <w:rPr>
          <w:rFonts w:ascii="inter" w:hAnsi="inter" w:eastAsia="inter" w:cs="inter"/>
          <w:color w:val="000000"/>
        </w:rPr>
        <w:t>世界卫生组织发布的研究指出，全球80%以上在校青少年未能达到“每天至少60分钟中等到高强度身体活动”的健康建议，其中女孩不达标比例约85%，男孩约78%，构成全球公共卫生领域的突出风险点。按照WHO等机构的行动框架，青少年体育活动促进一般被视为“低成本、高回报”的人口健康干预工具，对肥胖防控、慢病延迟和心理健康改善具有显著综合效益。</w:t>
      </w:r>
      <w:bookmarkStart w:id="37" w:name="fnref26"/>
      <w:bookmarkEnd w:id="37"/>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38" w:name="fnref27"/>
      <w:bookmarkEnd w:id="38"/>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36703BCD">
      <w:pPr>
        <w:numPr>
          <w:ilvl w:val="0"/>
          <w:numId w:val="4"/>
        </w:numPr>
        <w:spacing w:before="105" w:after="105" w:line="360" w:lineRule="auto"/>
      </w:pPr>
      <w:r>
        <w:rPr>
          <w:rFonts w:ascii="inter" w:hAnsi="inter" w:eastAsia="inter" w:cs="inter"/>
          <w:color w:val="000000"/>
          <w:sz w:val="21"/>
        </w:rPr>
        <w:t>OECD/PISA关于体育与学业关系的证据</w:t>
      </w:r>
    </w:p>
    <w:p w14:paraId="3C08FFFF">
      <w:pPr>
        <w:spacing w:after="210" w:line="360" w:lineRule="auto"/>
      </w:pPr>
      <w:r>
        <w:rPr>
          <w:rFonts w:ascii="inter" w:hAnsi="inter" w:eastAsia="inter" w:cs="inter"/>
          <w:color w:val="000000"/>
        </w:rPr>
        <w:t>以OECD为代表的国际组织在PISA 2015和2018项目中，系统分析了学生体育活动与幸福感和学业表现之间的关联关系。研究显示：</w:t>
      </w:r>
      <w:bookmarkStart w:id="39" w:name="fnref28"/>
      <w:bookmarkEnd w:id="39"/>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40" w:name="fnref25_1"/>
      <w:bookmarkEnd w:id="4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14D0C691">
      <w:pPr>
        <w:spacing w:after="210" w:line="360" w:lineRule="auto"/>
      </w:pPr>
      <w:r>
        <w:rPr>
          <w:rFonts w:ascii="inter" w:hAnsi="inter" w:eastAsia="inter" w:cs="inter"/>
          <w:color w:val="000000"/>
        </w:rPr>
        <w:t>——在OECD国家平均水平上，52%的学生每周至少3天参加“使其出汗或心率显著加快”的剧烈身体活动；在丹麦、挪威、美国等国这一比例超过60%，而在部分东亚和拉美国家则不足40%；</w:t>
      </w:r>
      <w:bookmarkStart w:id="41" w:name="fnref25_2"/>
      <w:bookmarkEnd w:id="41"/>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——中等强度体育活动（如步行、骑车）频率与学生自我报告的幸福感、合作能力呈显著正相关，与科学学习成绩有弱正相关关系；</w:t>
      </w:r>
      <w:r>
        <w:rPr>
          <w:rFonts w:ascii="inter" w:hAnsi="inter" w:eastAsia="inter" w:cs="inter"/>
          <w:color w:val="000000"/>
        </w:rPr>
        <w:br w:type="textWrapping"/>
      </w:r>
      <w:r>
        <w:rPr>
          <w:rFonts w:ascii="inter" w:hAnsi="inter" w:eastAsia="inter" w:cs="inter"/>
          <w:color w:val="000000"/>
        </w:rPr>
        <w:t>——过度频繁的剧烈运动（如每天剧烈运动7天）与科学成绩之间则出现弱负相关，提示“适度、规律的体育活动”对学习更为有利。</w:t>
      </w:r>
      <w:bookmarkStart w:id="42" w:name="fnref29"/>
      <w:bookmarkEnd w:id="4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43" w:name="fnref25_3"/>
      <w:bookmarkEnd w:id="43"/>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5F742444">
      <w:pPr>
        <w:spacing w:after="210" w:line="360" w:lineRule="auto"/>
      </w:pPr>
      <w:r>
        <w:rPr>
          <w:rFonts w:ascii="inter" w:hAnsi="inter" w:eastAsia="inter" w:cs="inter"/>
          <w:color w:val="000000"/>
        </w:rPr>
        <w:t>据欧洲多国干预研究，适度增加校内体育课时（例如丹麦将小学体育课从每周1.5小时提高至4.5小时）在5年随访中显著降低了学生超重与腹型肥胖风险，而对核心学科成绩并未产生系统性负面影响。国际经验一般认为，合理增加青少年体育活动时间，在综合设计时间结构与课程结构的前提下，并不会以牺牲学业质量为代价。</w:t>
      </w:r>
      <w:bookmarkStart w:id="44" w:name="fnref30"/>
      <w:bookmarkEnd w:id="4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45" w:name="fnref31"/>
      <w:bookmarkEnd w:id="45"/>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46" w:name="fnref32"/>
      <w:bookmarkEnd w:id="4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56F73D32">
      <w:pPr>
        <w:spacing w:before="315" w:after="105" w:line="360" w:lineRule="auto"/>
        <w:ind w:left="-30"/>
        <w:jc w:val="left"/>
      </w:pPr>
      <w:bookmarkStart w:id="47" w:name="二_中国学生体育活动时间与体质水平的相对位置"/>
      <w:r>
        <w:rPr>
          <w:rFonts w:ascii="inter" w:hAnsi="inter" w:eastAsia="inter" w:cs="inter"/>
          <w:b/>
          <w:color w:val="000000"/>
          <w:sz w:val="24"/>
        </w:rPr>
        <w:t>（二）中国学生体育活动时间与体质水平的相对位置</w:t>
      </w:r>
      <w:bookmarkEnd w:id="47"/>
    </w:p>
    <w:p w14:paraId="1297B481">
      <w:pPr>
        <w:numPr>
          <w:ilvl w:val="0"/>
          <w:numId w:val="5"/>
        </w:numPr>
        <w:spacing w:before="105" w:after="105" w:line="360" w:lineRule="auto"/>
      </w:pPr>
      <w:r>
        <w:rPr>
          <w:rFonts w:ascii="inter" w:hAnsi="inter" w:eastAsia="inter" w:cs="inter"/>
          <w:color w:val="000000"/>
          <w:sz w:val="21"/>
        </w:rPr>
        <w:t>MVPA与综合体育活动时间的国际对比</w:t>
      </w:r>
    </w:p>
    <w:p w14:paraId="21B83E8F">
      <w:pPr>
        <w:spacing w:after="210" w:line="360" w:lineRule="auto"/>
      </w:pPr>
      <w:r>
        <w:rPr>
          <w:rFonts w:ascii="inter" w:hAnsi="inter" w:eastAsia="inter" w:cs="inter"/>
          <w:color w:val="000000"/>
        </w:rPr>
        <w:t>据《中国儿童青少年身体活动指南》解读，我国儿童青少年被建议“每天至少进行60分钟中高强度身体活动（MVPA）”，但2018年《儿童青少年身体活动报告卡》显示，能达到该推荐量的仅约13.1%，显著低于部分北欧国家和加拿大等发达经济体。从“综合体育活动时间”角度，据北京市2023年中小学生身体活动研究：每天总体身体活动≥2小时的报告率仅为33.1%，即约三分之二的学生未能满足当前国家“2小时”政策要求。</w:t>
      </w:r>
      <w:bookmarkStart w:id="48" w:name="fnref33"/>
      <w:bookmarkEnd w:id="48"/>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49" w:name="fnref16_2"/>
      <w:bookmarkEnd w:id="4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50" w:name="fnref27_1"/>
      <w:bookmarkEnd w:id="5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51" w:name="fnref17_1"/>
      <w:bookmarkEnd w:id="5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52" w:name="fnref26_1"/>
      <w:bookmarkEnd w:id="52"/>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17D316EB">
      <w:pPr>
        <w:spacing w:after="210" w:line="360" w:lineRule="auto"/>
      </w:pPr>
      <w:r>
        <w:rPr>
          <w:rFonts w:ascii="inter" w:hAnsi="inter" w:eastAsia="inter" w:cs="inter"/>
          <w:color w:val="000000"/>
        </w:rPr>
        <w:t>这表明，在政策目标不断抬升的同时，学生实际体育活动时间在全国范围内尚存在较大“执行缺口”，且区域与学段差异明显。</w:t>
      </w:r>
    </w:p>
    <w:p w14:paraId="1283E092">
      <w:pPr>
        <w:numPr>
          <w:ilvl w:val="0"/>
          <w:numId w:val="6"/>
        </w:numPr>
        <w:spacing w:before="105" w:after="105" w:line="360" w:lineRule="auto"/>
      </w:pPr>
      <w:r>
        <w:rPr>
          <w:rFonts w:ascii="inter" w:hAnsi="inter" w:eastAsia="inter" w:cs="inter"/>
          <w:color w:val="000000"/>
          <w:sz w:val="21"/>
        </w:rPr>
        <w:t>制度供给与执行效力之间的“政策执行衰减效应”</w:t>
      </w:r>
    </w:p>
    <w:p w14:paraId="4732758C">
      <w:pPr>
        <w:spacing w:after="210" w:line="360" w:lineRule="auto"/>
      </w:pPr>
      <w:r>
        <w:rPr>
          <w:rFonts w:ascii="inter" w:hAnsi="inter" w:eastAsia="inter" w:cs="inter"/>
          <w:color w:val="000000"/>
        </w:rPr>
        <w:t>历史制度主义与政策执行研究指出，学校体育政策在自上而下传导过程中，往往存在“目标清晰—执行模糊—考核弱化”的典型“政策执行衰减效应”。据对多份学校体育政策文本的文本分析，普遍存在以下问题：</w:t>
      </w:r>
      <w:bookmarkStart w:id="53" w:name="fnref24_1"/>
      <w:bookmarkEnd w:id="5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54" w:name="fnref34"/>
      <w:bookmarkEnd w:id="54"/>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55" w:name="fnref35"/>
      <w:bookmarkEnd w:id="5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1993B407">
      <w:pPr>
        <w:spacing w:after="210" w:line="360" w:lineRule="auto"/>
      </w:pPr>
      <w:r>
        <w:rPr>
          <w:rFonts w:ascii="inter" w:hAnsi="inter" w:eastAsia="inter" w:cs="inter"/>
          <w:color w:val="000000"/>
        </w:rPr>
        <w:t>——“行动语句”信息不充分、执行主体缺位或单一化，导致一线学校难以将宏观目标转化为可操作的时间表、路线图；</w:t>
      </w:r>
      <w:bookmarkStart w:id="56" w:name="fnref23_1"/>
      <w:bookmarkEnd w:id="5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57" w:name="fnref24_2"/>
      <w:bookmarkEnd w:id="5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——“后果语句”不足，缺乏正向激励与负向约束并重的制度设计，“一票否决”等条款在部分地区仅停留在文本层面，执行刚性不足；</w:t>
      </w:r>
      <w:bookmarkStart w:id="58" w:name="fnref34_1"/>
      <w:bookmarkEnd w:id="58"/>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59" w:name="fnref23_2"/>
      <w:bookmarkEnd w:id="59"/>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——在治理结构层面，存在多部门协同治理机制不健全、教育评价体系对体育权重不足、社会力量支持不足等问题，使体育在学校实际工作中的优先级偏低。</w:t>
      </w:r>
      <w:bookmarkStart w:id="60" w:name="fnref35_1"/>
      <w:bookmarkEnd w:id="60"/>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61" w:name="fnref24_3"/>
      <w:bookmarkEnd w:id="6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62" w:name="fnref10_3"/>
      <w:bookmarkEnd w:id="6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B65BFDF">
      <w:pPr>
        <w:spacing w:after="210" w:line="360" w:lineRule="auto"/>
        <w:ind w:left="630"/>
      </w:pPr>
      <w:r>
        <w:rPr>
          <w:rFonts w:ascii="inter" w:hAnsi="inter" w:eastAsia="inter" w:cs="inter"/>
          <w:color w:val="000000"/>
        </w:rPr>
        <w:t>【术语框3：政策执行衰减效应】</w:t>
      </w:r>
      <w:r>
        <w:rPr>
          <w:rFonts w:ascii="inter" w:hAnsi="inter" w:eastAsia="inter" w:cs="inter"/>
          <w:color w:val="000000"/>
        </w:rPr>
        <w:br w:type="textWrapping"/>
      </w:r>
      <w:r>
        <w:rPr>
          <w:rFonts w:ascii="inter" w:hAnsi="inter" w:eastAsia="inter" w:cs="inter"/>
          <w:color w:val="000000"/>
        </w:rPr>
        <w:t>本报告将“政策执行衰减效应”界定为：学校体育政策在宏观制定、部门分解、地方落实和校本实施的各环节中，政策目标强度、执行刚性和资源投入逐级减弱的过程，其典型表现为“文件很硬、执行很软、结果很弱”。</w:t>
      </w:r>
      <w:bookmarkStart w:id="63" w:name="fnref24_4"/>
      <w:bookmarkEnd w:id="6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64" w:name="fnref34_2"/>
      <w:bookmarkEnd w:id="64"/>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105E965C">
      <w:pPr>
        <w:spacing w:after="210" w:line="360" w:lineRule="auto"/>
      </w:pPr>
      <w:r>
        <w:rPr>
          <w:rFonts w:ascii="inter" w:hAnsi="inter" w:eastAsia="inter" w:cs="inter"/>
          <w:color w:val="000000"/>
        </w:rPr>
        <w:t>在此意义上，“每天综合体育活动2小时”一般而言不仅是时间指标，而是对既有教育教学秩序和资源配置模式的一次结构性重构。</w:t>
      </w:r>
    </w:p>
    <w:p w14:paraId="47ED675E">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0116C7EE">
      <w:pPr>
        <w:spacing w:before="315" w:after="105" w:line="360" w:lineRule="auto"/>
        <w:ind w:left="-30"/>
        <w:jc w:val="left"/>
      </w:pPr>
      <w:bookmarkStart w:id="65" w:name="三_现状评估_综合体育活动时间与体质健康资本"/>
      <w:r>
        <w:rPr>
          <w:rFonts w:ascii="inter" w:hAnsi="inter" w:eastAsia="inter" w:cs="inter"/>
          <w:b/>
          <w:color w:val="000000"/>
          <w:sz w:val="24"/>
        </w:rPr>
        <w:t>三、现状评估：综合体育活动时间与体质健康资本</w:t>
      </w:r>
      <w:bookmarkEnd w:id="65"/>
    </w:p>
    <w:p w14:paraId="160EA54E">
      <w:pPr>
        <w:spacing w:before="315" w:after="105" w:line="360" w:lineRule="auto"/>
        <w:ind w:left="-30"/>
        <w:jc w:val="left"/>
      </w:pPr>
      <w:bookmarkStart w:id="66" w:name="一_概念界定_综合体育活动时间"/>
      <w:r>
        <w:rPr>
          <w:rFonts w:ascii="inter" w:hAnsi="inter" w:eastAsia="inter" w:cs="inter"/>
          <w:b/>
          <w:color w:val="000000"/>
          <w:sz w:val="24"/>
        </w:rPr>
        <w:t>（一）概念界定：综合体育活动时间</w:t>
      </w:r>
      <w:bookmarkEnd w:id="66"/>
    </w:p>
    <w:p w14:paraId="2E1B102C">
      <w:pPr>
        <w:spacing w:after="210" w:line="360" w:lineRule="auto"/>
      </w:pPr>
      <w:r>
        <w:rPr>
          <w:rFonts w:ascii="inter" w:hAnsi="inter" w:eastAsia="inter" w:cs="inter"/>
          <w:color w:val="000000"/>
        </w:rPr>
        <w:t>《教育强国建设规划纲要》和教育部相关解读将“中小学生每天综合体育活动时间不低于2小时”界定为：包括体育与健康课程、大课间体育活动、课间活动、课后服务及校外体育活动在内的所有符合一定强度标准的体育活动时间总和，其中既包含校内，也包括校外，但总体指向的是中小学阶段学生的系统性体育锻炼时间。</w:t>
      </w:r>
      <w:bookmarkStart w:id="67" w:name="fnref18_1"/>
      <w:bookmarkEnd w:id="6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68" w:name="fnref36"/>
      <w:bookmarkEnd w:id="68"/>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69" w:name="fnref17_2"/>
      <w:bookmarkEnd w:id="6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C01E706">
      <w:pPr>
        <w:spacing w:after="210" w:line="360" w:lineRule="auto"/>
        <w:ind w:left="630"/>
      </w:pPr>
      <w:r>
        <w:rPr>
          <w:rFonts w:ascii="inter" w:hAnsi="inter" w:eastAsia="inter" w:cs="inter"/>
          <w:color w:val="000000"/>
        </w:rPr>
        <w:t>【术语框4：综合体育活动时间】</w:t>
      </w:r>
      <w:r>
        <w:rPr>
          <w:rFonts w:ascii="inter" w:hAnsi="inter" w:eastAsia="inter" w:cs="inter"/>
          <w:color w:val="000000"/>
        </w:rPr>
        <w:br w:type="textWrapping"/>
      </w:r>
      <w:r>
        <w:rPr>
          <w:rFonts w:ascii="inter" w:hAnsi="inter" w:eastAsia="inter" w:cs="inter"/>
          <w:color w:val="000000"/>
        </w:rPr>
        <w:t>综合体育活动时间是指学生在一个学习日内，以健康促进为目的、达到一定身体活动强度阈值的体育与运动时间总和，涵盖课堂体育、课间与大课间活动、课后体育服务及家庭与社区中的体育锻炼活动，不包括纯被动休闲或低强度静态活动时间。</w:t>
      </w:r>
      <w:bookmarkStart w:id="70" w:name="fnref17_3"/>
      <w:bookmarkEnd w:id="7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71" w:name="fnref18_2"/>
      <w:bookmarkEnd w:id="71"/>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72" w:name="fnref2_3"/>
      <w:bookmarkEnd w:id="7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FAFBA76">
      <w:pPr>
        <w:spacing w:before="315" w:after="105" w:line="360" w:lineRule="auto"/>
        <w:ind w:left="-30"/>
        <w:jc w:val="left"/>
      </w:pPr>
      <w:bookmarkStart w:id="73" w:name="二_各学段_区域综合体育活动时间差异_数据与复杂性说明"/>
      <w:r>
        <w:rPr>
          <w:rFonts w:ascii="inter" w:hAnsi="inter" w:eastAsia="inter" w:cs="inter"/>
          <w:b/>
          <w:color w:val="000000"/>
          <w:sz w:val="24"/>
        </w:rPr>
        <w:t>（二）各学段、区域综合体育活动时间差异（数据与复杂性说明）</w:t>
      </w:r>
      <w:bookmarkEnd w:id="73"/>
    </w:p>
    <w:p w14:paraId="0EBDA566">
      <w:pPr>
        <w:spacing w:after="210" w:line="360" w:lineRule="auto"/>
      </w:pPr>
      <w:r>
        <w:rPr>
          <w:rFonts w:ascii="inter" w:hAnsi="inter" w:eastAsia="inter" w:cs="inter"/>
          <w:color w:val="000000"/>
        </w:rPr>
        <w:t>鉴于目前国内尚缺乏统一口径的全国性“综合体育活动时间”监测体系，现阶段相关数据多来源于分地区、分学段的专项调查或以MVPA为代理指标的研究。一般而言，各地在调查指标、样本范围和统计口径上存在明显差异，为后续政策设计留下了一定“弹性空间”。</w:t>
      </w:r>
      <w:bookmarkStart w:id="74" w:name="fnref37"/>
      <w:bookmarkEnd w:id="7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75" w:name="fnref16_3"/>
      <w:bookmarkEnd w:id="7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76" w:name="fnref33_1"/>
      <w:bookmarkEnd w:id="76"/>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1100C76C">
      <w:pPr>
        <w:spacing w:after="210" w:line="360" w:lineRule="auto"/>
      </w:pPr>
      <w:r>
        <w:rPr>
          <w:rFonts w:ascii="inter" w:hAnsi="inter" w:eastAsia="inter" w:cs="inter"/>
          <w:b/>
          <w:color w:val="000000"/>
        </w:rPr>
        <w:t>表1 典型地区与学段学生体育活动时间指标对比（示例性汇总）</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26"/>
        <w:gridCol w:w="1200"/>
        <w:gridCol w:w="1885"/>
        <w:gridCol w:w="3412"/>
        <w:gridCol w:w="1917"/>
      </w:tblGrid>
      <w:tr w14:paraId="1C9CA6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F0336DF">
            <w:pPr>
              <w:spacing w:after="0" w:line="360" w:lineRule="auto"/>
            </w:pPr>
            <w:r>
              <w:rPr>
                <w:rFonts w:ascii="inter" w:hAnsi="inter" w:eastAsia="inter" w:cs="inter"/>
                <w:color w:val="000000"/>
                <w:sz w:val="17"/>
              </w:rPr>
              <w:t>地区/国家</w:t>
            </w:r>
          </w:p>
        </w:tc>
        <w:tc>
          <w:tcPr>
            <w:tcBorders>
              <w:top w:val="single" w:color="000000" w:sz="0" w:space="0"/>
              <w:bottom w:val="single" w:color="000000" w:sz="0" w:space="0"/>
              <w:right w:val="single" w:color="000000" w:sz="0" w:space="0"/>
            </w:tcBorders>
          </w:tcPr>
          <w:p w14:paraId="2434414B">
            <w:pPr>
              <w:spacing w:after="0" w:line="360" w:lineRule="auto"/>
            </w:pPr>
            <w:r>
              <w:rPr>
                <w:rFonts w:ascii="inter" w:hAnsi="inter" w:eastAsia="inter" w:cs="inter"/>
                <w:color w:val="000000"/>
                <w:sz w:val="17"/>
              </w:rPr>
              <w:t>学段</w:t>
            </w:r>
          </w:p>
        </w:tc>
        <w:tc>
          <w:tcPr>
            <w:tcBorders>
              <w:top w:val="single" w:color="000000" w:sz="0" w:space="0"/>
              <w:bottom w:val="single" w:color="000000" w:sz="0" w:space="0"/>
              <w:right w:val="single" w:color="000000" w:sz="0" w:space="0"/>
            </w:tcBorders>
          </w:tcPr>
          <w:p w14:paraId="7E1293BF">
            <w:pPr>
              <w:spacing w:after="0" w:line="360" w:lineRule="auto"/>
            </w:pPr>
            <w:r>
              <w:rPr>
                <w:rFonts w:ascii="inter" w:hAnsi="inter" w:eastAsia="inter" w:cs="inter"/>
                <w:color w:val="000000"/>
                <w:sz w:val="17"/>
              </w:rPr>
              <w:t>指标口径</w:t>
            </w:r>
          </w:p>
        </w:tc>
        <w:tc>
          <w:tcPr>
            <w:tcBorders>
              <w:top w:val="single" w:color="000000" w:sz="0" w:space="0"/>
              <w:bottom w:val="single" w:color="000000" w:sz="0" w:space="0"/>
              <w:right w:val="single" w:color="000000" w:sz="0" w:space="0"/>
            </w:tcBorders>
          </w:tcPr>
          <w:p w14:paraId="70F88B9F">
            <w:pPr>
              <w:spacing w:after="0" w:line="360" w:lineRule="auto"/>
            </w:pPr>
            <w:r>
              <w:rPr>
                <w:rFonts w:ascii="inter" w:hAnsi="inter" w:eastAsia="inter" w:cs="inter"/>
                <w:color w:val="000000"/>
                <w:sz w:val="17"/>
              </w:rPr>
              <w:t>主要数值（最新可得）</w:t>
            </w:r>
          </w:p>
        </w:tc>
        <w:tc>
          <w:tcPr>
            <w:tcBorders>
              <w:top w:val="single" w:color="000000" w:sz="0" w:space="0"/>
              <w:bottom w:val="single" w:color="000000" w:sz="0" w:space="0"/>
            </w:tcBorders>
          </w:tcPr>
          <w:p w14:paraId="1D303B3D">
            <w:pPr>
              <w:spacing w:after="0" w:line="360" w:lineRule="auto"/>
            </w:pPr>
            <w:r>
              <w:rPr>
                <w:rFonts w:ascii="inter" w:hAnsi="inter" w:eastAsia="inter" w:cs="inter"/>
                <w:color w:val="000000"/>
                <w:sz w:val="17"/>
              </w:rPr>
              <w:t>数据来源与备注</w:t>
            </w:r>
          </w:p>
        </w:tc>
      </w:tr>
      <w:tr w14:paraId="3859F9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6757B7">
            <w:pPr>
              <w:spacing w:after="0" w:line="360" w:lineRule="auto"/>
            </w:pPr>
            <w:r>
              <w:rPr>
                <w:rFonts w:ascii="inter" w:hAnsi="inter" w:eastAsia="inter" w:cs="inter"/>
                <w:color w:val="000000"/>
                <w:sz w:val="17"/>
              </w:rPr>
              <w:t>北京市</w:t>
            </w:r>
          </w:p>
        </w:tc>
        <w:tc>
          <w:tcPr>
            <w:tcBorders>
              <w:top w:val="single" w:color="000000" w:sz="0" w:space="0"/>
              <w:bottom w:val="single" w:color="000000" w:sz="0" w:space="0"/>
              <w:right w:val="single" w:color="000000" w:sz="0" w:space="0"/>
            </w:tcBorders>
          </w:tcPr>
          <w:p w14:paraId="79DFC815">
            <w:pPr>
              <w:spacing w:after="0" w:line="360" w:lineRule="auto"/>
            </w:pPr>
            <w:r>
              <w:rPr>
                <w:rFonts w:ascii="inter" w:hAnsi="inter" w:eastAsia="inter" w:cs="inter"/>
                <w:color w:val="000000"/>
                <w:sz w:val="17"/>
              </w:rPr>
              <w:t>小学+初中</w:t>
            </w:r>
          </w:p>
        </w:tc>
        <w:tc>
          <w:tcPr>
            <w:tcBorders>
              <w:top w:val="single" w:color="000000" w:sz="0" w:space="0"/>
              <w:bottom w:val="single" w:color="000000" w:sz="0" w:space="0"/>
              <w:right w:val="single" w:color="000000" w:sz="0" w:space="0"/>
            </w:tcBorders>
          </w:tcPr>
          <w:p w14:paraId="2EACF0C1">
            <w:pPr>
              <w:spacing w:after="0" w:line="360" w:lineRule="auto"/>
            </w:pPr>
            <w:r>
              <w:rPr>
                <w:rFonts w:ascii="inter" w:hAnsi="inter" w:eastAsia="inter" w:cs="inter"/>
                <w:color w:val="000000"/>
                <w:sz w:val="17"/>
              </w:rPr>
              <w:t>每天总体身体活动≥2小时报告率</w:t>
            </w:r>
          </w:p>
        </w:tc>
        <w:tc>
          <w:tcPr>
            <w:tcBorders>
              <w:top w:val="single" w:color="000000" w:sz="0" w:space="0"/>
              <w:bottom w:val="single" w:color="000000" w:sz="0" w:space="0"/>
              <w:right w:val="single" w:color="000000" w:sz="0" w:space="0"/>
            </w:tcBorders>
          </w:tcPr>
          <w:p w14:paraId="13277A0E">
            <w:pPr>
              <w:spacing w:after="0" w:line="360" w:lineRule="auto"/>
            </w:pPr>
            <w:r>
              <w:rPr>
                <w:rFonts w:ascii="inter" w:hAnsi="inter" w:eastAsia="inter" w:cs="inter"/>
                <w:color w:val="000000"/>
                <w:sz w:val="17"/>
              </w:rPr>
              <w:t>总体33.1%；小学41.7%，初中24.6%</w:t>
            </w:r>
            <w:r>
              <w:fldChar w:fldCharType="begin"/>
            </w:r>
            <w:r>
              <w:instrText xml:space="preserve"> HYPERLINK \l "fn33" \h </w:instrText>
            </w:r>
            <w:r>
              <w:fldChar w:fldCharType="separate"/>
            </w:r>
            <w:r>
              <w:rPr>
                <w:rFonts w:ascii="inter" w:hAnsi="inter" w:eastAsia="inter" w:cs="inter"/>
                <w:color w:val="000000"/>
                <w:sz w:val="17"/>
                <w:u w:val="single"/>
                <w:vertAlign w:val="superscript"/>
              </w:rPr>
              <w:t>[33]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24EA3C25">
            <w:pPr>
              <w:spacing w:after="0" w:line="360" w:lineRule="auto"/>
            </w:pPr>
            <w:r>
              <w:rPr>
                <w:rFonts w:ascii="inter" w:hAnsi="inter" w:eastAsia="inter" w:cs="inter"/>
                <w:color w:val="000000"/>
                <w:sz w:val="17"/>
              </w:rPr>
              <w:t>2023年北京市中小学生身体活动研究</w:t>
            </w:r>
          </w:p>
        </w:tc>
      </w:tr>
      <w:tr w14:paraId="7A9E6B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5DAB0A1">
            <w:pPr>
              <w:spacing w:after="0" w:line="360" w:lineRule="auto"/>
            </w:pPr>
            <w:r>
              <w:rPr>
                <w:rFonts w:ascii="inter" w:hAnsi="inter" w:eastAsia="inter" w:cs="inter"/>
                <w:color w:val="000000"/>
                <w:sz w:val="17"/>
              </w:rPr>
              <w:t>全国（城市+农村样本）</w:t>
            </w:r>
          </w:p>
        </w:tc>
        <w:tc>
          <w:tcPr>
            <w:tcBorders>
              <w:top w:val="single" w:color="000000" w:sz="0" w:space="0"/>
              <w:bottom w:val="single" w:color="000000" w:sz="0" w:space="0"/>
              <w:right w:val="single" w:color="000000" w:sz="0" w:space="0"/>
            </w:tcBorders>
          </w:tcPr>
          <w:p w14:paraId="41BF6F3A">
            <w:pPr>
              <w:spacing w:after="0" w:line="360" w:lineRule="auto"/>
            </w:pPr>
            <w:r>
              <w:rPr>
                <w:rFonts w:ascii="inter" w:hAnsi="inter" w:eastAsia="inter" w:cs="inter"/>
                <w:color w:val="000000"/>
                <w:sz w:val="17"/>
              </w:rPr>
              <w:t>6–18岁</w:t>
            </w:r>
          </w:p>
        </w:tc>
        <w:tc>
          <w:tcPr>
            <w:tcBorders>
              <w:top w:val="single" w:color="000000" w:sz="0" w:space="0"/>
              <w:bottom w:val="single" w:color="000000" w:sz="0" w:space="0"/>
              <w:right w:val="single" w:color="000000" w:sz="0" w:space="0"/>
            </w:tcBorders>
          </w:tcPr>
          <w:p w14:paraId="490E6AE3">
            <w:pPr>
              <w:spacing w:after="0" w:line="360" w:lineRule="auto"/>
            </w:pPr>
            <w:r>
              <w:rPr>
                <w:rFonts w:ascii="inter" w:hAnsi="inter" w:eastAsia="inter" w:cs="inter"/>
                <w:color w:val="000000"/>
                <w:sz w:val="17"/>
              </w:rPr>
              <w:t>每天60分钟MVPA达标率</w:t>
            </w:r>
          </w:p>
        </w:tc>
        <w:tc>
          <w:tcPr>
            <w:tcBorders>
              <w:top w:val="single" w:color="000000" w:sz="0" w:space="0"/>
              <w:bottom w:val="single" w:color="000000" w:sz="0" w:space="0"/>
              <w:right w:val="single" w:color="000000" w:sz="0" w:space="0"/>
            </w:tcBorders>
          </w:tcPr>
          <w:p w14:paraId="790BAEDF">
            <w:pPr>
              <w:spacing w:after="0" w:line="360" w:lineRule="auto"/>
            </w:pPr>
            <w:r>
              <w:rPr>
                <w:rFonts w:ascii="inter" w:hAnsi="inter" w:eastAsia="inter" w:cs="inter"/>
                <w:color w:val="000000"/>
                <w:sz w:val="17"/>
              </w:rPr>
              <w:t>约13.1%儿童青少年能达到每日60分钟MVPA推荐量</w:t>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CF9B1D6">
            <w:pPr>
              <w:spacing w:after="0" w:line="360" w:lineRule="auto"/>
            </w:pPr>
            <w:r>
              <w:rPr>
                <w:rFonts w:ascii="inter" w:hAnsi="inter" w:eastAsia="inter" w:cs="inter"/>
                <w:color w:val="000000"/>
                <w:sz w:val="17"/>
              </w:rPr>
              <w:t>加速度计客观测量，样本1752人</w:t>
            </w:r>
          </w:p>
        </w:tc>
      </w:tr>
      <w:tr w14:paraId="3B933B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46749ED">
            <w:pPr>
              <w:spacing w:after="0" w:line="360" w:lineRule="auto"/>
            </w:pPr>
            <w:r>
              <w:rPr>
                <w:rFonts w:ascii="inter" w:hAnsi="inter" w:eastAsia="inter" w:cs="inter"/>
                <w:color w:val="000000"/>
                <w:sz w:val="17"/>
              </w:rPr>
              <w:t>全国（9–15岁）</w:t>
            </w:r>
          </w:p>
        </w:tc>
        <w:tc>
          <w:tcPr>
            <w:tcBorders>
              <w:top w:val="single" w:color="000000" w:sz="0" w:space="0"/>
              <w:bottom w:val="single" w:color="000000" w:sz="0" w:space="0"/>
              <w:right w:val="single" w:color="000000" w:sz="0" w:space="0"/>
            </w:tcBorders>
          </w:tcPr>
          <w:p w14:paraId="4C83E8E2">
            <w:pPr>
              <w:spacing w:after="0" w:line="360" w:lineRule="auto"/>
            </w:pPr>
            <w:r>
              <w:rPr>
                <w:rFonts w:ascii="inter" w:hAnsi="inter" w:eastAsia="inter" w:cs="inter"/>
                <w:color w:val="000000"/>
                <w:sz w:val="17"/>
              </w:rPr>
              <w:t>小学高年级+初中</w:t>
            </w:r>
          </w:p>
        </w:tc>
        <w:tc>
          <w:tcPr>
            <w:tcBorders>
              <w:top w:val="single" w:color="000000" w:sz="0" w:space="0"/>
              <w:bottom w:val="single" w:color="000000" w:sz="0" w:space="0"/>
              <w:right w:val="single" w:color="000000" w:sz="0" w:space="0"/>
            </w:tcBorders>
          </w:tcPr>
          <w:p w14:paraId="13F6D322">
            <w:pPr>
              <w:spacing w:after="0" w:line="360" w:lineRule="auto"/>
            </w:pPr>
            <w:r>
              <w:rPr>
                <w:rFonts w:ascii="inter" w:hAnsi="inter" w:eastAsia="inter" w:cs="inter"/>
                <w:color w:val="000000"/>
                <w:sz w:val="17"/>
              </w:rPr>
              <w:t>在校每天体育活动≥1小时报告率</w:t>
            </w:r>
          </w:p>
        </w:tc>
        <w:tc>
          <w:tcPr>
            <w:tcBorders>
              <w:top w:val="single" w:color="000000" w:sz="0" w:space="0"/>
              <w:bottom w:val="single" w:color="000000" w:sz="0" w:space="0"/>
              <w:right w:val="single" w:color="000000" w:sz="0" w:space="0"/>
            </w:tcBorders>
          </w:tcPr>
          <w:p w14:paraId="33A54DBC">
            <w:pPr>
              <w:spacing w:after="0" w:line="360" w:lineRule="auto"/>
            </w:pPr>
            <w:r>
              <w:rPr>
                <w:rFonts w:ascii="inter" w:hAnsi="inter" w:eastAsia="inter" w:cs="inter"/>
                <w:color w:val="000000"/>
                <w:sz w:val="17"/>
              </w:rPr>
              <w:t>2019年全国平均：9–12岁52.8%，13–15岁41.2%</w:t>
            </w:r>
            <w:r>
              <w:fldChar w:fldCharType="begin"/>
            </w:r>
            <w:r>
              <w:instrText xml:space="preserve"> HYPERLINK \l "fn33" \h </w:instrText>
            </w:r>
            <w:r>
              <w:fldChar w:fldCharType="separate"/>
            </w:r>
            <w:r>
              <w:rPr>
                <w:rFonts w:ascii="inter" w:hAnsi="inter" w:eastAsia="inter" w:cs="inter"/>
                <w:color w:val="000000"/>
                <w:sz w:val="17"/>
                <w:u w:val="single"/>
                <w:vertAlign w:val="superscript"/>
              </w:rPr>
              <w:t>[33]</w:t>
            </w:r>
            <w:r>
              <w:rPr>
                <w:rFonts w:ascii="inter" w:hAnsi="inter" w:eastAsia="inter" w:cs="inter"/>
                <w:color w:val="000000"/>
                <w:sz w:val="17"/>
                <w:u w:val="single"/>
                <w:vertAlign w:val="superscript"/>
              </w:rPr>
              <w:fldChar w:fldCharType="end"/>
            </w:r>
            <w:r>
              <w:fldChar w:fldCharType="begin"/>
            </w:r>
            <w:r>
              <w:instrText xml:space="preserve"> HYPERLINK \l "fn38" \h </w:instrText>
            </w:r>
            <w:r>
              <w:fldChar w:fldCharType="separate"/>
            </w:r>
            <w:r>
              <w:rPr>
                <w:rFonts w:ascii="inter" w:hAnsi="inter" w:eastAsia="inter" w:cs="inter"/>
                <w:color w:val="000000"/>
                <w:sz w:val="17"/>
                <w:u w:val="single"/>
                <w:vertAlign w:val="superscript"/>
              </w:rPr>
              <w:t>[38]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A2B9C77">
            <w:pPr>
              <w:spacing w:after="0" w:line="360" w:lineRule="auto"/>
            </w:pPr>
            <w:r>
              <w:rPr>
                <w:rFonts w:ascii="inter" w:hAnsi="inter" w:eastAsia="inter" w:cs="inter"/>
                <w:color w:val="000000"/>
                <w:sz w:val="17"/>
              </w:rPr>
              <w:t>“全国学生体质与健康”相关调研</w:t>
            </w:r>
          </w:p>
        </w:tc>
      </w:tr>
      <w:tr w14:paraId="56BD1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10C6927">
            <w:pPr>
              <w:spacing w:after="0" w:line="360" w:lineRule="auto"/>
            </w:pPr>
            <w:r>
              <w:rPr>
                <w:rFonts w:ascii="inter" w:hAnsi="inter" w:eastAsia="inter" w:cs="inter"/>
                <w:color w:val="000000"/>
                <w:sz w:val="17"/>
              </w:rPr>
              <w:t>世界平均</w:t>
            </w:r>
          </w:p>
        </w:tc>
        <w:tc>
          <w:tcPr>
            <w:tcBorders>
              <w:top w:val="single" w:color="000000" w:sz="0" w:space="0"/>
              <w:bottom w:val="single" w:color="000000" w:sz="0" w:space="0"/>
              <w:right w:val="single" w:color="000000" w:sz="0" w:space="0"/>
            </w:tcBorders>
          </w:tcPr>
          <w:p w14:paraId="380EA1CC">
            <w:pPr>
              <w:spacing w:after="0" w:line="360" w:lineRule="auto"/>
            </w:pPr>
            <w:r>
              <w:rPr>
                <w:rFonts w:ascii="inter" w:hAnsi="inter" w:eastAsia="inter" w:cs="inter"/>
                <w:color w:val="000000"/>
                <w:sz w:val="17"/>
              </w:rPr>
              <w:t>11–17岁</w:t>
            </w:r>
          </w:p>
        </w:tc>
        <w:tc>
          <w:tcPr>
            <w:tcBorders>
              <w:top w:val="single" w:color="000000" w:sz="0" w:space="0"/>
              <w:bottom w:val="single" w:color="000000" w:sz="0" w:space="0"/>
              <w:right w:val="single" w:color="000000" w:sz="0" w:space="0"/>
            </w:tcBorders>
          </w:tcPr>
          <w:p w14:paraId="2B85A40E">
            <w:pPr>
              <w:spacing w:after="0" w:line="360" w:lineRule="auto"/>
            </w:pPr>
            <w:r>
              <w:rPr>
                <w:rFonts w:ascii="inter" w:hAnsi="inter" w:eastAsia="inter" w:cs="inter"/>
                <w:color w:val="000000"/>
                <w:sz w:val="17"/>
              </w:rPr>
              <w:t>每天≥60分钟中高强度活动达标率</w:t>
            </w:r>
          </w:p>
        </w:tc>
        <w:tc>
          <w:tcPr>
            <w:tcBorders>
              <w:top w:val="single" w:color="000000" w:sz="0" w:space="0"/>
              <w:bottom w:val="single" w:color="000000" w:sz="0" w:space="0"/>
              <w:right w:val="single" w:color="000000" w:sz="0" w:space="0"/>
            </w:tcBorders>
          </w:tcPr>
          <w:p w14:paraId="29C3A04B">
            <w:pPr>
              <w:spacing w:after="0" w:line="360" w:lineRule="auto"/>
            </w:pPr>
            <w:r>
              <w:rPr>
                <w:rFonts w:ascii="inter" w:hAnsi="inter" w:eastAsia="inter" w:cs="inter"/>
                <w:color w:val="000000"/>
                <w:sz w:val="17"/>
              </w:rPr>
              <w:t>全球不足20%，中国青少年身体活动不足率约84.3%</w:t>
            </w:r>
            <w:r>
              <w:fldChar w:fldCharType="begin"/>
            </w:r>
            <w:r>
              <w:instrText xml:space="preserve"> HYPERLINK \l "fn27" \h </w:instrText>
            </w:r>
            <w:r>
              <w:fldChar w:fldCharType="separate"/>
            </w:r>
            <w:r>
              <w:rPr>
                <w:rFonts w:ascii="inter" w:hAnsi="inter" w:eastAsia="inter" w:cs="inter"/>
                <w:color w:val="000000"/>
                <w:sz w:val="17"/>
                <w:u w:val="single"/>
                <w:vertAlign w:val="superscript"/>
              </w:rPr>
              <w:t>[27]</w:t>
            </w:r>
            <w:r>
              <w:rPr>
                <w:rFonts w:ascii="inter" w:hAnsi="inter" w:eastAsia="inter" w:cs="inter"/>
                <w:color w:val="000000"/>
                <w:sz w:val="17"/>
                <w:u w:val="single"/>
                <w:vertAlign w:val="superscript"/>
              </w:rPr>
              <w:fldChar w:fldCharType="end"/>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5911EEA4">
            <w:pPr>
              <w:spacing w:after="0" w:line="360" w:lineRule="auto"/>
            </w:pPr>
            <w:r>
              <w:rPr>
                <w:rFonts w:ascii="inter" w:hAnsi="inter" w:eastAsia="inter" w:cs="inter"/>
                <w:color w:val="000000"/>
                <w:sz w:val="17"/>
              </w:rPr>
              <w:t>WHO主导多国监测及相关报道</w:t>
            </w:r>
          </w:p>
        </w:tc>
      </w:tr>
      <w:tr w14:paraId="5E35EE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68776A2">
            <w:pPr>
              <w:spacing w:after="0" w:line="360" w:lineRule="auto"/>
            </w:pPr>
            <w:r>
              <w:rPr>
                <w:rFonts w:ascii="inter" w:hAnsi="inter" w:eastAsia="inter" w:cs="inter"/>
                <w:color w:val="000000"/>
                <w:sz w:val="17"/>
              </w:rPr>
              <w:t>若干省市政策安排</w:t>
            </w:r>
          </w:p>
        </w:tc>
        <w:tc>
          <w:tcPr>
            <w:tcBorders>
              <w:top w:val="single" w:color="000000" w:sz="0" w:space="0"/>
              <w:bottom w:val="single" w:color="000000" w:sz="0" w:space="0"/>
              <w:right w:val="single" w:color="000000" w:sz="0" w:space="0"/>
            </w:tcBorders>
          </w:tcPr>
          <w:p w14:paraId="5EC30ADA">
            <w:pPr>
              <w:spacing w:after="0" w:line="360" w:lineRule="auto"/>
            </w:pPr>
            <w:r>
              <w:rPr>
                <w:rFonts w:ascii="inter" w:hAnsi="inter" w:eastAsia="inter" w:cs="inter"/>
                <w:color w:val="000000"/>
                <w:sz w:val="17"/>
              </w:rPr>
              <w:t>义务教育+高中</w:t>
            </w:r>
          </w:p>
        </w:tc>
        <w:tc>
          <w:tcPr>
            <w:tcBorders>
              <w:top w:val="single" w:color="000000" w:sz="0" w:space="0"/>
              <w:bottom w:val="single" w:color="000000" w:sz="0" w:space="0"/>
              <w:right w:val="single" w:color="000000" w:sz="0" w:space="0"/>
            </w:tcBorders>
          </w:tcPr>
          <w:p w14:paraId="44C98D82">
            <w:pPr>
              <w:spacing w:after="0" w:line="360" w:lineRule="auto"/>
            </w:pPr>
            <w:r>
              <w:rPr>
                <w:rFonts w:ascii="inter" w:hAnsi="inter" w:eastAsia="inter" w:cs="inter"/>
                <w:color w:val="000000"/>
                <w:sz w:val="17"/>
              </w:rPr>
              <w:t>“2小时”政策设计的时间结构（非实测值）</w:t>
            </w:r>
          </w:p>
        </w:tc>
        <w:tc>
          <w:tcPr>
            <w:tcBorders>
              <w:top w:val="single" w:color="000000" w:sz="0" w:space="0"/>
              <w:bottom w:val="single" w:color="000000" w:sz="0" w:space="0"/>
              <w:right w:val="single" w:color="000000" w:sz="0" w:space="0"/>
            </w:tcBorders>
          </w:tcPr>
          <w:p w14:paraId="0B33D454">
            <w:pPr>
              <w:spacing w:after="0" w:line="360" w:lineRule="auto"/>
            </w:pPr>
            <w:r>
              <w:rPr>
                <w:rFonts w:ascii="inter" w:hAnsi="inter" w:eastAsia="inter" w:cs="inter"/>
                <w:color w:val="000000"/>
                <w:sz w:val="17"/>
              </w:rPr>
              <w:t>多地设计为：1节体育课+1个大课间+课间活动+课后体育服务，总时长≥2小时</w:t>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r>
              <w:fldChar w:fldCharType="begin"/>
            </w:r>
            <w:r>
              <w:instrText xml:space="preserve"> HYPERLINK \l "fn40" \h </w:instrText>
            </w:r>
            <w:r>
              <w:fldChar w:fldCharType="separate"/>
            </w:r>
            <w:r>
              <w:rPr>
                <w:rFonts w:ascii="inter" w:hAnsi="inter" w:eastAsia="inter" w:cs="inter"/>
                <w:color w:val="000000"/>
                <w:sz w:val="17"/>
                <w:u w:val="single"/>
                <w:vertAlign w:val="superscript"/>
              </w:rPr>
              <w:t>[40]</w:t>
            </w:r>
            <w:r>
              <w:rPr>
                <w:rFonts w:ascii="inter" w:hAnsi="inter" w:eastAsia="inter" w:cs="inter"/>
                <w:color w:val="000000"/>
                <w:sz w:val="17"/>
                <w:u w:val="single"/>
                <w:vertAlign w:val="superscript"/>
              </w:rPr>
              <w:fldChar w:fldCharType="end"/>
            </w:r>
            <w:r>
              <w:fldChar w:fldCharType="begin"/>
            </w:r>
            <w:r>
              <w:instrText xml:space="preserve"> HYPERLINK \l "fn41" \h </w:instrText>
            </w:r>
            <w:r>
              <w:fldChar w:fldCharType="separate"/>
            </w:r>
            <w:r>
              <w:rPr>
                <w:rFonts w:ascii="inter" w:hAnsi="inter" w:eastAsia="inter" w:cs="inter"/>
                <w:color w:val="000000"/>
                <w:sz w:val="17"/>
                <w:u w:val="single"/>
                <w:vertAlign w:val="superscript"/>
              </w:rPr>
              <w:t>[41]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650D450">
            <w:pPr>
              <w:spacing w:after="0" w:line="360" w:lineRule="auto"/>
            </w:pPr>
            <w:r>
              <w:rPr>
                <w:rFonts w:ascii="inter" w:hAnsi="inter" w:eastAsia="inter" w:cs="inter"/>
                <w:color w:val="000000"/>
                <w:sz w:val="17"/>
              </w:rPr>
              <w:t>主要为制度设计，尚缺统一量化执行效果数据</w:t>
            </w:r>
          </w:p>
        </w:tc>
      </w:tr>
    </w:tbl>
    <w:p w14:paraId="230D9705"/>
    <w:p w14:paraId="56BADED2">
      <w:pPr>
        <w:spacing w:after="210" w:line="360" w:lineRule="auto"/>
      </w:pPr>
      <w:r>
        <w:rPr>
          <w:rFonts w:ascii="inter" w:hAnsi="inter" w:eastAsia="inter" w:cs="inter"/>
          <w:color w:val="000000"/>
        </w:rPr>
        <w:t>从表1可以看出：</w:t>
      </w:r>
    </w:p>
    <w:p w14:paraId="7E6BDB16">
      <w:pPr>
        <w:numPr>
          <w:ilvl w:val="0"/>
          <w:numId w:val="7"/>
        </w:numPr>
        <w:spacing w:before="105" w:after="105" w:line="360" w:lineRule="auto"/>
      </w:pPr>
      <w:r>
        <w:rPr>
          <w:rFonts w:ascii="inter" w:hAnsi="inter" w:eastAsia="inter" w:cs="inter"/>
          <w:color w:val="000000"/>
          <w:sz w:val="21"/>
        </w:rPr>
        <w:t>不同研究采用了“总体身体活动时间”“MVPA时长”“在校体育活动时间”等不同指标口径，且既有主观问卷，也有客观监测，导致数据在绝对水平上不可简单进行横向比较；</w:t>
      </w:r>
      <w:bookmarkStart w:id="77" w:name="fnref16_5"/>
      <w:bookmarkEnd w:id="77"/>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78" w:name="fnref33_4"/>
      <w:bookmarkEnd w:id="78"/>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48E05A9A">
      <w:pPr>
        <w:numPr>
          <w:ilvl w:val="0"/>
          <w:numId w:val="7"/>
        </w:numPr>
        <w:spacing w:before="105" w:after="105" w:line="360" w:lineRule="auto"/>
      </w:pPr>
      <w:r>
        <w:rPr>
          <w:rFonts w:ascii="inter" w:hAnsi="inter" w:eastAsia="inter" w:cs="inter"/>
          <w:color w:val="000000"/>
          <w:sz w:val="21"/>
        </w:rPr>
        <w:t>在可比口径下，一般而言小学生的体育活动时间显著高于初中生，初中阶段“体育时间被学业挤压”的现象尤为突出；</w:t>
      </w:r>
      <w:bookmarkStart w:id="79" w:name="fnref33_5"/>
      <w:bookmarkEnd w:id="79"/>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80" w:name="fnref16_6"/>
      <w:bookmarkEnd w:id="80"/>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31483C66">
      <w:pPr>
        <w:numPr>
          <w:ilvl w:val="0"/>
          <w:numId w:val="7"/>
        </w:numPr>
        <w:spacing w:before="105" w:after="105" w:line="360" w:lineRule="auto"/>
      </w:pPr>
      <w:r>
        <w:rPr>
          <w:rFonts w:ascii="inter" w:hAnsi="inter" w:eastAsia="inter" w:cs="inter"/>
          <w:color w:val="000000"/>
          <w:sz w:val="21"/>
        </w:rPr>
        <w:t>即使在北京等体育工作相对领先地区，每天总体身体活动≥2小时的学生比例仍仅约1/3，与国家“2小时覆盖率100%”的政策目标存在较大差距；</w:t>
      </w:r>
      <w:bookmarkStart w:id="81" w:name="fnref17_5"/>
      <w:bookmarkEnd w:id="81"/>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82" w:name="fnref33_6"/>
      <w:bookmarkEnd w:id="82"/>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5C8FA833">
      <w:pPr>
        <w:numPr>
          <w:ilvl w:val="0"/>
          <w:numId w:val="7"/>
        </w:numPr>
        <w:spacing w:before="105" w:after="105" w:line="360" w:lineRule="auto"/>
      </w:pPr>
      <w:r>
        <w:rPr>
          <w:rFonts w:ascii="inter" w:hAnsi="inter" w:eastAsia="inter" w:cs="inter"/>
          <w:color w:val="000000"/>
          <w:sz w:val="21"/>
        </w:rPr>
        <w:t>各省市纷纷在行动方案中通过课程和课后服务统筹安排“2小时”，但系统性、全国性的执行效果量化评估仍处于起步阶段，为后续建立统一监测评价体系留出了制度空间。</w:t>
      </w:r>
      <w:bookmarkStart w:id="83" w:name="fnref39_1"/>
      <w:bookmarkEnd w:id="83"/>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84" w:name="fnref41_1"/>
      <w:bookmarkEnd w:id="84"/>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bookmarkStart w:id="85" w:name="fnref2_4"/>
      <w:bookmarkEnd w:id="85"/>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86" w:name="fnref17_6"/>
      <w:bookmarkEnd w:id="8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20731C33">
      <w:pPr>
        <w:spacing w:before="315" w:after="105" w:line="360" w:lineRule="auto"/>
        <w:ind w:left="-30"/>
        <w:jc w:val="left"/>
      </w:pPr>
      <w:bookmarkStart w:id="87" w:name="三_体质健康资本的阶段性与代际性风险"/>
      <w:r>
        <w:rPr>
          <w:rFonts w:ascii="inter" w:hAnsi="inter" w:eastAsia="inter" w:cs="inter"/>
          <w:b/>
          <w:color w:val="000000"/>
          <w:sz w:val="24"/>
        </w:rPr>
        <w:t>（三）体质健康资本的阶段性与代际性风险</w:t>
      </w:r>
      <w:bookmarkEnd w:id="87"/>
    </w:p>
    <w:p w14:paraId="713CF021">
      <w:pPr>
        <w:spacing w:after="210" w:line="360" w:lineRule="auto"/>
      </w:pPr>
      <w:r>
        <w:rPr>
          <w:rFonts w:ascii="inter" w:hAnsi="inter" w:eastAsia="inter" w:cs="inter"/>
          <w:color w:val="000000"/>
        </w:rPr>
        <w:t>从“体质健康资本”视角观察，目前我国青少年体质健康呈现“学段断崖”和“代际延迟改善”的特点：</w:t>
      </w:r>
    </w:p>
    <w:p w14:paraId="21065A1E">
      <w:pPr>
        <w:spacing w:after="210" w:line="360" w:lineRule="auto"/>
      </w:pPr>
      <w:r>
        <w:rPr>
          <w:rFonts w:ascii="inter" w:hAnsi="inter" w:eastAsia="inter" w:cs="inter"/>
          <w:color w:val="000000"/>
        </w:rPr>
        <w:t>——义务教育阶段在国家督导与中考体育权重提升的推动下，体质健康不及格率有所下降、达标优良率有所上升，但初高中衔接环节仍存在明显“断档风险”；</w:t>
      </w:r>
      <w:bookmarkStart w:id="88" w:name="fnref42"/>
      <w:bookmarkEnd w:id="88"/>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89" w:name="fnref2_5"/>
      <w:bookmarkEnd w:id="8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90" w:name="fnref10_4"/>
      <w:bookmarkEnd w:id="9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——大学阶段体育课时普遍不足、生活方式久坐化突出，仅约7%的大学生体质达“良好/优秀”的数据表明，前期积累的体质健康资本在高等教育阶段存在明显“流失”。</w:t>
      </w:r>
      <w:bookmarkStart w:id="91" w:name="fnref15_1"/>
      <w:bookmarkEnd w:id="91"/>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92" w:name="fnref14_1"/>
      <w:bookmarkEnd w:id="9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4A1CE338">
      <w:pPr>
        <w:spacing w:after="210" w:line="360" w:lineRule="auto"/>
      </w:pPr>
      <w:r>
        <w:rPr>
          <w:rFonts w:ascii="inter" w:hAnsi="inter" w:eastAsia="inter" w:cs="inter"/>
          <w:color w:val="000000"/>
        </w:rPr>
        <w:t>若从人口高质量发展和劳动年龄人口健康储备的视角审视，上述短板意味着未来劳动力市场中“健康人力资本”的平均质量将受到制约，进而在长期内影响国家经济竞争力与社会韧性。</w:t>
      </w:r>
      <w:bookmarkStart w:id="93" w:name="fnref43"/>
      <w:bookmarkEnd w:id="93"/>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bookmarkStart w:id="94" w:name="fnref10_5"/>
      <w:bookmarkEnd w:id="9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152B5D0B">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4C63FA93">
      <w:pPr>
        <w:spacing w:before="315" w:after="105" w:line="360" w:lineRule="auto"/>
        <w:ind w:left="-30"/>
        <w:jc w:val="left"/>
      </w:pPr>
      <w:bookmarkStart w:id="95" w:name="四_pest_swot综合因素分析_结构性供需矛盾的系统刻画"/>
      <w:r>
        <w:rPr>
          <w:rFonts w:ascii="inter" w:hAnsi="inter" w:eastAsia="inter" w:cs="inter"/>
          <w:b/>
          <w:color w:val="000000"/>
          <w:sz w:val="24"/>
        </w:rPr>
        <w:t>四、PEST-SWOT综合因素分析：结构性供需矛盾的系统刻画</w:t>
      </w:r>
      <w:bookmarkEnd w:id="95"/>
    </w:p>
    <w:p w14:paraId="0A713722">
      <w:pPr>
        <w:spacing w:after="210" w:line="360" w:lineRule="auto"/>
      </w:pPr>
      <w:r>
        <w:rPr>
          <w:rFonts w:ascii="inter" w:hAnsi="inter" w:eastAsia="inter" w:cs="inter"/>
          <w:color w:val="000000"/>
        </w:rPr>
        <w:t>为系统识别影响“学生体质强健计划”与“2小时目标”落实的关键变量，本报告采用“PEST-SWOT”复合分析框架，从政治（P）、经济（E）、社会（S）、技术（T）四个维度与内部优势（S）、内部劣势（W）、外部机会（O）、外部威胁（T）交叉，构建影响因素矩阵。</w:t>
      </w:r>
    </w:p>
    <w:p w14:paraId="779D6BE6">
      <w:pPr>
        <w:spacing w:after="210" w:line="360" w:lineRule="auto"/>
        <w:ind w:left="630"/>
      </w:pPr>
      <w:r>
        <w:rPr>
          <w:rFonts w:ascii="inter" w:hAnsi="inter" w:eastAsia="inter" w:cs="inter"/>
          <w:color w:val="000000"/>
        </w:rPr>
        <w:t>【术语框5：结构性供需矛盾】</w:t>
      </w:r>
      <w:r>
        <w:rPr>
          <w:rFonts w:ascii="inter" w:hAnsi="inter" w:eastAsia="inter" w:cs="inter"/>
          <w:color w:val="000000"/>
        </w:rPr>
        <w:br w:type="textWrapping"/>
      </w:r>
      <w:r>
        <w:rPr>
          <w:rFonts w:ascii="inter" w:hAnsi="inter" w:eastAsia="inter" w:cs="inter"/>
          <w:color w:val="000000"/>
        </w:rPr>
        <w:t>所谓“结构性供需矛盾”，是指在学校体育领域，学生对高质量体育活动时间与健康支持服务的现实需求，与现有师资、场地、课程、治理与评价体系所能提供的有效供给之间，在数量、结构和质量上的系统性失衡。</w:t>
      </w:r>
      <w:bookmarkStart w:id="96" w:name="fnref44"/>
      <w:bookmarkEnd w:id="96"/>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bookmarkStart w:id="97" w:name="fnref45"/>
      <w:bookmarkEnd w:id="97"/>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bookmarkStart w:id="98" w:name="fnref2_6"/>
      <w:bookmarkEnd w:id="9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84C9502">
      <w:pPr>
        <w:spacing w:before="315" w:after="105" w:line="360" w:lineRule="auto"/>
        <w:ind w:left="-30"/>
        <w:jc w:val="left"/>
      </w:pPr>
      <w:bookmarkStart w:id="99" w:name="一_政治维度_p_顶层设计强但执行链条存在断裂"/>
      <w:r>
        <w:rPr>
          <w:rFonts w:ascii="inter" w:hAnsi="inter" w:eastAsia="inter" w:cs="inter"/>
          <w:b/>
          <w:color w:val="000000"/>
          <w:sz w:val="24"/>
        </w:rPr>
        <w:t>（一）政治维度（P）：顶层设计强但执行链条存在断裂</w:t>
      </w:r>
      <w:bookmarkEnd w:id="99"/>
    </w:p>
    <w:p w14:paraId="16F8DC5B">
      <w:pPr>
        <w:spacing w:after="210" w:line="360" w:lineRule="auto"/>
      </w:pPr>
      <w:r>
        <w:rPr>
          <w:rFonts w:ascii="inter" w:hAnsi="inter" w:eastAsia="inter" w:cs="inter"/>
          <w:color w:val="000000"/>
        </w:rPr>
        <w:t>优势（S）：</w:t>
      </w:r>
      <w:r>
        <w:rPr>
          <w:rFonts w:ascii="inter" w:hAnsi="inter" w:eastAsia="inter" w:cs="inter"/>
          <w:color w:val="000000"/>
        </w:rPr>
        <w:br w:type="textWrapping"/>
      </w:r>
      <w:r>
        <w:rPr>
          <w:rFonts w:ascii="inter" w:hAnsi="inter" w:eastAsia="inter" w:cs="inter"/>
          <w:color w:val="000000"/>
        </w:rPr>
        <w:t>——“健康中国2030”“教育强国建设规划纲要”“体育强国建设纲要”等顶层文件为学校体育高质量发展提供了系统性制度供给，将学生体质健康纳入政府、教育行政部门和学校考核体系；</w:t>
      </w:r>
      <w:bookmarkStart w:id="100" w:name="fnref2_7"/>
      <w:bookmarkEnd w:id="10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01" w:name="fnref6_1"/>
      <w:bookmarkEnd w:id="10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02" w:name="fnref10_6"/>
      <w:bookmarkEnd w:id="10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——教育部等五部门《意见》以联合发文形式强化了部门协同，提出到2027年义务教育阶段全面高质量落实“每天2小时”要求。</w:t>
      </w:r>
      <w:bookmarkStart w:id="103" w:name="fnref46"/>
      <w:bookmarkEnd w:id="103"/>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bookmarkStart w:id="104" w:name="fnref4_1"/>
      <w:bookmarkEnd w:id="10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05" w:name="fnref1_1"/>
      <w:bookmarkEnd w:id="10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66DA5714">
      <w:pPr>
        <w:spacing w:after="210" w:line="360" w:lineRule="auto"/>
      </w:pPr>
      <w:r>
        <w:rPr>
          <w:rFonts w:ascii="inter" w:hAnsi="inter" w:eastAsia="inter" w:cs="inter"/>
          <w:color w:val="000000"/>
        </w:rPr>
        <w:t>劣势（W）：</w:t>
      </w:r>
      <w:r>
        <w:rPr>
          <w:rFonts w:ascii="inter" w:hAnsi="inter" w:eastAsia="inter" w:cs="inter"/>
          <w:color w:val="000000"/>
        </w:rPr>
        <w:br w:type="textWrapping"/>
      </w:r>
      <w:r>
        <w:rPr>
          <w:rFonts w:ascii="inter" w:hAnsi="inter" w:eastAsia="inter" w:cs="inter"/>
          <w:color w:val="000000"/>
        </w:rPr>
        <w:t>——政策文本中过于原则性的目标语句与较少的操作性“行动语句”和“后果语句”，在一定程度上削弱了基层执行的可行性与刚性；</w:t>
      </w:r>
      <w:bookmarkStart w:id="106" w:name="fnref23_3"/>
      <w:bookmarkEnd w:id="10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107" w:name="fnref24_5"/>
      <w:bookmarkEnd w:id="10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——地方在执行层面存在“运动式治理”和“短期冲刺”倾向，政策连续性和常态化保障机制有待强化。</w:t>
      </w:r>
      <w:bookmarkStart w:id="108" w:name="fnref34_3"/>
      <w:bookmarkEnd w:id="108"/>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109" w:name="fnref35_2"/>
      <w:bookmarkEnd w:id="109"/>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2EA43541">
      <w:pPr>
        <w:spacing w:after="210" w:line="360" w:lineRule="auto"/>
      </w:pPr>
      <w:r>
        <w:rPr>
          <w:rFonts w:ascii="inter" w:hAnsi="inter" w:eastAsia="inter" w:cs="inter"/>
          <w:color w:val="000000"/>
        </w:rPr>
        <w:t>机会（O）：</w:t>
      </w:r>
      <w:r>
        <w:rPr>
          <w:rFonts w:ascii="inter" w:hAnsi="inter" w:eastAsia="inter" w:cs="inter"/>
          <w:color w:val="000000"/>
        </w:rPr>
        <w:br w:type="textWrapping"/>
      </w:r>
      <w:r>
        <w:rPr>
          <w:rFonts w:ascii="inter" w:hAnsi="inter" w:eastAsia="inter" w:cs="inter"/>
          <w:color w:val="000000"/>
        </w:rPr>
        <w:t>——“双减”政策重塑了学业负担与校外培训格局，为在不增加总课时的前提下为体育“腾时间”创造了制度窗口；</w:t>
      </w:r>
      <w:bookmarkStart w:id="110" w:name="fnref47"/>
      <w:bookmarkEnd w:id="110"/>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bookmarkStart w:id="111" w:name="fnref20_2"/>
      <w:bookmarkEnd w:id="11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——“体教融合”“卫体融合”等改革为多部门合力推进青少年健康提供了新的政策抓手。</w:t>
      </w:r>
      <w:bookmarkStart w:id="112" w:name="fnref48"/>
      <w:bookmarkEnd w:id="112"/>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bookmarkStart w:id="113" w:name="fnref10_7"/>
      <w:bookmarkEnd w:id="11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14" w:name="fnref2_8"/>
      <w:bookmarkEnd w:id="11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2793856">
      <w:pPr>
        <w:spacing w:after="210" w:line="360" w:lineRule="auto"/>
      </w:pPr>
      <w:r>
        <w:rPr>
          <w:rFonts w:ascii="inter" w:hAnsi="inter" w:eastAsia="inter" w:cs="inter"/>
          <w:color w:val="000000"/>
        </w:rPr>
        <w:t>威胁（T）：</w:t>
      </w:r>
      <w:r>
        <w:rPr>
          <w:rFonts w:ascii="inter" w:hAnsi="inter" w:eastAsia="inter" w:cs="inter"/>
          <w:color w:val="000000"/>
        </w:rPr>
        <w:br w:type="textWrapping"/>
      </w:r>
      <w:r>
        <w:rPr>
          <w:rFonts w:ascii="inter" w:hAnsi="inter" w:eastAsia="inter" w:cs="inter"/>
          <w:color w:val="000000"/>
        </w:rPr>
        <w:t>——如若考核设计偏重“纸面合规”而忽视学生真实体验和体质指标，可能诱发“凑时间”“造数据”等形式主义风险，进一步侵蚀政策公信力。</w:t>
      </w:r>
      <w:bookmarkStart w:id="115" w:name="fnref5_1"/>
      <w:bookmarkEnd w:id="11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16" w:name="fnref35_3"/>
      <w:bookmarkEnd w:id="116"/>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17" w:name="fnref24_6"/>
      <w:bookmarkEnd w:id="11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477E0400">
      <w:pPr>
        <w:spacing w:before="315" w:after="105" w:line="360" w:lineRule="auto"/>
        <w:ind w:left="-30"/>
        <w:jc w:val="left"/>
      </w:pPr>
      <w:bookmarkStart w:id="118" w:name="二_经济维度_e_财政与资源投入存在结构性短板"/>
      <w:r>
        <w:rPr>
          <w:rFonts w:ascii="inter" w:hAnsi="inter" w:eastAsia="inter" w:cs="inter"/>
          <w:b/>
          <w:color w:val="000000"/>
          <w:sz w:val="24"/>
        </w:rPr>
        <w:t>（二）经济维度（E）：财政与资源投入存在结构性短板</w:t>
      </w:r>
      <w:bookmarkEnd w:id="118"/>
    </w:p>
    <w:p w14:paraId="3792A309">
      <w:pPr>
        <w:spacing w:after="210" w:line="360" w:lineRule="auto"/>
      </w:pPr>
      <w:r>
        <w:rPr>
          <w:rFonts w:ascii="inter" w:hAnsi="inter" w:eastAsia="inter" w:cs="inter"/>
          <w:color w:val="000000"/>
        </w:rPr>
        <w:t>优势（S）：</w:t>
      </w:r>
      <w:r>
        <w:rPr>
          <w:rFonts w:ascii="inter" w:hAnsi="inter" w:eastAsia="inter" w:cs="inter"/>
          <w:color w:val="000000"/>
        </w:rPr>
        <w:br w:type="textWrapping"/>
      </w:r>
      <w:r>
        <w:rPr>
          <w:rFonts w:ascii="inter" w:hAnsi="inter" w:eastAsia="inter" w:cs="inter"/>
          <w:color w:val="000000"/>
        </w:rPr>
        <w:t>——中央和地方财政在“健康中国行动”和教育现代化进程中，普遍提高了对学校体育场地设施和器材的投入，人均体育场地面积持续增长；</w:t>
      </w:r>
      <w:bookmarkStart w:id="119" w:name="fnref6_2"/>
      <w:bookmarkEnd w:id="11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0" w:name="fnref9_2"/>
      <w:bookmarkEnd w:id="12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21" w:name="fnref2_9"/>
      <w:bookmarkEnd w:id="12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——部分经济发达地区通过政府购买服务方式，引入社会体育机构参与课后体育服务与校园体育俱乐部运行，初步形成多元供给格局。</w:t>
      </w:r>
      <w:bookmarkStart w:id="122" w:name="fnref36_1"/>
      <w:bookmarkEnd w:id="122"/>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123" w:name="fnref39_2"/>
      <w:bookmarkEnd w:id="123"/>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124" w:name="fnref46_1"/>
      <w:bookmarkEnd w:id="124"/>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3ED3F491">
      <w:pPr>
        <w:spacing w:after="210" w:line="360" w:lineRule="auto"/>
      </w:pPr>
      <w:r>
        <w:rPr>
          <w:rFonts w:ascii="inter" w:hAnsi="inter" w:eastAsia="inter" w:cs="inter"/>
          <w:color w:val="000000"/>
        </w:rPr>
        <w:t>劣势（W）：</w:t>
      </w:r>
      <w:r>
        <w:rPr>
          <w:rFonts w:ascii="inter" w:hAnsi="inter" w:eastAsia="inter" w:cs="inter"/>
          <w:color w:val="000000"/>
        </w:rPr>
        <w:br w:type="textWrapping"/>
      </w:r>
      <w:r>
        <w:rPr>
          <w:rFonts w:ascii="inter" w:hAnsi="inter" w:eastAsia="inter" w:cs="inter"/>
          <w:color w:val="000000"/>
        </w:rPr>
        <w:t>——体育教师总量与结构性缺口突出，有研究测算义务教育阶段体育教师缺额约30万人，其中小学缺额占约3/4；不少地区农村学校体育教师配备率不足50%；</w:t>
      </w:r>
      <w:bookmarkStart w:id="125" w:name="fnref49"/>
      <w:bookmarkEnd w:id="125"/>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bookmarkStart w:id="126" w:name="fnref45_1"/>
      <w:bookmarkEnd w:id="126"/>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bookmarkStart w:id="127" w:name="fnref44_1"/>
      <w:bookmarkEnd w:id="127"/>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——部分中西部和农村地区体育场地设施薄弱、人均器材配备不足，导致“有时间无空间”“有意愿无条件”的现实制约。</w:t>
      </w:r>
      <w:bookmarkStart w:id="128" w:name="fnref44_2"/>
      <w:bookmarkEnd w:id="128"/>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bookmarkStart w:id="129" w:name="fnref10_8"/>
      <w:bookmarkEnd w:id="12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27E49D1D">
      <w:pPr>
        <w:spacing w:after="210" w:line="360" w:lineRule="auto"/>
      </w:pPr>
      <w:r>
        <w:rPr>
          <w:rFonts w:ascii="inter" w:hAnsi="inter" w:eastAsia="inter" w:cs="inter"/>
          <w:color w:val="000000"/>
        </w:rPr>
        <w:t>机会（O）：</w:t>
      </w:r>
      <w:r>
        <w:rPr>
          <w:rFonts w:ascii="inter" w:hAnsi="inter" w:eastAsia="inter" w:cs="inter"/>
          <w:color w:val="000000"/>
        </w:rPr>
        <w:br w:type="textWrapping"/>
      </w:r>
      <w:r>
        <w:rPr>
          <w:rFonts w:ascii="inter" w:hAnsi="inter" w:eastAsia="inter" w:cs="inter"/>
          <w:color w:val="000000"/>
        </w:rPr>
        <w:t>——学龄人口增速放缓和教育资源重构，为在存量资源基础上优化体育投入结构、提高“体质健康资本”回报率提供了空间；</w:t>
      </w:r>
      <w:bookmarkStart w:id="130" w:name="fnref50"/>
      <w:bookmarkEnd w:id="130"/>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bookmarkStart w:id="131" w:name="fnref2_10"/>
      <w:bookmarkEnd w:id="13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——数字体育、可穿戴设备与智慧校园设施的发展，为低成本、高效率的体育过程监测与安全保障提供了技术条件。</w:t>
      </w:r>
      <w:bookmarkStart w:id="132" w:name="fnref51"/>
      <w:bookmarkEnd w:id="132"/>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bookmarkStart w:id="133" w:name="fnref8_1"/>
      <w:bookmarkEnd w:id="13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34" w:name="fnref37_1"/>
      <w:bookmarkEnd w:id="13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66FA5BDF">
      <w:pPr>
        <w:spacing w:after="210" w:line="360" w:lineRule="auto"/>
      </w:pPr>
      <w:r>
        <w:rPr>
          <w:rFonts w:ascii="inter" w:hAnsi="inter" w:eastAsia="inter" w:cs="inter"/>
          <w:color w:val="000000"/>
        </w:rPr>
        <w:t>威胁（T）：</w:t>
      </w:r>
      <w:r>
        <w:rPr>
          <w:rFonts w:ascii="inter" w:hAnsi="inter" w:eastAsia="inter" w:cs="inter"/>
          <w:color w:val="000000"/>
        </w:rPr>
        <w:br w:type="textWrapping"/>
      </w:r>
      <w:r>
        <w:rPr>
          <w:rFonts w:ascii="inter" w:hAnsi="inter" w:eastAsia="inter" w:cs="inter"/>
          <w:color w:val="000000"/>
        </w:rPr>
        <w:t>——如果财政和编制政策未能与“2小时目标”强绑定，体育教师、场地维护和器材更新的投入不足，可能削弱政策长期持续性；</w:t>
      </w:r>
      <w:bookmarkStart w:id="135" w:name="fnref50_1"/>
      <w:bookmarkEnd w:id="135"/>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bookmarkStart w:id="136" w:name="fnref37_2"/>
      <w:bookmarkEnd w:id="13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137" w:name="fnref44_3"/>
      <w:bookmarkEnd w:id="137"/>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——经济下行压力下地方政府在预算分配中仍可能优先保障“硬指标”工程，体育等“软健康基础设施”易被边缘化。</w:t>
      </w:r>
      <w:bookmarkStart w:id="138" w:name="fnref43_1"/>
      <w:bookmarkEnd w:id="138"/>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bookmarkStart w:id="139" w:name="fnref10_9"/>
      <w:bookmarkEnd w:id="13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6F4FA52">
      <w:pPr>
        <w:spacing w:before="315" w:after="105" w:line="360" w:lineRule="auto"/>
        <w:ind w:left="-30"/>
        <w:jc w:val="left"/>
      </w:pPr>
      <w:bookmarkStart w:id="140" w:name="三_社会维度_s_健康观念提升与升学压力并存"/>
      <w:r>
        <w:rPr>
          <w:rFonts w:ascii="inter" w:hAnsi="inter" w:eastAsia="inter" w:cs="inter"/>
          <w:b/>
          <w:color w:val="000000"/>
          <w:sz w:val="24"/>
        </w:rPr>
        <w:t>（三）社会维度（S）：健康观念提升与升学压力并存</w:t>
      </w:r>
      <w:bookmarkEnd w:id="140"/>
    </w:p>
    <w:p w14:paraId="3D994A56">
      <w:pPr>
        <w:spacing w:after="210" w:line="360" w:lineRule="auto"/>
      </w:pPr>
      <w:r>
        <w:rPr>
          <w:rFonts w:ascii="inter" w:hAnsi="inter" w:eastAsia="inter" w:cs="inter"/>
          <w:color w:val="000000"/>
        </w:rPr>
        <w:t>优势（S）：</w:t>
      </w:r>
      <w:r>
        <w:rPr>
          <w:rFonts w:ascii="inter" w:hAnsi="inter" w:eastAsia="inter" w:cs="inter"/>
          <w:color w:val="000000"/>
        </w:rPr>
        <w:br w:type="textWrapping"/>
      </w:r>
      <w:r>
        <w:rPr>
          <w:rFonts w:ascii="inter" w:hAnsi="inter" w:eastAsia="inter" w:cs="inter"/>
          <w:color w:val="000000"/>
        </w:rPr>
        <w:t>——“健康中国”战略和疫情后全社会健康意识普遍提升，广大家长和学生对“身体素质重要性”的认识显著增强；</w:t>
      </w:r>
      <w:bookmarkStart w:id="141" w:name="fnref10_10"/>
      <w:bookmarkEnd w:id="14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42" w:name="fnref11_1"/>
      <w:bookmarkEnd w:id="14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——青少年肥胖、近视、心理问题的高关注度，使社会舆论普遍支持加强学校体育和延长体育活动时间。</w:t>
      </w:r>
      <w:bookmarkStart w:id="143" w:name="fnref7_1"/>
      <w:bookmarkEnd w:id="14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44" w:name="fnref4_2"/>
      <w:bookmarkEnd w:id="14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45" w:name="fnref9_3"/>
      <w:bookmarkEnd w:id="14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5C122696">
      <w:pPr>
        <w:spacing w:after="210" w:line="360" w:lineRule="auto"/>
      </w:pPr>
      <w:r>
        <w:rPr>
          <w:rFonts w:ascii="inter" w:hAnsi="inter" w:eastAsia="inter" w:cs="inter"/>
          <w:color w:val="000000"/>
        </w:rPr>
        <w:t>劣势（W）：</w:t>
      </w:r>
      <w:r>
        <w:rPr>
          <w:rFonts w:ascii="inter" w:hAnsi="inter" w:eastAsia="inter" w:cs="inter"/>
          <w:color w:val="000000"/>
        </w:rPr>
        <w:br w:type="textWrapping"/>
      </w:r>
      <w:r>
        <w:rPr>
          <w:rFonts w:ascii="inter" w:hAnsi="inter" w:eastAsia="inter" w:cs="inter"/>
          <w:color w:val="000000"/>
        </w:rPr>
        <w:t>——应试教育惯性仍然存在，部分家长和学校在时间分配上“口头支持体育、实则让位于学科训练”，体育课和课外活动时间被各种“刚性学业安排”侵蚀；</w:t>
      </w:r>
      <w:bookmarkStart w:id="146" w:name="fnref20_3"/>
      <w:bookmarkEnd w:id="146"/>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147" w:name="fnref19_1"/>
      <w:bookmarkEnd w:id="147"/>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148" w:name="fnref24_7"/>
      <w:bookmarkEnd w:id="148"/>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——城乡、区域与家庭社会经济地位差异导致体育参与机会与资源分布不均衡，弱势群体学生更易在健康资本累积上落后。</w:t>
      </w:r>
      <w:bookmarkStart w:id="149" w:name="fnref52"/>
      <w:bookmarkEnd w:id="149"/>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bookmarkStart w:id="150" w:name="fnref53"/>
      <w:bookmarkEnd w:id="150"/>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bookmarkStart w:id="151" w:name="fnref37_3"/>
      <w:bookmarkEnd w:id="151"/>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77EB8A69">
      <w:pPr>
        <w:spacing w:after="210" w:line="360" w:lineRule="auto"/>
      </w:pPr>
      <w:r>
        <w:rPr>
          <w:rFonts w:ascii="inter" w:hAnsi="inter" w:eastAsia="inter" w:cs="inter"/>
          <w:color w:val="000000"/>
        </w:rPr>
        <w:t>机会（O）：</w:t>
      </w:r>
      <w:r>
        <w:rPr>
          <w:rFonts w:ascii="inter" w:hAnsi="inter" w:eastAsia="inter" w:cs="inter"/>
          <w:color w:val="000000"/>
        </w:rPr>
        <w:br w:type="textWrapping"/>
      </w:r>
      <w:r>
        <w:rPr>
          <w:rFonts w:ascii="inter" w:hAnsi="inter" w:eastAsia="inter" w:cs="inter"/>
          <w:color w:val="000000"/>
        </w:rPr>
        <w:t>——“双减”政策和中高考体育分值提升，为体育地位“由边缘走向核心”提供了现实压力与动力；</w:t>
      </w:r>
      <w:bookmarkStart w:id="152" w:name="fnref42_1"/>
      <w:bookmarkEnd w:id="152"/>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153" w:name="fnref50_2"/>
      <w:bookmarkEnd w:id="153"/>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bookmarkStart w:id="154" w:name="fnref10_11"/>
      <w:bookmarkEnd w:id="15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——家庭与社区体育参与日益普及，社会体育俱乐部和场馆开放为校外体育活动提供了丰富场景。</w:t>
      </w:r>
      <w:bookmarkStart w:id="155" w:name="fnref48_1"/>
      <w:bookmarkEnd w:id="155"/>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bookmarkStart w:id="156" w:name="fnref2_11"/>
      <w:bookmarkEnd w:id="15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5C9B407">
      <w:pPr>
        <w:spacing w:after="210" w:line="360" w:lineRule="auto"/>
      </w:pPr>
      <w:r>
        <w:rPr>
          <w:rFonts w:ascii="inter" w:hAnsi="inter" w:eastAsia="inter" w:cs="inter"/>
          <w:color w:val="000000"/>
        </w:rPr>
        <w:t>威胁（T）：</w:t>
      </w:r>
      <w:r>
        <w:rPr>
          <w:rFonts w:ascii="inter" w:hAnsi="inter" w:eastAsia="inter" w:cs="inter"/>
          <w:color w:val="000000"/>
        </w:rPr>
        <w:br w:type="textWrapping"/>
      </w:r>
      <w:r>
        <w:rPr>
          <w:rFonts w:ascii="inter" w:hAnsi="inter" w:eastAsia="inter" w:cs="inter"/>
          <w:color w:val="000000"/>
        </w:rPr>
        <w:t>——如若学校体育供给质量不足、活动体验不佳，学生可能通过逃避和消极参与“对冲”制度性时间要求，形成“时间达标、效果打折”的逆向选择；</w:t>
      </w:r>
      <w:bookmarkStart w:id="157" w:name="fnref53_1"/>
      <w:bookmarkEnd w:id="157"/>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bookmarkStart w:id="158" w:name="fnref52_1"/>
      <w:bookmarkEnd w:id="158"/>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——网络游戏与短视频等高吸引力数字娱乐进一步争夺青少年课余时间，加剧“久坐生活方式”流行。</w:t>
      </w:r>
      <w:bookmarkStart w:id="159" w:name="fnref26_2"/>
      <w:bookmarkEnd w:id="15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160" w:name="fnref29_1"/>
      <w:bookmarkEnd w:id="160"/>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4D291F71">
      <w:pPr>
        <w:spacing w:before="315" w:after="105" w:line="360" w:lineRule="auto"/>
        <w:ind w:left="-30"/>
        <w:jc w:val="left"/>
      </w:pPr>
      <w:bookmarkStart w:id="161" w:name="四_技术维度_t_数字化赋能与治理能力滞后并存"/>
      <w:r>
        <w:rPr>
          <w:rFonts w:ascii="inter" w:hAnsi="inter" w:eastAsia="inter" w:cs="inter"/>
          <w:b/>
          <w:color w:val="000000"/>
          <w:sz w:val="24"/>
        </w:rPr>
        <w:t>（四）技术维度（T）：数字化赋能与治理能力滞后并存</w:t>
      </w:r>
      <w:bookmarkEnd w:id="161"/>
    </w:p>
    <w:p w14:paraId="47E1D2E1">
      <w:pPr>
        <w:spacing w:after="210" w:line="360" w:lineRule="auto"/>
      </w:pPr>
      <w:r>
        <w:rPr>
          <w:rFonts w:ascii="inter" w:hAnsi="inter" w:eastAsia="inter" w:cs="inter"/>
          <w:color w:val="000000"/>
        </w:rPr>
        <w:t>优势（S）：</w:t>
      </w:r>
      <w:r>
        <w:rPr>
          <w:rFonts w:ascii="inter" w:hAnsi="inter" w:eastAsia="inter" w:cs="inter"/>
          <w:color w:val="000000"/>
        </w:rPr>
        <w:br w:type="textWrapping"/>
      </w:r>
      <w:r>
        <w:rPr>
          <w:rFonts w:ascii="inter" w:hAnsi="inter" w:eastAsia="inter" w:cs="inter"/>
          <w:color w:val="000000"/>
        </w:rPr>
        <w:t>——国家在“教育数字化战略行动”中，明确将体质健康监测与体育教学纳入智慧教育平台建设范畴，多地已探索通过APP、可穿戴设备实现学生运动数据采集与分析；</w:t>
      </w:r>
      <w:bookmarkStart w:id="162" w:name="fnref8_2"/>
      <w:bookmarkEnd w:id="16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63" w:name="fnref14_2"/>
      <w:bookmarkEnd w:id="16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164" w:name="fnref37_4"/>
      <w:bookmarkEnd w:id="16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——面向儿童青少年的身体活动能量消耗数据库等工具，为科学设计不同年龄段中高强度活动课程提供了重要基础。</w:t>
      </w:r>
      <w:bookmarkStart w:id="165" w:name="fnref8_3"/>
      <w:bookmarkEnd w:id="16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66" w:name="fnref16_7"/>
      <w:bookmarkEnd w:id="166"/>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6799A44">
      <w:pPr>
        <w:spacing w:after="210" w:line="360" w:lineRule="auto"/>
      </w:pPr>
      <w:r>
        <w:rPr>
          <w:rFonts w:ascii="inter" w:hAnsi="inter" w:eastAsia="inter" w:cs="inter"/>
          <w:color w:val="000000"/>
        </w:rPr>
        <w:t>劣势（W）：</w:t>
      </w:r>
      <w:r>
        <w:rPr>
          <w:rFonts w:ascii="inter" w:hAnsi="inter" w:eastAsia="inter" w:cs="inter"/>
          <w:color w:val="000000"/>
        </w:rPr>
        <w:br w:type="textWrapping"/>
      </w:r>
      <w:r>
        <w:rPr>
          <w:rFonts w:ascii="inter" w:hAnsi="inter" w:eastAsia="inter" w:cs="inter"/>
          <w:color w:val="000000"/>
        </w:rPr>
        <w:t>——目前多数地区体育数据采集仍停留在“年度体测”和少量问卷调查层面，日常行为数据缺失，难以对“2小时政策执行过程”进行精细化管理；</w:t>
      </w:r>
      <w:bookmarkStart w:id="167" w:name="fnref38_1"/>
      <w:bookmarkEnd w:id="167"/>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168" w:name="fnref37_5"/>
      <w:bookmarkEnd w:id="168"/>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——基层学校在数据安全、隐私保护与技术运维方面能力有限，制约了数字体育的规模化推广。</w:t>
      </w:r>
      <w:bookmarkStart w:id="169" w:name="fnref51_1"/>
      <w:bookmarkEnd w:id="169"/>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bookmarkStart w:id="170" w:name="fnref37_6"/>
      <w:bookmarkEnd w:id="170"/>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2E206A67">
      <w:pPr>
        <w:spacing w:after="210" w:line="360" w:lineRule="auto"/>
      </w:pPr>
      <w:r>
        <w:rPr>
          <w:rFonts w:ascii="inter" w:hAnsi="inter" w:eastAsia="inter" w:cs="inter"/>
          <w:color w:val="000000"/>
        </w:rPr>
        <w:t>机会（O）：</w:t>
      </w:r>
      <w:r>
        <w:rPr>
          <w:rFonts w:ascii="inter" w:hAnsi="inter" w:eastAsia="inter" w:cs="inter"/>
          <w:color w:val="000000"/>
        </w:rPr>
        <w:br w:type="textWrapping"/>
      </w:r>
      <w:r>
        <w:rPr>
          <w:rFonts w:ascii="inter" w:hAnsi="inter" w:eastAsia="inter" w:cs="inter"/>
          <w:color w:val="000000"/>
        </w:rPr>
        <w:t>——量化政策研究与fsQCA等方法的发展，为分析各类政策工具组合与体育行为结果之间的因果路径提供了新方法，有望反哺实践决策；</w:t>
      </w:r>
      <w:bookmarkStart w:id="171" w:name="fnref37_7"/>
      <w:bookmarkEnd w:id="171"/>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172" w:name="fnref43_2"/>
      <w:bookmarkEnd w:id="172"/>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——数字体育应用（如线上体能课程、家庭运动打卡平台）为家校社协同提供可行抓手，有利于将2小时体育活动延伸到家庭场景。</w:t>
      </w:r>
      <w:bookmarkStart w:id="173" w:name="fnref7_2"/>
      <w:bookmarkEnd w:id="17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74" w:name="fnref51_2"/>
      <w:bookmarkEnd w:id="174"/>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1B7F0F88">
      <w:pPr>
        <w:spacing w:after="210" w:line="360" w:lineRule="auto"/>
      </w:pPr>
      <w:r>
        <w:rPr>
          <w:rFonts w:ascii="inter" w:hAnsi="inter" w:eastAsia="inter" w:cs="inter"/>
          <w:color w:val="000000"/>
        </w:rPr>
        <w:t>威胁（T）：</w:t>
      </w:r>
      <w:r>
        <w:rPr>
          <w:rFonts w:ascii="inter" w:hAnsi="inter" w:eastAsia="inter" w:cs="inter"/>
          <w:color w:val="000000"/>
        </w:rPr>
        <w:br w:type="textWrapping"/>
      </w:r>
      <w:r>
        <w:rPr>
          <w:rFonts w:ascii="inter" w:hAnsi="inter" w:eastAsia="inter" w:cs="inter"/>
          <w:color w:val="000000"/>
        </w:rPr>
        <w:t>——如若数字化更多停留在“打卡”“上传数据”层面，而缺乏对教学改进和行为改变的实质反馈，可能导致形式主义的“数字疲劳”，进一步削弱学生与教师的积极性。</w:t>
      </w:r>
      <w:bookmarkStart w:id="175" w:name="fnref35_4"/>
      <w:bookmarkEnd w:id="17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76" w:name="fnref37_8"/>
      <w:bookmarkEnd w:id="17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4B0AF1E8">
      <w:pPr>
        <w:spacing w:before="315" w:after="105" w:line="360" w:lineRule="auto"/>
        <w:ind w:left="-30"/>
        <w:jc w:val="left"/>
      </w:pPr>
      <w:bookmarkStart w:id="177" w:name="五_pest_swot矩阵综合分析表"/>
      <w:r>
        <w:rPr>
          <w:rFonts w:ascii="inter" w:hAnsi="inter" w:eastAsia="inter" w:cs="inter"/>
          <w:b/>
          <w:color w:val="000000"/>
          <w:sz w:val="24"/>
        </w:rPr>
        <w:t>（五）PEST-SWOT矩阵综合分析表</w:t>
      </w:r>
      <w:bookmarkEnd w:id="177"/>
    </w:p>
    <w:p w14:paraId="1C4F38D0">
      <w:pPr>
        <w:spacing w:after="210" w:line="360" w:lineRule="auto"/>
      </w:pPr>
      <w:r>
        <w:rPr>
          <w:rFonts w:ascii="inter" w:hAnsi="inter" w:eastAsia="inter" w:cs="inter"/>
          <w:b/>
          <w:color w:val="000000"/>
        </w:rPr>
        <w:t>表2 学生体质强健计划落实的PEST-SWOT影响因素矩阵分析表（示意）</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96"/>
        <w:gridCol w:w="2236"/>
        <w:gridCol w:w="2426"/>
        <w:gridCol w:w="2245"/>
        <w:gridCol w:w="2337"/>
      </w:tblGrid>
      <w:tr w14:paraId="0089B6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0F04479">
            <w:pPr>
              <w:spacing w:after="0" w:line="360" w:lineRule="auto"/>
            </w:pPr>
            <w:r>
              <w:rPr>
                <w:rFonts w:ascii="inter" w:hAnsi="inter" w:eastAsia="inter" w:cs="inter"/>
                <w:color w:val="000000"/>
                <w:sz w:val="17"/>
              </w:rPr>
              <w:t>维度</w:t>
            </w:r>
          </w:p>
        </w:tc>
        <w:tc>
          <w:tcPr>
            <w:tcBorders>
              <w:top w:val="single" w:color="000000" w:sz="0" w:space="0"/>
              <w:bottom w:val="single" w:color="000000" w:sz="0" w:space="0"/>
              <w:right w:val="single" w:color="000000" w:sz="0" w:space="0"/>
            </w:tcBorders>
          </w:tcPr>
          <w:p w14:paraId="085070C5">
            <w:pPr>
              <w:spacing w:after="0" w:line="360" w:lineRule="auto"/>
            </w:pPr>
            <w:r>
              <w:rPr>
                <w:rFonts w:ascii="inter" w:hAnsi="inter" w:eastAsia="inter" w:cs="inter"/>
                <w:color w:val="000000"/>
                <w:sz w:val="17"/>
              </w:rPr>
              <w:t>内部优势（S）</w:t>
            </w:r>
          </w:p>
        </w:tc>
        <w:tc>
          <w:tcPr>
            <w:tcBorders>
              <w:top w:val="single" w:color="000000" w:sz="0" w:space="0"/>
              <w:bottom w:val="single" w:color="000000" w:sz="0" w:space="0"/>
              <w:right w:val="single" w:color="000000" w:sz="0" w:space="0"/>
            </w:tcBorders>
          </w:tcPr>
          <w:p w14:paraId="7C00F7A7">
            <w:pPr>
              <w:spacing w:after="0" w:line="360" w:lineRule="auto"/>
            </w:pPr>
            <w:r>
              <w:rPr>
                <w:rFonts w:ascii="inter" w:hAnsi="inter" w:eastAsia="inter" w:cs="inter"/>
                <w:color w:val="000000"/>
                <w:sz w:val="17"/>
              </w:rPr>
              <w:t>内部劣势（W）</w:t>
            </w:r>
          </w:p>
        </w:tc>
        <w:tc>
          <w:tcPr>
            <w:tcBorders>
              <w:top w:val="single" w:color="000000" w:sz="0" w:space="0"/>
              <w:bottom w:val="single" w:color="000000" w:sz="0" w:space="0"/>
              <w:right w:val="single" w:color="000000" w:sz="0" w:space="0"/>
            </w:tcBorders>
          </w:tcPr>
          <w:p w14:paraId="14CA38B6">
            <w:pPr>
              <w:spacing w:after="0" w:line="360" w:lineRule="auto"/>
            </w:pPr>
            <w:r>
              <w:rPr>
                <w:rFonts w:ascii="inter" w:hAnsi="inter" w:eastAsia="inter" w:cs="inter"/>
                <w:color w:val="000000"/>
                <w:sz w:val="17"/>
              </w:rPr>
              <w:t>外部机会（O）</w:t>
            </w:r>
          </w:p>
        </w:tc>
        <w:tc>
          <w:tcPr>
            <w:tcBorders>
              <w:top w:val="single" w:color="000000" w:sz="0" w:space="0"/>
              <w:bottom w:val="single" w:color="000000" w:sz="0" w:space="0"/>
            </w:tcBorders>
          </w:tcPr>
          <w:p w14:paraId="5840FE55">
            <w:pPr>
              <w:spacing w:after="0" w:line="360" w:lineRule="auto"/>
            </w:pPr>
            <w:r>
              <w:rPr>
                <w:rFonts w:ascii="inter" w:hAnsi="inter" w:eastAsia="inter" w:cs="inter"/>
                <w:color w:val="000000"/>
                <w:sz w:val="17"/>
              </w:rPr>
              <w:t>外部威胁（T）</w:t>
            </w:r>
          </w:p>
        </w:tc>
      </w:tr>
      <w:tr w14:paraId="79B2F6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4AC1289">
            <w:pPr>
              <w:spacing w:after="0" w:line="360" w:lineRule="auto"/>
            </w:pPr>
            <w:r>
              <w:rPr>
                <w:rFonts w:ascii="inter" w:hAnsi="inter" w:eastAsia="inter" w:cs="inter"/>
                <w:color w:val="000000"/>
                <w:sz w:val="17"/>
              </w:rPr>
              <w:t>政治P</w:t>
            </w:r>
          </w:p>
        </w:tc>
        <w:tc>
          <w:tcPr>
            <w:tcBorders>
              <w:top w:val="single" w:color="000000" w:sz="0" w:space="0"/>
              <w:bottom w:val="single" w:color="000000" w:sz="0" w:space="0"/>
              <w:right w:val="single" w:color="000000" w:sz="0" w:space="0"/>
            </w:tcBorders>
          </w:tcPr>
          <w:p w14:paraId="61D2795D">
            <w:pPr>
              <w:spacing w:after="0" w:line="360" w:lineRule="auto"/>
            </w:pPr>
            <w:r>
              <w:rPr>
                <w:rFonts w:ascii="inter" w:hAnsi="inter" w:eastAsia="inter" w:cs="inter"/>
                <w:color w:val="000000"/>
                <w:sz w:val="17"/>
              </w:rPr>
              <w:t>顶层设计完善；“健康第一”写入纲要；多部门联合发文增强刚性</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1C33601E">
            <w:pPr>
              <w:spacing w:after="0" w:line="360" w:lineRule="auto"/>
            </w:pPr>
            <w:r>
              <w:rPr>
                <w:rFonts w:ascii="inter" w:hAnsi="inter" w:eastAsia="inter" w:cs="inter"/>
                <w:color w:val="000000"/>
                <w:sz w:val="17"/>
              </w:rPr>
              <w:t>行动语句与后果语句不足；执行路径不清晰；政策碎片化</w:t>
            </w:r>
            <w:r>
              <w:fldChar w:fldCharType="begin"/>
            </w:r>
            <w:r>
              <w:instrText xml:space="preserve"> HYPERLINK \l "fn23" \h </w:instrText>
            </w:r>
            <w:r>
              <w:fldChar w:fldCharType="separate"/>
            </w:r>
            <w:r>
              <w:rPr>
                <w:rFonts w:ascii="inter" w:hAnsi="inter" w:eastAsia="inter" w:cs="inter"/>
                <w:color w:val="000000"/>
                <w:sz w:val="17"/>
                <w:u w:val="single"/>
                <w:vertAlign w:val="superscript"/>
              </w:rPr>
              <w:t>[23]</w:t>
            </w:r>
            <w:r>
              <w:rPr>
                <w:rFonts w:ascii="inter" w:hAnsi="inter" w:eastAsia="inter" w:cs="inter"/>
                <w:color w:val="000000"/>
                <w:sz w:val="17"/>
                <w:u w:val="single"/>
                <w:vertAlign w:val="superscript"/>
              </w:rPr>
              <w:fldChar w:fldCharType="end"/>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87DF950">
            <w:pPr>
              <w:spacing w:after="0" w:line="360" w:lineRule="auto"/>
            </w:pPr>
            <w:r>
              <w:rPr>
                <w:rFonts w:ascii="inter" w:hAnsi="inter" w:eastAsia="inter" w:cs="inter"/>
                <w:color w:val="000000"/>
                <w:sz w:val="17"/>
              </w:rPr>
              <w:t>“双减”、体教融合、卫体融合等改革提供制度窗口</w:t>
            </w:r>
            <w:r>
              <w:fldChar w:fldCharType="begin"/>
            </w:r>
            <w:r>
              <w:instrText xml:space="preserve"> HYPERLINK \l "fn47" \h </w:instrText>
            </w:r>
            <w:r>
              <w:fldChar w:fldCharType="separate"/>
            </w:r>
            <w:r>
              <w:rPr>
                <w:rFonts w:ascii="inter" w:hAnsi="inter" w:eastAsia="inter" w:cs="inter"/>
                <w:color w:val="000000"/>
                <w:sz w:val="17"/>
                <w:u w:val="single"/>
                <w:vertAlign w:val="superscript"/>
              </w:rPr>
              <w:t>[47]</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F199F3C">
            <w:pPr>
              <w:spacing w:after="0" w:line="360" w:lineRule="auto"/>
            </w:pPr>
            <w:r>
              <w:rPr>
                <w:rFonts w:ascii="inter" w:hAnsi="inter" w:eastAsia="inter" w:cs="inter"/>
                <w:color w:val="000000"/>
                <w:sz w:val="17"/>
              </w:rPr>
              <w:t>形式主义与“纸面合规”风险；地方对体育考核重视度不均衡</w:t>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r>
      <w:tr w14:paraId="0EE909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01980A0">
            <w:pPr>
              <w:spacing w:after="0" w:line="360" w:lineRule="auto"/>
            </w:pPr>
            <w:r>
              <w:rPr>
                <w:rFonts w:ascii="inter" w:hAnsi="inter" w:eastAsia="inter" w:cs="inter"/>
                <w:color w:val="000000"/>
                <w:sz w:val="17"/>
              </w:rPr>
              <w:t>经济E</w:t>
            </w:r>
          </w:p>
        </w:tc>
        <w:tc>
          <w:tcPr>
            <w:tcBorders>
              <w:top w:val="single" w:color="000000" w:sz="0" w:space="0"/>
              <w:bottom w:val="single" w:color="000000" w:sz="0" w:space="0"/>
              <w:right w:val="single" w:color="000000" w:sz="0" w:space="0"/>
            </w:tcBorders>
          </w:tcPr>
          <w:p w14:paraId="5CE3046E">
            <w:pPr>
              <w:spacing w:after="0" w:line="360" w:lineRule="auto"/>
            </w:pPr>
            <w:r>
              <w:rPr>
                <w:rFonts w:ascii="inter" w:hAnsi="inter" w:eastAsia="inter" w:cs="inter"/>
                <w:color w:val="000000"/>
                <w:sz w:val="17"/>
              </w:rPr>
              <w:t>体育场地和设施投入持续增长；部分地区探索购买服务模式</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1E78941E">
            <w:pPr>
              <w:spacing w:after="0" w:line="360" w:lineRule="auto"/>
            </w:pPr>
            <w:r>
              <w:rPr>
                <w:rFonts w:ascii="inter" w:hAnsi="inter" w:eastAsia="inter" w:cs="inter"/>
                <w:color w:val="000000"/>
                <w:sz w:val="17"/>
              </w:rPr>
              <w:t>体育教师缺口近30万且结构性短缺突出；农村和欠发达地区设施薄弱</w:t>
            </w:r>
            <w:r>
              <w:fldChar w:fldCharType="begin"/>
            </w:r>
            <w:r>
              <w:instrText xml:space="preserve"> HYPERLINK \l "fn44" \h </w:instrText>
            </w:r>
            <w:r>
              <w:fldChar w:fldCharType="separate"/>
            </w:r>
            <w:r>
              <w:rPr>
                <w:rFonts w:ascii="inter" w:hAnsi="inter" w:eastAsia="inter" w:cs="inter"/>
                <w:color w:val="000000"/>
                <w:sz w:val="17"/>
                <w:u w:val="single"/>
                <w:vertAlign w:val="superscript"/>
              </w:rPr>
              <w:t>[44]</w:t>
            </w:r>
            <w:r>
              <w:rPr>
                <w:rFonts w:ascii="inter" w:hAnsi="inter" w:eastAsia="inter" w:cs="inter"/>
                <w:color w:val="000000"/>
                <w:sz w:val="17"/>
                <w:u w:val="single"/>
                <w:vertAlign w:val="superscript"/>
              </w:rPr>
              <w:fldChar w:fldCharType="end"/>
            </w:r>
            <w:r>
              <w:fldChar w:fldCharType="begin"/>
            </w:r>
            <w:r>
              <w:instrText xml:space="preserve"> HYPERLINK \l "fn45" \h </w:instrText>
            </w:r>
            <w:r>
              <w:fldChar w:fldCharType="separate"/>
            </w:r>
            <w:r>
              <w:rPr>
                <w:rFonts w:ascii="inter" w:hAnsi="inter" w:eastAsia="inter" w:cs="inter"/>
                <w:color w:val="000000"/>
                <w:sz w:val="17"/>
                <w:u w:val="single"/>
                <w:vertAlign w:val="superscript"/>
              </w:rPr>
              <w:t>[45]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4D7BAAD">
            <w:pPr>
              <w:spacing w:after="0" w:line="360" w:lineRule="auto"/>
            </w:pPr>
            <w:r>
              <w:rPr>
                <w:rFonts w:ascii="inter" w:hAnsi="inter" w:eastAsia="inter" w:cs="inter"/>
                <w:color w:val="000000"/>
                <w:sz w:val="17"/>
              </w:rPr>
              <w:t>学龄人口减少带来结构性资源重配机遇；数字体育降低边际成本</w:t>
            </w:r>
            <w:r>
              <w:fldChar w:fldCharType="begin"/>
            </w:r>
            <w:r>
              <w:instrText xml:space="preserve"> HYPERLINK \l "fn50" \h </w:instrText>
            </w:r>
            <w:r>
              <w:fldChar w:fldCharType="separate"/>
            </w:r>
            <w:r>
              <w:rPr>
                <w:rFonts w:ascii="inter" w:hAnsi="inter" w:eastAsia="inter" w:cs="inter"/>
                <w:color w:val="000000"/>
                <w:sz w:val="17"/>
                <w:u w:val="single"/>
                <w:vertAlign w:val="superscript"/>
              </w:rPr>
              <w:t>[50]</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1769594">
            <w:pPr>
              <w:spacing w:after="0" w:line="360" w:lineRule="auto"/>
            </w:pPr>
            <w:r>
              <w:rPr>
                <w:rFonts w:ascii="inter" w:hAnsi="inter" w:eastAsia="inter" w:cs="inter"/>
                <w:color w:val="000000"/>
                <w:sz w:val="17"/>
              </w:rPr>
              <w:t>财政压力下体育投入仍易被压缩；资源不均可能拉大地区间体质差距</w:t>
            </w:r>
            <w:r>
              <w:fldChar w:fldCharType="begin"/>
            </w:r>
            <w:r>
              <w:instrText xml:space="preserve"> HYPERLINK \l "fn50" \h </w:instrText>
            </w:r>
            <w:r>
              <w:fldChar w:fldCharType="separate"/>
            </w:r>
            <w:r>
              <w:rPr>
                <w:rFonts w:ascii="inter" w:hAnsi="inter" w:eastAsia="inter" w:cs="inter"/>
                <w:color w:val="000000"/>
                <w:sz w:val="17"/>
                <w:u w:val="single"/>
                <w:vertAlign w:val="superscript"/>
              </w:rPr>
              <w:t>[50]</w:t>
            </w:r>
            <w:r>
              <w:rPr>
                <w:rFonts w:ascii="inter" w:hAnsi="inter" w:eastAsia="inter" w:cs="inter"/>
                <w:color w:val="000000"/>
                <w:sz w:val="17"/>
                <w:u w:val="single"/>
                <w:vertAlign w:val="superscript"/>
              </w:rPr>
              <w:fldChar w:fldCharType="end"/>
            </w:r>
            <w:r>
              <w:fldChar w:fldCharType="begin"/>
            </w:r>
            <w:r>
              <w:instrText xml:space="preserve"> HYPERLINK \l "fn43" \h </w:instrText>
            </w:r>
            <w:r>
              <w:fldChar w:fldCharType="separate"/>
            </w:r>
            <w:r>
              <w:rPr>
                <w:rFonts w:ascii="inter" w:hAnsi="inter" w:eastAsia="inter" w:cs="inter"/>
                <w:color w:val="000000"/>
                <w:sz w:val="17"/>
                <w:u w:val="single"/>
                <w:vertAlign w:val="superscript"/>
              </w:rPr>
              <w:t>[43]</w:t>
            </w:r>
            <w:r>
              <w:rPr>
                <w:rFonts w:ascii="inter" w:hAnsi="inter" w:eastAsia="inter" w:cs="inter"/>
                <w:color w:val="000000"/>
                <w:sz w:val="17"/>
                <w:u w:val="single"/>
                <w:vertAlign w:val="superscript"/>
              </w:rPr>
              <w:fldChar w:fldCharType="end"/>
            </w:r>
          </w:p>
        </w:tc>
      </w:tr>
      <w:tr w14:paraId="582E967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3D17F2D">
            <w:pPr>
              <w:spacing w:after="0" w:line="360" w:lineRule="auto"/>
            </w:pPr>
            <w:r>
              <w:rPr>
                <w:rFonts w:ascii="inter" w:hAnsi="inter" w:eastAsia="inter" w:cs="inter"/>
                <w:color w:val="000000"/>
                <w:sz w:val="17"/>
              </w:rPr>
              <w:t>社会S</w:t>
            </w:r>
          </w:p>
        </w:tc>
        <w:tc>
          <w:tcPr>
            <w:tcBorders>
              <w:top w:val="single" w:color="000000" w:sz="0" w:space="0"/>
              <w:bottom w:val="single" w:color="000000" w:sz="0" w:space="0"/>
              <w:right w:val="single" w:color="000000" w:sz="0" w:space="0"/>
            </w:tcBorders>
          </w:tcPr>
          <w:p w14:paraId="11103A03">
            <w:pPr>
              <w:spacing w:after="0" w:line="360" w:lineRule="auto"/>
            </w:pPr>
            <w:r>
              <w:rPr>
                <w:rFonts w:ascii="inter" w:hAnsi="inter" w:eastAsia="inter" w:cs="inter"/>
                <w:color w:val="000000"/>
                <w:sz w:val="17"/>
              </w:rPr>
              <w:t>全社会健康意识显著提升；家长和舆论普遍支持加强体育</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"fn11" \h </w:instrText>
            </w:r>
            <w:r>
              <w:fldChar w:fldCharType="separate"/>
            </w:r>
            <w:r>
              <w:rPr>
                <w:rFonts w:ascii="inter" w:hAnsi="inter" w:eastAsia="inter" w:cs="inter"/>
                <w:color w:val="000000"/>
                <w:sz w:val="17"/>
                <w:u w:val="single"/>
                <w:vertAlign w:val="superscript"/>
              </w:rPr>
              <w:t>[11]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95D5750">
            <w:pPr>
              <w:spacing w:after="0" w:line="360" w:lineRule="auto"/>
            </w:pPr>
            <w:r>
              <w:rPr>
                <w:rFonts w:ascii="inter" w:hAnsi="inter" w:eastAsia="inter" w:cs="inter"/>
                <w:color w:val="000000"/>
                <w:sz w:val="17"/>
              </w:rPr>
              <w:t>升学压力与应试文化惯性强；体育仍被视为可被“挤占”的边缘学科</w:t>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r>
              <w:fldChar w:fldCharType="begin"/>
            </w:r>
            <w:r>
              <w:instrText xml:space="preserve"> HYPERLINK \l "fn19" \h </w:instrText>
            </w:r>
            <w:r>
              <w:fldChar w:fldCharType="separate"/>
            </w:r>
            <w:r>
              <w:rPr>
                <w:rFonts w:ascii="inter" w:hAnsi="inter" w:eastAsia="inter" w:cs="inter"/>
                <w:color w:val="000000"/>
                <w:sz w:val="17"/>
                <w:u w:val="single"/>
                <w:vertAlign w:val="superscript"/>
              </w:rPr>
              <w:t>[19]</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74A358CA">
            <w:pPr>
              <w:spacing w:after="0" w:line="360" w:lineRule="auto"/>
            </w:pPr>
            <w:r>
              <w:rPr>
                <w:rFonts w:ascii="inter" w:hAnsi="inter" w:eastAsia="inter" w:cs="inter"/>
                <w:color w:val="000000"/>
                <w:sz w:val="17"/>
              </w:rPr>
              <w:t>体育中高考分值提升和“双减”共同重塑教育价值排序</w:t>
            </w:r>
            <w:r>
              <w:fldChar w:fldCharType="begin"/>
            </w:r>
            <w:r>
              <w:instrText xml:space="preserve"> HYPERLINK \l "fn42" \h </w:instrText>
            </w:r>
            <w:r>
              <w:fldChar w:fldCharType="separate"/>
            </w:r>
            <w:r>
              <w:rPr>
                <w:rFonts w:ascii="inter" w:hAnsi="inter" w:eastAsia="inter" w:cs="inter"/>
                <w:color w:val="000000"/>
                <w:sz w:val="17"/>
                <w:u w:val="single"/>
                <w:vertAlign w:val="superscript"/>
              </w:rPr>
              <w:t>[42]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60BC070">
            <w:pPr>
              <w:spacing w:after="0" w:line="360" w:lineRule="auto"/>
            </w:pPr>
            <w:r>
              <w:rPr>
                <w:rFonts w:ascii="inter" w:hAnsi="inter" w:eastAsia="inter" w:cs="inter"/>
                <w:color w:val="000000"/>
                <w:sz w:val="17"/>
              </w:rPr>
              <w:t>数字娱乐与久坐生活方式挤压运动时间；弱势群体健康机会不均</w:t>
            </w:r>
            <w:r>
              <w:fldChar w:fldCharType="begin"/>
            </w:r>
            <w:r>
              <w:instrText xml:space="preserve"> HYPERLINK \l "fn26" \h </w:instrText>
            </w:r>
            <w:r>
              <w:fldChar w:fldCharType="separate"/>
            </w:r>
            <w:r>
              <w:rPr>
                <w:rFonts w:ascii="inter" w:hAnsi="inter" w:eastAsia="inter" w:cs="inter"/>
                <w:color w:val="000000"/>
                <w:sz w:val="17"/>
                <w:u w:val="single"/>
                <w:vertAlign w:val="superscript"/>
              </w:rPr>
              <w:t>[26]</w:t>
            </w:r>
            <w:r>
              <w:rPr>
                <w:rFonts w:ascii="inter" w:hAnsi="inter" w:eastAsia="inter" w:cs="inter"/>
                <w:color w:val="000000"/>
                <w:sz w:val="17"/>
                <w:u w:val="single"/>
                <w:vertAlign w:val="superscript"/>
              </w:rPr>
              <w:fldChar w:fldCharType="end"/>
            </w:r>
            <w:r>
              <w:fldChar w:fldCharType="begin"/>
            </w:r>
            <w:r>
              <w:instrText xml:space="preserve"> HYPERLINK \l "fn52" \h </w:instrText>
            </w:r>
            <w:r>
              <w:fldChar w:fldCharType="separate"/>
            </w:r>
            <w:r>
              <w:rPr>
                <w:rFonts w:ascii="inter" w:hAnsi="inter" w:eastAsia="inter" w:cs="inter"/>
                <w:color w:val="000000"/>
                <w:sz w:val="17"/>
                <w:u w:val="single"/>
                <w:vertAlign w:val="superscript"/>
              </w:rPr>
              <w:t>[52]</w:t>
            </w:r>
            <w:r>
              <w:rPr>
                <w:rFonts w:ascii="inter" w:hAnsi="inter" w:eastAsia="inter" w:cs="inter"/>
                <w:color w:val="000000"/>
                <w:sz w:val="17"/>
                <w:u w:val="single"/>
                <w:vertAlign w:val="superscript"/>
              </w:rPr>
              <w:fldChar w:fldCharType="end"/>
            </w:r>
            <w:r>
              <w:fldChar w:fldCharType="begin"/>
            </w:r>
            <w:r>
              <w:instrText xml:space="preserve"> HYPERLINK \l "fn53" \h </w:instrText>
            </w:r>
            <w:r>
              <w:fldChar w:fldCharType="separate"/>
            </w:r>
            <w:r>
              <w:rPr>
                <w:rFonts w:ascii="inter" w:hAnsi="inter" w:eastAsia="inter" w:cs="inter"/>
                <w:color w:val="000000"/>
                <w:sz w:val="17"/>
                <w:u w:val="single"/>
                <w:vertAlign w:val="superscript"/>
              </w:rPr>
              <w:t>[53]</w:t>
            </w:r>
            <w:r>
              <w:rPr>
                <w:rFonts w:ascii="inter" w:hAnsi="inter" w:eastAsia="inter" w:cs="inter"/>
                <w:color w:val="000000"/>
                <w:sz w:val="17"/>
                <w:u w:val="single"/>
                <w:vertAlign w:val="superscript"/>
              </w:rPr>
              <w:fldChar w:fldCharType="end"/>
            </w:r>
          </w:p>
        </w:tc>
      </w:tr>
      <w:tr w14:paraId="0C42A0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2F1586">
            <w:pPr>
              <w:spacing w:after="0" w:line="360" w:lineRule="auto"/>
            </w:pPr>
            <w:r>
              <w:rPr>
                <w:rFonts w:ascii="inter" w:hAnsi="inter" w:eastAsia="inter" w:cs="inter"/>
                <w:color w:val="000000"/>
                <w:sz w:val="17"/>
              </w:rPr>
              <w:t>技术T</w:t>
            </w:r>
          </w:p>
        </w:tc>
        <w:tc>
          <w:tcPr>
            <w:tcBorders>
              <w:top w:val="single" w:color="000000" w:sz="0" w:space="0"/>
              <w:bottom w:val="single" w:color="000000" w:sz="0" w:space="0"/>
              <w:right w:val="single" w:color="000000" w:sz="0" w:space="0"/>
            </w:tcBorders>
          </w:tcPr>
          <w:p w14:paraId="3D2CC07E">
            <w:pPr>
              <w:spacing w:after="0" w:line="360" w:lineRule="auto"/>
            </w:pPr>
            <w:r>
              <w:rPr>
                <w:rFonts w:ascii="inter" w:hAnsi="inter" w:eastAsia="inter" w:cs="inter"/>
                <w:color w:val="000000"/>
                <w:sz w:val="17"/>
              </w:rPr>
              <w:t>教育数字化战略与智慧校园建设为体育监测提供基础设施</w:t>
            </w:r>
            <w:r>
              <w:fldChar w:fldCharType="begin"/>
            </w:r>
            <w:r>
              <w:instrText xml:space="preserve"> HYPERLINK \l "fn14" \h </w:instrText>
            </w:r>
            <w:r>
              <w:fldChar w:fldCharType="separate"/>
            </w:r>
            <w:r>
              <w:rPr>
                <w:rFonts w:ascii="inter" w:hAnsi="inter" w:eastAsia="inter" w:cs="inter"/>
                <w:color w:val="000000"/>
                <w:sz w:val="17"/>
                <w:u w:val="single"/>
                <w:vertAlign w:val="superscript"/>
              </w:rPr>
              <w:t>[14]</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58DA14F">
            <w:pPr>
              <w:spacing w:after="0" w:line="360" w:lineRule="auto"/>
            </w:pPr>
            <w:r>
              <w:rPr>
                <w:rFonts w:ascii="inter" w:hAnsi="inter" w:eastAsia="inter" w:cs="inter"/>
                <w:color w:val="000000"/>
                <w:sz w:val="17"/>
              </w:rPr>
              <w:t>体育过程数据采集不足；基层数字治理能力与数据安全保障能力有限</w:t>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"fn51" \h </w:instrText>
            </w:r>
            <w:r>
              <w:fldChar w:fldCharType="separate"/>
            </w:r>
            <w:r>
              <w:rPr>
                <w:rFonts w:ascii="inter" w:hAnsi="inter" w:eastAsia="inter" w:cs="inter"/>
                <w:color w:val="000000"/>
                <w:sz w:val="17"/>
                <w:u w:val="single"/>
                <w:vertAlign w:val="superscript"/>
              </w:rPr>
              <w:t>[51]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BA57F2D">
            <w:pPr>
              <w:spacing w:after="0" w:line="360" w:lineRule="auto"/>
            </w:pPr>
            <w:r>
              <w:rPr>
                <w:rFonts w:ascii="inter" w:hAnsi="inter" w:eastAsia="inter" w:cs="inter"/>
                <w:color w:val="000000"/>
                <w:sz w:val="17"/>
              </w:rPr>
              <w:t>可穿戴设备与数字体育应用为“运动打卡+精细反馈”提供可能</w:t>
            </w:r>
            <w:r>
              <w:fldChar w:fldCharType="begin"/>
            </w:r>
            <w:r>
              <w:instrText xml:space="preserve"> HYPERLINK \l "fn51" \h </w:instrText>
            </w:r>
            <w:r>
              <w:fldChar w:fldCharType="separate"/>
            </w:r>
            <w:r>
              <w:rPr>
                <w:rFonts w:ascii="inter" w:hAnsi="inter" w:eastAsia="inter" w:cs="inter"/>
                <w:color w:val="000000"/>
                <w:sz w:val="17"/>
                <w:u w:val="single"/>
                <w:vertAlign w:val="superscript"/>
              </w:rPr>
              <w:t>[51]</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2B483D1">
            <w:pPr>
              <w:spacing w:after="0" w:line="360" w:lineRule="auto"/>
            </w:pPr>
            <w:r>
              <w:rPr>
                <w:rFonts w:ascii="inter" w:hAnsi="inter" w:eastAsia="inter" w:cs="inter"/>
                <w:color w:val="000000"/>
                <w:sz w:val="17"/>
              </w:rPr>
              <w:t>数字化可能异化为“打卡主义”；技术鸿沟加剧地区和群体差距</w:t>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p>
        </w:tc>
      </w:tr>
    </w:tbl>
    <w:p w14:paraId="488618A0"/>
    <w:p w14:paraId="58E3E9BD">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323C6082">
      <w:pPr>
        <w:spacing w:before="315" w:after="105" w:line="360" w:lineRule="auto"/>
        <w:ind w:left="-30"/>
        <w:jc w:val="left"/>
      </w:pPr>
      <w:bookmarkStart w:id="178" w:name="五_战略目标与总体路径设计"/>
      <w:r>
        <w:rPr>
          <w:rFonts w:ascii="inter" w:hAnsi="inter" w:eastAsia="inter" w:cs="inter"/>
          <w:b/>
          <w:color w:val="000000"/>
          <w:sz w:val="24"/>
        </w:rPr>
        <w:t>五、战略目标与总体路径设计</w:t>
      </w:r>
      <w:bookmarkEnd w:id="178"/>
    </w:p>
    <w:p w14:paraId="25EE23B4">
      <w:pPr>
        <w:spacing w:before="315" w:after="105" w:line="360" w:lineRule="auto"/>
        <w:ind w:left="-30"/>
        <w:jc w:val="left"/>
      </w:pPr>
      <w:bookmarkStart w:id="179" w:name="一_总体目标与阶段性目标框架_建议"/>
      <w:r>
        <w:rPr>
          <w:rFonts w:ascii="inter" w:hAnsi="inter" w:eastAsia="inter" w:cs="inter"/>
          <w:b/>
          <w:color w:val="000000"/>
          <w:sz w:val="24"/>
        </w:rPr>
        <w:t>（一）总体目标与阶段性目标框架（建议）</w:t>
      </w:r>
      <w:bookmarkEnd w:id="179"/>
    </w:p>
    <w:p w14:paraId="2E6FD653">
      <w:pPr>
        <w:spacing w:after="210" w:line="360" w:lineRule="auto"/>
      </w:pPr>
      <w:r>
        <w:rPr>
          <w:rFonts w:ascii="inter" w:hAnsi="inter" w:eastAsia="inter" w:cs="inter"/>
          <w:color w:val="000000"/>
        </w:rPr>
        <w:t>在理想条件下，可将落实“学生体质强健计划”与“2小时目标”的总体目标概括为：</w:t>
      </w:r>
    </w:p>
    <w:p w14:paraId="262AC1FF">
      <w:pPr>
        <w:spacing w:after="210" w:line="360" w:lineRule="auto"/>
        <w:ind w:left="630"/>
      </w:pPr>
      <w:r>
        <w:rPr>
          <w:rFonts w:ascii="inter" w:hAnsi="inter" w:eastAsia="inter" w:cs="inter"/>
          <w:color w:val="000000"/>
        </w:rPr>
        <w:t>在2027年前后，实现义务教育阶段学校“每天综合体育活动时间不低于2小时”的高质量全面落实，显著提升中小学生体质健康资本积累水平；到2035年，建立与教育强国、体育强国和健康中国相适应的学校体育高质量发展体系，使各学段学生体质健康达标优良率和关键体适能指标达到或显著优于《健康中国2030》相关目标。</w:t>
      </w:r>
      <w:bookmarkStart w:id="180" w:name="fnref2_15"/>
      <w:bookmarkEnd w:id="18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81" w:name="fnref6_4"/>
      <w:bookmarkEnd w:id="18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82" w:name="fnref7_3"/>
      <w:bookmarkEnd w:id="18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8C86D68">
      <w:pPr>
        <w:spacing w:after="210" w:line="360" w:lineRule="auto"/>
      </w:pPr>
      <w:r>
        <w:rPr>
          <w:rFonts w:ascii="inter" w:hAnsi="inter" w:eastAsia="inter" w:cs="inter"/>
          <w:color w:val="000000"/>
        </w:rPr>
        <w:t>结合国家既有目标和现实基础，建议在不增加课时总量前提下，大致构建如下阶段性指标体系（指标为建议性，具体数值应以国家正式规划为准）：</w:t>
      </w:r>
    </w:p>
    <w:p w14:paraId="1A6DD64E">
      <w:pPr>
        <w:numPr>
          <w:ilvl w:val="0"/>
          <w:numId w:val="8"/>
        </w:numPr>
        <w:spacing w:before="105" w:after="105" w:line="360" w:lineRule="auto"/>
      </w:pPr>
      <w:r>
        <w:rPr>
          <w:rFonts w:ascii="inter" w:hAnsi="inter" w:eastAsia="inter" w:cs="inter"/>
          <w:color w:val="000000"/>
          <w:sz w:val="21"/>
        </w:rPr>
        <w:t>近期（到2027年）：义务教育阶段学校2小时综合体育活动时间制度基本建成，覆盖率接近100%；各地学生体质健康不及格率较2020年下降30%左右；</w:t>
      </w:r>
      <w:bookmarkStart w:id="183" w:name="fnref1_3"/>
      <w:bookmarkEnd w:id="183"/>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84" w:name="fnref2_16"/>
      <w:bookmarkEnd w:id="184"/>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55C0CC69">
      <w:pPr>
        <w:numPr>
          <w:ilvl w:val="0"/>
          <w:numId w:val="8"/>
        </w:numPr>
        <w:spacing w:before="105" w:after="105" w:line="360" w:lineRule="auto"/>
      </w:pPr>
      <w:r>
        <w:rPr>
          <w:rFonts w:ascii="inter" w:hAnsi="inter" w:eastAsia="inter" w:cs="inter"/>
          <w:color w:val="000000"/>
          <w:sz w:val="21"/>
        </w:rPr>
        <w:t>中期（到2030年）：全国中小学生体质健康达标优良率达到或超过60%，学校体育场地设施与器材配置达标率接近100%，青少年每周达到中等强度活动3次以上比例显著提升；</w:t>
      </w:r>
      <w:bookmarkStart w:id="185" w:name="fnref9_4"/>
      <w:bookmarkEnd w:id="185"/>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186" w:name="fnref6_5"/>
      <w:bookmarkEnd w:id="18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87" w:name="fnref7_4"/>
      <w:bookmarkEnd w:id="18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035EAE2">
      <w:pPr>
        <w:numPr>
          <w:ilvl w:val="0"/>
          <w:numId w:val="8"/>
        </w:numPr>
        <w:spacing w:before="105" w:after="105" w:line="360" w:lineRule="auto"/>
      </w:pPr>
      <w:r>
        <w:rPr>
          <w:rFonts w:ascii="inter" w:hAnsi="inter" w:eastAsia="inter" w:cs="inter"/>
          <w:color w:val="000000"/>
          <w:sz w:val="21"/>
        </w:rPr>
        <w:t>远期（到2035年）：学校体育实现高质量、现代化发展，与健康中国行动和人口高质量发展目标高度协同，体质健康资本成为国家人力资本竞争优势的基础支撑。</w:t>
      </w:r>
      <w:bookmarkStart w:id="188" w:name="fnref43_4"/>
      <w:bookmarkEnd w:id="188"/>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bookmarkStart w:id="189" w:name="fnref10_15"/>
      <w:bookmarkEnd w:id="18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90" w:name="fnref2_17"/>
      <w:bookmarkEnd w:id="190"/>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28B9E6A2">
      <w:pPr>
        <w:spacing w:before="315" w:after="105" w:line="360" w:lineRule="auto"/>
        <w:ind w:left="-30"/>
        <w:jc w:val="left"/>
      </w:pPr>
      <w:bookmarkStart w:id="191" w:name="二_多主体协同治理机制总体框架"/>
      <w:r>
        <w:rPr>
          <w:rFonts w:ascii="inter" w:hAnsi="inter" w:eastAsia="inter" w:cs="inter"/>
          <w:b/>
          <w:color w:val="000000"/>
          <w:sz w:val="24"/>
        </w:rPr>
        <w:t>（二）多主体协同治理机制总体框架</w:t>
      </w:r>
      <w:bookmarkEnd w:id="191"/>
    </w:p>
    <w:p w14:paraId="509EB68E">
      <w:pPr>
        <w:spacing w:after="210" w:line="360" w:lineRule="auto"/>
        <w:ind w:left="630"/>
      </w:pPr>
      <w:r>
        <w:rPr>
          <w:rFonts w:ascii="inter" w:hAnsi="inter" w:eastAsia="inter" w:cs="inter"/>
          <w:color w:val="000000"/>
        </w:rPr>
        <w:t>【术语框6：多主体协同治理机制】</w:t>
      </w:r>
      <w:r>
        <w:rPr>
          <w:rFonts w:ascii="inter" w:hAnsi="inter" w:eastAsia="inter" w:cs="inter"/>
          <w:color w:val="000000"/>
        </w:rPr>
        <w:br w:type="textWrapping"/>
      </w:r>
      <w:r>
        <w:rPr>
          <w:rFonts w:ascii="inter" w:hAnsi="inter" w:eastAsia="inter" w:cs="inter"/>
          <w:color w:val="000000"/>
        </w:rPr>
        <w:t>多主体协同治理机制指在学生体质强健计划推进过程中，教育、体育、卫生健康、财政、人社、发改等政府部门与学校、家庭、社区、社会组织和企业等多元主体，通过制度化协同平台、共享数据与联合考核机制，实现共同决策、共同实施与共同监督的治理结构。</w:t>
      </w:r>
      <w:bookmarkStart w:id="192" w:name="fnref35_7"/>
      <w:bookmarkEnd w:id="192"/>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93" w:name="fnref43_5"/>
      <w:bookmarkEnd w:id="193"/>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bookmarkStart w:id="194" w:name="fnref2_18"/>
      <w:bookmarkEnd w:id="19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38165E4B">
      <w:pPr>
        <w:spacing w:after="210" w:line="360" w:lineRule="auto"/>
      </w:pPr>
      <w:r>
        <w:rPr>
          <w:rFonts w:ascii="inter" w:hAnsi="inter" w:eastAsia="inter" w:cs="inter"/>
          <w:color w:val="000000"/>
        </w:rPr>
        <w:t>一般而言，2小时目标的实现需要构建“纵向贯通、横向协同”的治理架构：</w:t>
      </w:r>
    </w:p>
    <w:p w14:paraId="25A6A66E">
      <w:pPr>
        <w:numPr>
          <w:ilvl w:val="0"/>
          <w:numId w:val="9"/>
        </w:numPr>
        <w:spacing w:before="105" w:after="105" w:line="360" w:lineRule="auto"/>
      </w:pPr>
      <w:r>
        <w:rPr>
          <w:rFonts w:ascii="inter" w:hAnsi="inter" w:eastAsia="inter" w:cs="inter"/>
          <w:color w:val="000000"/>
          <w:sz w:val="21"/>
        </w:rPr>
        <w:t>纵向上，以教育部牵头的国家层面统筹设计为顶点，省级负责统筹规划与督导，市县负责资源配置与过程监管，学校负责落实到班级、到学生的作息安排与活动组织；</w:t>
      </w:r>
      <w:bookmarkStart w:id="195" w:name="fnref5_3"/>
      <w:bookmarkEnd w:id="195"/>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96" w:name="fnref1_4"/>
      <w:bookmarkEnd w:id="196"/>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36579C87">
      <w:pPr>
        <w:numPr>
          <w:ilvl w:val="0"/>
          <w:numId w:val="9"/>
        </w:numPr>
        <w:spacing w:before="105" w:after="105" w:line="360" w:lineRule="auto"/>
      </w:pPr>
      <w:r>
        <w:rPr>
          <w:rFonts w:ascii="inter" w:hAnsi="inter" w:eastAsia="inter" w:cs="inter"/>
          <w:color w:val="000000"/>
          <w:sz w:val="21"/>
        </w:rPr>
        <w:t>横向上，通过“体教融合领导小组”“卫体融合工作专班”等形式，整合体育、卫生健康、发改、财政与人社部门资源，形成在场地建设、师资补充、健康监测和财政激励等方面的协同合力；</w:t>
      </w:r>
      <w:bookmarkStart w:id="197" w:name="fnref10_16"/>
      <w:bookmarkEnd w:id="19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98" w:name="fnref48_2"/>
      <w:bookmarkEnd w:id="198"/>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bookmarkStart w:id="199" w:name="fnref2_19"/>
      <w:bookmarkEnd w:id="199"/>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2E819355">
      <w:pPr>
        <w:numPr>
          <w:ilvl w:val="0"/>
          <w:numId w:val="9"/>
        </w:numPr>
        <w:spacing w:before="105" w:after="105" w:line="360" w:lineRule="auto"/>
      </w:pPr>
      <w:r>
        <w:rPr>
          <w:rFonts w:ascii="inter" w:hAnsi="inter" w:eastAsia="inter" w:cs="inter"/>
          <w:color w:val="000000"/>
          <w:sz w:val="21"/>
        </w:rPr>
        <w:t>社会参与层面，通过政府购买服务、志愿者计划和社会体育组织入校等途径，引导社会力量参与课后体育服务和赛事活动供给。</w:t>
      </w:r>
      <w:bookmarkStart w:id="200" w:name="fnref39_4"/>
      <w:bookmarkEnd w:id="200"/>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201" w:name="fnref48_3"/>
      <w:bookmarkEnd w:id="201"/>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bookmarkStart w:id="202" w:name="fnref43_6"/>
      <w:bookmarkEnd w:id="202"/>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p>
    <w:p w14:paraId="1DC31CDD">
      <w:pPr>
        <w:spacing w:before="315" w:after="105" w:line="360" w:lineRule="auto"/>
        <w:ind w:left="-30"/>
        <w:jc w:val="left"/>
      </w:pPr>
      <w:bookmarkStart w:id="203" w:name="三_时间资源配置效率优化与_理想日活动时间分配图"/>
      <w:r>
        <w:rPr>
          <w:rFonts w:ascii="inter" w:hAnsi="inter" w:eastAsia="inter" w:cs="inter"/>
          <w:b/>
          <w:color w:val="000000"/>
          <w:sz w:val="24"/>
        </w:rPr>
        <w:t>（三）时间资源配置效率优化与“理想日活动时间分配图”</w:t>
      </w:r>
      <w:bookmarkEnd w:id="203"/>
    </w:p>
    <w:p w14:paraId="3C0A5C98">
      <w:pPr>
        <w:spacing w:after="210" w:line="360" w:lineRule="auto"/>
      </w:pPr>
      <w:r>
        <w:rPr>
          <w:rFonts w:ascii="inter" w:hAnsi="inter" w:eastAsia="inter" w:cs="inter"/>
          <w:color w:val="000000"/>
        </w:rPr>
        <w:t>在不增加课时总量的前提下，一般建议通过以下路径提升“时间资源配置效率”：</w:t>
      </w:r>
    </w:p>
    <w:p w14:paraId="658A3F62">
      <w:pPr>
        <w:numPr>
          <w:ilvl w:val="0"/>
          <w:numId w:val="10"/>
        </w:numPr>
        <w:spacing w:before="105" w:after="105" w:line="360" w:lineRule="auto"/>
      </w:pPr>
      <w:r>
        <w:rPr>
          <w:rFonts w:ascii="inter" w:hAnsi="inter" w:eastAsia="inter" w:cs="inter"/>
          <w:color w:val="000000"/>
          <w:sz w:val="21"/>
        </w:rPr>
        <w:t>基于“双减”成果，对日常作息结构进行再设计，在保持睡眠时间充足的前提下，将原本被“低效作业”和“低质量补习”占据的时间部分重构为系统化体育活动；</w:t>
      </w:r>
      <w:bookmarkStart w:id="204" w:name="fnref47_2"/>
      <w:bookmarkEnd w:id="204"/>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bookmarkStart w:id="205" w:name="fnref19_3"/>
      <w:bookmarkEnd w:id="205"/>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bookmarkStart w:id="206" w:name="fnref20_4"/>
      <w:bookmarkEnd w:id="206"/>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0582C6C8">
      <w:pPr>
        <w:numPr>
          <w:ilvl w:val="0"/>
          <w:numId w:val="10"/>
        </w:numPr>
        <w:spacing w:before="105" w:after="105" w:line="360" w:lineRule="auto"/>
      </w:pPr>
      <w:r>
        <w:rPr>
          <w:rFonts w:ascii="inter" w:hAnsi="inter" w:eastAsia="inter" w:cs="inter"/>
          <w:color w:val="000000"/>
          <w:sz w:val="21"/>
        </w:rPr>
        <w:t>通过课程结构调整，实现小学阶段“每天一节体育课+足量大课间和课后体育活动”，初中阶段“每周不少于5节体育与健康课+每天大课间+课后体育社团或训练”的制度安排；</w:t>
      </w:r>
      <w:bookmarkStart w:id="207" w:name="fnref41_2"/>
      <w:bookmarkEnd w:id="207"/>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bookmarkStart w:id="208" w:name="fnref39_5"/>
      <w:bookmarkEnd w:id="208"/>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209" w:name="fnref17_7"/>
      <w:bookmarkEnd w:id="20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7B419178">
      <w:pPr>
        <w:numPr>
          <w:ilvl w:val="0"/>
          <w:numId w:val="10"/>
        </w:numPr>
        <w:spacing w:before="105" w:after="105" w:line="360" w:lineRule="auto"/>
      </w:pPr>
      <w:r>
        <w:rPr>
          <w:rFonts w:ascii="inter" w:hAnsi="inter" w:eastAsia="inter" w:cs="inter"/>
          <w:color w:val="000000"/>
          <w:sz w:val="21"/>
        </w:rPr>
        <w:t>将家庭“屏幕娱乐时间”的一部分引导转化为家庭体育活动，通过“运动家庭作业”“亲子运动日记”等机制推动家校协同。</w:t>
      </w:r>
      <w:bookmarkStart w:id="210" w:name="fnref53_3"/>
      <w:bookmarkEnd w:id="210"/>
      <w:r>
        <w:fldChar w:fldCharType="begin"/>
      </w:r>
      <w:r>
        <w:instrText xml:space="preserve"> HYPERLINK \l "fn53" \h </w:instrText>
      </w:r>
      <w:r>
        <w:fldChar w:fldCharType="separate"/>
      </w:r>
      <w:r>
        <w:rPr>
          <w:rFonts w:ascii="inter" w:hAnsi="inter" w:eastAsia="inter" w:cs="inter"/>
          <w:color w:val="000000"/>
          <w:sz w:val="21"/>
          <w:u w:val="single"/>
          <w:vertAlign w:val="superscript"/>
        </w:rPr>
        <w:t>[53]</w:t>
      </w:r>
      <w:r>
        <w:rPr>
          <w:rFonts w:ascii="inter" w:hAnsi="inter" w:eastAsia="inter" w:cs="inter"/>
          <w:color w:val="000000"/>
          <w:sz w:val="21"/>
          <w:u w:val="single"/>
          <w:vertAlign w:val="superscript"/>
        </w:rPr>
        <w:fldChar w:fldCharType="end"/>
      </w:r>
      <w:bookmarkStart w:id="211" w:name="fnref51_5"/>
      <w:bookmarkEnd w:id="211"/>
      <w:r>
        <w:fldChar w:fldCharType="begin"/>
      </w:r>
      <w:r>
        <w:instrText xml:space="preserve"> HYPERLINK \l "fn51" \h </w:instrText>
      </w:r>
      <w:r>
        <w:fldChar w:fldCharType="separate"/>
      </w:r>
      <w:r>
        <w:rPr>
          <w:rFonts w:ascii="inter" w:hAnsi="inter" w:eastAsia="inter" w:cs="inter"/>
          <w:color w:val="000000"/>
          <w:sz w:val="21"/>
          <w:u w:val="single"/>
          <w:vertAlign w:val="superscript"/>
        </w:rPr>
        <w:t>[51]</w:t>
      </w:r>
      <w:r>
        <w:rPr>
          <w:rFonts w:ascii="inter" w:hAnsi="inter" w:eastAsia="inter" w:cs="inter"/>
          <w:color w:val="000000"/>
          <w:sz w:val="21"/>
          <w:u w:val="single"/>
          <w:vertAlign w:val="superscript"/>
        </w:rPr>
        <w:fldChar w:fldCharType="end"/>
      </w:r>
      <w:bookmarkStart w:id="212" w:name="fnref7_5"/>
      <w:bookmarkEnd w:id="21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BB9B043">
      <w:pPr>
        <w:spacing w:after="210" w:line="360" w:lineRule="auto"/>
      </w:pPr>
      <w:r>
        <w:rPr>
          <w:rFonts w:ascii="inter" w:hAnsi="inter" w:eastAsia="inter" w:cs="inter"/>
          <w:b/>
          <w:color w:val="000000"/>
        </w:rPr>
        <w:t>（文字描述）理想日活动时间分配饼状图</w:t>
      </w:r>
      <w:r>
        <w:rPr>
          <w:rFonts w:ascii="inter" w:hAnsi="inter" w:eastAsia="inter" w:cs="inter"/>
          <w:color w:val="000000"/>
        </w:rPr>
        <w:br w:type="textWrapping"/>
      </w:r>
      <w:r>
        <w:rPr>
          <w:rFonts w:ascii="inter" w:hAnsi="inter" w:eastAsia="inter" w:cs="inter"/>
          <w:color w:val="000000"/>
        </w:rPr>
        <w:t>从结构上，可构想一个理想的学生日常作息饼状图，其主要板块包括：</w:t>
      </w:r>
      <w:r>
        <w:rPr>
          <w:rFonts w:ascii="inter" w:hAnsi="inter" w:eastAsia="inter" w:cs="inter"/>
          <w:color w:val="000000"/>
        </w:rPr>
        <w:br w:type="textWrapping"/>
      </w:r>
      <w:r>
        <w:rPr>
          <w:rFonts w:ascii="inter" w:hAnsi="inter" w:eastAsia="inter" w:cs="inter"/>
          <w:color w:val="000000"/>
        </w:rPr>
        <w:t>——睡眠时间（保证充足睡眠的基本板块）；</w:t>
      </w:r>
      <w:r>
        <w:rPr>
          <w:rFonts w:ascii="inter" w:hAnsi="inter" w:eastAsia="inter" w:cs="inter"/>
          <w:color w:val="000000"/>
        </w:rPr>
        <w:br w:type="textWrapping"/>
      </w:r>
      <w:r>
        <w:rPr>
          <w:rFonts w:ascii="inter" w:hAnsi="inter" w:eastAsia="inter" w:cs="inter"/>
          <w:color w:val="000000"/>
        </w:rPr>
        <w:t>——课堂学习时间（含各学科课程）；</w:t>
      </w:r>
      <w:r>
        <w:rPr>
          <w:rFonts w:ascii="inter" w:hAnsi="inter" w:eastAsia="inter" w:cs="inter"/>
          <w:color w:val="000000"/>
        </w:rPr>
        <w:br w:type="textWrapping"/>
      </w:r>
      <w:r>
        <w:rPr>
          <w:rFonts w:ascii="inter" w:hAnsi="inter" w:eastAsia="inter" w:cs="inter"/>
          <w:color w:val="000000"/>
        </w:rPr>
        <w:t>——综合体育活动时间（不少于2小时，其中校内活动不少于1小时，校外或家庭活动约1小时）；</w:t>
      </w:r>
      <w:r>
        <w:rPr>
          <w:rFonts w:ascii="inter" w:hAnsi="inter" w:eastAsia="inter" w:cs="inter"/>
          <w:color w:val="000000"/>
        </w:rPr>
        <w:br w:type="textWrapping"/>
      </w:r>
      <w:r>
        <w:rPr>
          <w:rFonts w:ascii="inter" w:hAnsi="inter" w:eastAsia="inter" w:cs="inter"/>
          <w:color w:val="000000"/>
        </w:rPr>
        <w:t>——家庭作业与自主学习时间（在“双减”框架下适度压缩、提质）；</w:t>
      </w:r>
      <w:r>
        <w:rPr>
          <w:rFonts w:ascii="inter" w:hAnsi="inter" w:eastAsia="inter" w:cs="inter"/>
          <w:color w:val="000000"/>
        </w:rPr>
        <w:br w:type="textWrapping"/>
      </w:r>
      <w:r>
        <w:rPr>
          <w:rFonts w:ascii="inter" w:hAnsi="inter" w:eastAsia="inter" w:cs="inter"/>
          <w:color w:val="000000"/>
        </w:rPr>
        <w:t>——生活劳动与兴趣特长活动时间；</w:t>
      </w:r>
      <w:r>
        <w:rPr>
          <w:rFonts w:ascii="inter" w:hAnsi="inter" w:eastAsia="inter" w:cs="inter"/>
          <w:color w:val="000000"/>
        </w:rPr>
        <w:br w:type="textWrapping"/>
      </w:r>
      <w:r>
        <w:rPr>
          <w:rFonts w:ascii="inter" w:hAnsi="inter" w:eastAsia="inter" w:cs="inter"/>
          <w:color w:val="000000"/>
        </w:rPr>
        <w:t>——可支配娱乐与屏幕使用时间（通过干预控制总量并强化健康导向）。</w:t>
      </w:r>
    </w:p>
    <w:p w14:paraId="27B5249E">
      <w:pPr>
        <w:spacing w:after="210" w:line="360" w:lineRule="auto"/>
      </w:pPr>
      <w:r>
        <w:rPr>
          <w:rFonts w:ascii="inter" w:hAnsi="inter" w:eastAsia="inter" w:cs="inter"/>
          <w:color w:val="000000"/>
        </w:rPr>
        <w:t>在该图中，综合体育活动时间应被视为与课堂学习、睡眠同等重要的“刚性时间板块”，而非在其他活动之后“剩余时间的被动残留”，以此实现时间结构的制度性重构。</w:t>
      </w:r>
      <w:bookmarkStart w:id="213" w:name="fnref17_8"/>
      <w:bookmarkEnd w:id="21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14" w:name="fnref2_20"/>
      <w:bookmarkEnd w:id="21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15" w:name="fnref10_17"/>
      <w:bookmarkEnd w:id="21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2DFF84A">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B9A6797">
      <w:pPr>
        <w:spacing w:before="315" w:after="105" w:line="360" w:lineRule="auto"/>
        <w:ind w:left="-30"/>
        <w:jc w:val="left"/>
      </w:pPr>
      <w:bookmarkStart w:id="216" w:name="六_短期干预_中期建设_长期改革_的三阶段政策工具箱设计"/>
      <w:r>
        <w:rPr>
          <w:rFonts w:ascii="inter" w:hAnsi="inter" w:eastAsia="inter" w:cs="inter"/>
          <w:b/>
          <w:color w:val="000000"/>
          <w:sz w:val="24"/>
        </w:rPr>
        <w:t>六、“短期干预—中期建设—长期改革”的三阶段政策工具箱设计</w:t>
      </w:r>
      <w:bookmarkEnd w:id="216"/>
    </w:p>
    <w:p w14:paraId="3B2616A3">
      <w:pPr>
        <w:spacing w:after="210" w:line="360" w:lineRule="auto"/>
      </w:pPr>
      <w:r>
        <w:rPr>
          <w:rFonts w:ascii="inter" w:hAnsi="inter" w:eastAsia="inter" w:cs="inter"/>
          <w:color w:val="000000"/>
        </w:rPr>
        <w:t>在综合PEST-SWOT分析基础上，本报告建议构建一个包含短期（1–2年）、中期（3–5年）和长期（5–10年）的“组合拳”式政策工具箱，通过多类型工具协同，实现从“时间达标”到“体质提升”的转化。</w:t>
      </w:r>
      <w:bookmarkStart w:id="217" w:name="fnref37_13"/>
      <w:bookmarkEnd w:id="21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218" w:name="fnref43_7"/>
      <w:bookmarkEnd w:id="218"/>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bookmarkStart w:id="219" w:name="fnref2_21"/>
      <w:bookmarkEnd w:id="21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5F366CC">
      <w:pPr>
        <w:spacing w:before="315" w:after="105" w:line="360" w:lineRule="auto"/>
        <w:ind w:left="-30"/>
        <w:jc w:val="left"/>
      </w:pPr>
      <w:bookmarkStart w:id="220" w:name="一_短期干预阶段_1_2年_聚焦时间刚性与过程可视化"/>
      <w:r>
        <w:rPr>
          <w:rFonts w:ascii="inter" w:hAnsi="inter" w:eastAsia="inter" w:cs="inter"/>
          <w:b/>
          <w:color w:val="000000"/>
          <w:sz w:val="24"/>
        </w:rPr>
        <w:t>（一）短期干预阶段（1–2年）：聚焦时间刚性与过程可视化</w:t>
      </w:r>
      <w:bookmarkEnd w:id="220"/>
    </w:p>
    <w:p w14:paraId="0374BAFB">
      <w:pPr>
        <w:spacing w:before="315" w:after="105" w:line="360" w:lineRule="auto"/>
        <w:ind w:left="-30"/>
        <w:jc w:val="left"/>
      </w:pPr>
      <w:bookmarkStart w:id="221" w:name="bm_1_主要政策工具组_建议"/>
      <w:r>
        <w:rPr>
          <w:rFonts w:ascii="inter" w:hAnsi="inter" w:eastAsia="inter" w:cs="inter"/>
          <w:b/>
          <w:color w:val="000000"/>
          <w:sz w:val="24"/>
        </w:rPr>
        <w:t>1. 主要政策工具组（建议）</w:t>
      </w:r>
      <w:bookmarkEnd w:id="221"/>
    </w:p>
    <w:p w14:paraId="0DFF24CD">
      <w:pPr>
        <w:spacing w:after="210" w:line="360" w:lineRule="auto"/>
      </w:pPr>
      <w:r>
        <w:rPr>
          <w:rFonts w:ascii="inter" w:hAnsi="inter" w:eastAsia="inter" w:cs="inter"/>
          <w:color w:val="000000"/>
        </w:rPr>
        <w:t>（1）</w:t>
      </w:r>
      <w:r>
        <w:rPr>
          <w:rFonts w:ascii="inter" w:hAnsi="inter" w:eastAsia="inter" w:cs="inter"/>
          <w:b/>
          <w:color w:val="000000"/>
        </w:rPr>
        <w:t>课表刚性管控与公开承诺制</w:t>
      </w:r>
      <w:r>
        <w:rPr>
          <w:rFonts w:ascii="inter" w:hAnsi="inter" w:eastAsia="inter" w:cs="inter"/>
          <w:color w:val="000000"/>
        </w:rPr>
        <w:br w:type="textWrapping"/>
      </w:r>
      <w:r>
        <w:rPr>
          <w:rFonts w:ascii="inter" w:hAnsi="inter" w:eastAsia="inter" w:cs="inter"/>
          <w:color w:val="000000"/>
        </w:rPr>
        <w:t>——工具内容：在义务教育阶段全面落实“每天至少一节体育与健康课+一个不少于25–30分钟的大课间”的课表硬约束，并在学校层面公开作息表和体育活动安排。</w:t>
      </w:r>
      <w:bookmarkStart w:id="222" w:name="fnref54"/>
      <w:bookmarkEnd w:id="222"/>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bookmarkStart w:id="223" w:name="fnref39_6"/>
      <w:bookmarkEnd w:id="223"/>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224" w:name="fnref17_9"/>
      <w:bookmarkEnd w:id="22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E344914">
      <w:pPr>
        <w:spacing w:after="210" w:line="360" w:lineRule="auto"/>
      </w:pPr>
      <w:r>
        <w:rPr>
          <w:rFonts w:ascii="inter" w:hAnsi="inter" w:eastAsia="inter" w:cs="inter"/>
          <w:color w:val="000000"/>
        </w:rPr>
        <w:t>（2）</w:t>
      </w:r>
      <w:r>
        <w:rPr>
          <w:rFonts w:ascii="inter" w:hAnsi="inter" w:eastAsia="inter" w:cs="inter"/>
          <w:b/>
          <w:color w:val="000000"/>
        </w:rPr>
        <w:t>体育活动过程数字化打卡与监测仪表盘</w:t>
      </w:r>
      <w:r>
        <w:rPr>
          <w:rFonts w:ascii="inter" w:hAnsi="inter" w:eastAsia="inter" w:cs="inter"/>
          <w:color w:val="000000"/>
        </w:rPr>
        <w:br w:type="textWrapping"/>
      </w:r>
      <w:r>
        <w:rPr>
          <w:rFonts w:ascii="inter" w:hAnsi="inter" w:eastAsia="inter" w:cs="inter"/>
          <w:color w:val="000000"/>
        </w:rPr>
        <w:t>——工具内容：依托国家与地方教育数字化平台，开发统一的体育活动打卡与数据采集模块，支持学校、教师和家长实时掌握学生体育活动时长与频次。</w:t>
      </w:r>
      <w:bookmarkStart w:id="225" w:name="fnref14_4"/>
      <w:bookmarkEnd w:id="22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26" w:name="fnref8_5"/>
      <w:bookmarkEnd w:id="22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27" w:name="fnref37_14"/>
      <w:bookmarkEnd w:id="22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437BD5E0">
      <w:pPr>
        <w:spacing w:after="210" w:line="360" w:lineRule="auto"/>
      </w:pPr>
      <w:r>
        <w:rPr>
          <w:rFonts w:ascii="inter" w:hAnsi="inter" w:eastAsia="inter" w:cs="inter"/>
          <w:color w:val="000000"/>
        </w:rPr>
        <w:t>（3）</w:t>
      </w:r>
      <w:r>
        <w:rPr>
          <w:rFonts w:ascii="inter" w:hAnsi="inter" w:eastAsia="inter" w:cs="inter"/>
          <w:b/>
          <w:color w:val="000000"/>
        </w:rPr>
        <w:t>“2小时落实情况”专项督导与问责试点</w:t>
      </w:r>
      <w:r>
        <w:rPr>
          <w:rFonts w:ascii="inter" w:hAnsi="inter" w:eastAsia="inter" w:cs="inter"/>
          <w:color w:val="000000"/>
        </w:rPr>
        <w:br w:type="textWrapping"/>
      </w:r>
      <w:r>
        <w:rPr>
          <w:rFonts w:ascii="inter" w:hAnsi="inter" w:eastAsia="inter" w:cs="inter"/>
          <w:color w:val="000000"/>
        </w:rPr>
        <w:t>——工具内容：由省级教育行政部门牵头，将“综合体育活动时间落实情况”纳入年度教育督导重点，对长期不能保证体育课和学生体育活动时间、体质健康水平连续下降的地区和学校实施“一票否决”等约束。</w:t>
      </w:r>
      <w:bookmarkStart w:id="228" w:name="fnref24_11"/>
      <w:bookmarkEnd w:id="228"/>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229" w:name="fnref23_5"/>
      <w:bookmarkEnd w:id="229"/>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230" w:name="fnref2_22"/>
      <w:bookmarkEnd w:id="23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FAD8889">
      <w:pPr>
        <w:spacing w:after="210" w:line="360" w:lineRule="auto"/>
      </w:pPr>
      <w:r>
        <w:rPr>
          <w:rFonts w:ascii="inter" w:hAnsi="inter" w:eastAsia="inter" w:cs="inter"/>
          <w:color w:val="000000"/>
        </w:rPr>
        <w:t>（4）</w:t>
      </w:r>
      <w:r>
        <w:rPr>
          <w:rFonts w:ascii="inter" w:hAnsi="inter" w:eastAsia="inter" w:cs="inter"/>
          <w:b/>
          <w:color w:val="000000"/>
        </w:rPr>
        <w:t>安全风险预案与应急处置规范</w:t>
      </w:r>
      <w:r>
        <w:rPr>
          <w:rFonts w:ascii="inter" w:hAnsi="inter" w:eastAsia="inter" w:cs="inter"/>
          <w:color w:val="000000"/>
        </w:rPr>
        <w:br w:type="textWrapping"/>
      </w:r>
      <w:r>
        <w:rPr>
          <w:rFonts w:ascii="inter" w:hAnsi="inter" w:eastAsia="inter" w:cs="inter"/>
          <w:color w:val="000000"/>
        </w:rPr>
        <w:t>——工具内容：更新和细化体育活动安全指南、体测与大运动项目风险评估标准，普及教师急救技能和合理负荷分配，降低增加活动时长带来的安全风险。</w:t>
      </w:r>
      <w:bookmarkStart w:id="231" w:name="fnref14_5"/>
      <w:bookmarkEnd w:id="23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32" w:name="fnref7_6"/>
      <w:bookmarkEnd w:id="23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33" w:name="fnref9_5"/>
      <w:bookmarkEnd w:id="23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1A1473F">
      <w:pPr>
        <w:spacing w:before="315" w:after="105" w:line="360" w:lineRule="auto"/>
        <w:ind w:left="-30"/>
        <w:jc w:val="left"/>
      </w:pPr>
      <w:bookmarkStart w:id="234" w:name="bm_2_工具优势_局限与实施条件对比表_短期"/>
      <w:r>
        <w:rPr>
          <w:rFonts w:ascii="inter" w:hAnsi="inter" w:eastAsia="inter" w:cs="inter"/>
          <w:b/>
          <w:color w:val="000000"/>
          <w:sz w:val="24"/>
        </w:rPr>
        <w:t>2. 工具优势、局限与实施条件对比表（短期）</w:t>
      </w:r>
      <w:bookmarkEnd w:id="234"/>
    </w:p>
    <w:p w14:paraId="33A9C001">
      <w:pPr>
        <w:spacing w:after="210" w:line="360" w:lineRule="auto"/>
      </w:pPr>
      <w:r>
        <w:rPr>
          <w:rFonts w:ascii="inter" w:hAnsi="inter" w:eastAsia="inter" w:cs="inter"/>
          <w:b/>
          <w:color w:val="000000"/>
        </w:rPr>
        <w:t>表3 短期干预工具“优势—局限—实施条件”对比表</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75"/>
        <w:gridCol w:w="2834"/>
        <w:gridCol w:w="2796"/>
        <w:gridCol w:w="2935"/>
      </w:tblGrid>
      <w:tr w14:paraId="1497F7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6CFB0AD">
            <w:pPr>
              <w:spacing w:after="0" w:line="360" w:lineRule="auto"/>
            </w:pPr>
            <w:r>
              <w:rPr>
                <w:rFonts w:ascii="inter" w:hAnsi="inter" w:eastAsia="inter" w:cs="inter"/>
                <w:color w:val="000000"/>
                <w:sz w:val="17"/>
              </w:rPr>
              <w:t>工具名称</w:t>
            </w:r>
          </w:p>
        </w:tc>
        <w:tc>
          <w:tcPr>
            <w:tcBorders>
              <w:top w:val="single" w:color="000000" w:sz="0" w:space="0"/>
              <w:bottom w:val="single" w:color="000000" w:sz="0" w:space="0"/>
              <w:right w:val="single" w:color="000000" w:sz="0" w:space="0"/>
            </w:tcBorders>
          </w:tcPr>
          <w:p w14:paraId="4077ACA5">
            <w:pPr>
              <w:spacing w:after="0" w:line="360" w:lineRule="auto"/>
            </w:pPr>
            <w:r>
              <w:rPr>
                <w:rFonts w:ascii="inter" w:hAnsi="inter" w:eastAsia="inter" w:cs="inter"/>
                <w:color w:val="000000"/>
                <w:sz w:val="17"/>
              </w:rPr>
              <w:t>主要优势</w:t>
            </w:r>
          </w:p>
        </w:tc>
        <w:tc>
          <w:tcPr>
            <w:tcBorders>
              <w:top w:val="single" w:color="000000" w:sz="0" w:space="0"/>
              <w:bottom w:val="single" w:color="000000" w:sz="0" w:space="0"/>
              <w:right w:val="single" w:color="000000" w:sz="0" w:space="0"/>
            </w:tcBorders>
          </w:tcPr>
          <w:p w14:paraId="1B103D4D">
            <w:pPr>
              <w:spacing w:after="0" w:line="360" w:lineRule="auto"/>
            </w:pPr>
            <w:r>
              <w:rPr>
                <w:rFonts w:ascii="inter" w:hAnsi="inter" w:eastAsia="inter" w:cs="inter"/>
                <w:color w:val="000000"/>
                <w:sz w:val="17"/>
              </w:rPr>
              <w:t>潜在局限</w:t>
            </w:r>
          </w:p>
        </w:tc>
        <w:tc>
          <w:tcPr>
            <w:tcBorders>
              <w:top w:val="single" w:color="000000" w:sz="0" w:space="0"/>
              <w:bottom w:val="single" w:color="000000" w:sz="0" w:space="0"/>
            </w:tcBorders>
          </w:tcPr>
          <w:p w14:paraId="2EECA5DD">
            <w:pPr>
              <w:spacing w:after="0" w:line="360" w:lineRule="auto"/>
            </w:pPr>
            <w:r>
              <w:rPr>
                <w:rFonts w:ascii="inter" w:hAnsi="inter" w:eastAsia="inter" w:cs="inter"/>
                <w:color w:val="000000"/>
                <w:sz w:val="17"/>
              </w:rPr>
              <w:t>关键实施条件</w:t>
            </w:r>
          </w:p>
        </w:tc>
      </w:tr>
      <w:tr w14:paraId="54B62F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25DBE27">
            <w:pPr>
              <w:spacing w:after="0" w:line="360" w:lineRule="auto"/>
            </w:pPr>
            <w:r>
              <w:rPr>
                <w:rFonts w:ascii="inter" w:hAnsi="inter" w:eastAsia="inter" w:cs="inter"/>
                <w:color w:val="000000"/>
                <w:sz w:val="17"/>
              </w:rPr>
              <w:t>课表刚性管控与公开承诺制</w:t>
            </w:r>
          </w:p>
        </w:tc>
        <w:tc>
          <w:tcPr>
            <w:tcBorders>
              <w:top w:val="single" w:color="000000" w:sz="0" w:space="0"/>
              <w:bottom w:val="single" w:color="000000" w:sz="0" w:space="0"/>
              <w:right w:val="single" w:color="000000" w:sz="0" w:space="0"/>
            </w:tcBorders>
          </w:tcPr>
          <w:p w14:paraId="119C1F21">
            <w:pPr>
              <w:spacing w:after="0" w:line="360" w:lineRule="auto"/>
            </w:pPr>
            <w:r>
              <w:rPr>
                <w:rFonts w:ascii="inter" w:hAnsi="inter" w:eastAsia="inter" w:cs="inter"/>
                <w:color w:val="000000"/>
                <w:sz w:val="17"/>
              </w:rPr>
              <w:t>明确传递“时间刚性”信号，便于督导；学生与家长感知度高</w:t>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r>
              <w:fldChar w:fldCharType="begin"/>
            </w:r>
            <w:r>
              <w:instrText xml:space="preserve"> HYPERLINK \l "fn54" \h </w:instrText>
            </w:r>
            <w:r>
              <w:fldChar w:fldCharType="separate"/>
            </w:r>
            <w:r>
              <w:rPr>
                <w:rFonts w:ascii="inter" w:hAnsi="inter" w:eastAsia="inter" w:cs="inter"/>
                <w:color w:val="000000"/>
                <w:sz w:val="17"/>
                <w:u w:val="single"/>
                <w:vertAlign w:val="superscript"/>
              </w:rPr>
              <w:t>[54]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02B08A1">
            <w:pPr>
              <w:spacing w:after="0" w:line="360" w:lineRule="auto"/>
            </w:pPr>
            <w:r>
              <w:rPr>
                <w:rFonts w:ascii="inter" w:hAnsi="inter" w:eastAsia="inter" w:cs="inter"/>
                <w:color w:val="000000"/>
                <w:sz w:val="17"/>
              </w:rPr>
              <w:t>如未与评价和考核挂钩，可能出现“课表上有、实际被挤占”的现象</w:t>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1916F0DF">
            <w:pPr>
              <w:spacing w:after="0" w:line="360" w:lineRule="auto"/>
            </w:pPr>
            <w:r>
              <w:rPr>
                <w:rFonts w:ascii="inter" w:hAnsi="inter" w:eastAsia="inter" w:cs="inter"/>
                <w:color w:val="000000"/>
                <w:sz w:val="17"/>
              </w:rPr>
              <w:t>教育行政部门统一课时标准；学校作息制度调整能力；教务管理信息化水平</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r>
      <w:tr w14:paraId="773471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DAE39AF">
            <w:pPr>
              <w:spacing w:after="0" w:line="360" w:lineRule="auto"/>
            </w:pPr>
            <w:r>
              <w:rPr>
                <w:rFonts w:ascii="inter" w:hAnsi="inter" w:eastAsia="inter" w:cs="inter"/>
                <w:color w:val="000000"/>
                <w:sz w:val="17"/>
              </w:rPr>
              <w:t>数字化打卡与监测仪表盘</w:t>
            </w:r>
          </w:p>
        </w:tc>
        <w:tc>
          <w:tcPr>
            <w:tcBorders>
              <w:top w:val="single" w:color="000000" w:sz="0" w:space="0"/>
              <w:bottom w:val="single" w:color="000000" w:sz="0" w:space="0"/>
              <w:right w:val="single" w:color="000000" w:sz="0" w:space="0"/>
            </w:tcBorders>
          </w:tcPr>
          <w:p w14:paraId="68FFD1E0">
            <w:pPr>
              <w:spacing w:after="0" w:line="360" w:lineRule="auto"/>
            </w:pPr>
            <w:r>
              <w:rPr>
                <w:rFonts w:ascii="inter" w:hAnsi="inter" w:eastAsia="inter" w:cs="inter"/>
                <w:color w:val="000000"/>
                <w:sz w:val="17"/>
              </w:rPr>
              <w:t>使“2小时”从静态指标变为可视过程，便于发现问题与精细干预</w:t>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34B3FCD">
            <w:pPr>
              <w:spacing w:after="0" w:line="360" w:lineRule="auto"/>
            </w:pPr>
            <w:r>
              <w:rPr>
                <w:rFonts w:ascii="inter" w:hAnsi="inter" w:eastAsia="inter" w:cs="inter"/>
                <w:color w:val="000000"/>
                <w:sz w:val="17"/>
              </w:rPr>
              <w:t>若设计不合理，易演变为“被动打卡”和形式主义负担</w:t>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305A692">
            <w:pPr>
              <w:spacing w:after="0" w:line="360" w:lineRule="auto"/>
            </w:pPr>
            <w:r>
              <w:rPr>
                <w:rFonts w:ascii="inter" w:hAnsi="inter" w:eastAsia="inter" w:cs="inter"/>
                <w:color w:val="000000"/>
                <w:sz w:val="17"/>
              </w:rPr>
              <w:t>数字教育平台建设；数据安全规范；教师与家长数字素养</w:t>
            </w:r>
            <w:r>
              <w:fldChar w:fldCharType="begin"/>
            </w:r>
            <w:r>
              <w:instrText xml:space="preserve"> HYPERLINK \l "fn51" \h </w:instrText>
            </w:r>
            <w:r>
              <w:fldChar w:fldCharType="separate"/>
            </w:r>
            <w:r>
              <w:rPr>
                <w:rFonts w:ascii="inter" w:hAnsi="inter" w:eastAsia="inter" w:cs="inter"/>
                <w:color w:val="000000"/>
                <w:sz w:val="17"/>
                <w:u w:val="single"/>
                <w:vertAlign w:val="superscript"/>
              </w:rPr>
              <w:t>[51]</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p>
        </w:tc>
      </w:tr>
      <w:tr w14:paraId="3375D7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59DBD62">
            <w:pPr>
              <w:spacing w:after="0" w:line="360" w:lineRule="auto"/>
            </w:pPr>
            <w:r>
              <w:rPr>
                <w:rFonts w:ascii="inter" w:hAnsi="inter" w:eastAsia="inter" w:cs="inter"/>
                <w:color w:val="000000"/>
                <w:sz w:val="17"/>
              </w:rPr>
              <w:t>专项督导与问责试点</w:t>
            </w:r>
          </w:p>
        </w:tc>
        <w:tc>
          <w:tcPr>
            <w:tcBorders>
              <w:top w:val="single" w:color="000000" w:sz="0" w:space="0"/>
              <w:bottom w:val="single" w:color="000000" w:sz="0" w:space="0"/>
              <w:right w:val="single" w:color="000000" w:sz="0" w:space="0"/>
            </w:tcBorders>
          </w:tcPr>
          <w:p w14:paraId="794D23B1">
            <w:pPr>
              <w:spacing w:after="0" w:line="360" w:lineRule="auto"/>
            </w:pPr>
            <w:r>
              <w:rPr>
                <w:rFonts w:ascii="inter" w:hAnsi="inter" w:eastAsia="inter" w:cs="inter"/>
                <w:color w:val="000000"/>
                <w:sz w:val="17"/>
              </w:rPr>
              <w:t>通过“一票否决”等条款增强政策刚性，倒逼地方与学校重视体育</w:t>
            </w:r>
            <w:r>
              <w:fldChar w:fldCharType="begin"/>
            </w:r>
            <w:r>
              <w:instrText xml:space="preserve"> HYPERLINK \l "fn23" \h </w:instrText>
            </w:r>
            <w:r>
              <w:fldChar w:fldCharType="separate"/>
            </w:r>
            <w:r>
              <w:rPr>
                <w:rFonts w:ascii="inter" w:hAnsi="inter" w:eastAsia="inter" w:cs="inter"/>
                <w:color w:val="000000"/>
                <w:sz w:val="17"/>
                <w:u w:val="single"/>
                <w:vertAlign w:val="superscript"/>
              </w:rPr>
              <w:t>[23]</w:t>
            </w:r>
            <w:r>
              <w:rPr>
                <w:rFonts w:ascii="inter" w:hAnsi="inter" w:eastAsia="inter" w:cs="inter"/>
                <w:color w:val="000000"/>
                <w:sz w:val="17"/>
                <w:u w:val="single"/>
                <w:vertAlign w:val="superscript"/>
              </w:rPr>
              <w:fldChar w:fldCharType="end"/>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2F13345">
            <w:pPr>
              <w:spacing w:after="0" w:line="360" w:lineRule="auto"/>
            </w:pPr>
            <w:r>
              <w:rPr>
                <w:rFonts w:ascii="inter" w:hAnsi="inter" w:eastAsia="inter" w:cs="inter"/>
                <w:color w:val="000000"/>
                <w:sz w:val="17"/>
              </w:rPr>
              <w:t>如只考核时间、不关注质量，可能激励“凑时间”和虚报数据</w:t>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A141E49">
            <w:pPr>
              <w:spacing w:after="0" w:line="360" w:lineRule="auto"/>
            </w:pPr>
            <w:r>
              <w:rPr>
                <w:rFonts w:ascii="inter" w:hAnsi="inter" w:eastAsia="inter" w:cs="inter"/>
                <w:color w:val="000000"/>
                <w:sz w:val="17"/>
              </w:rPr>
              <w:t>明确指标体系与核查方式；第三方抽查机制；与教育评价改革统筹设计</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r>
      <w:tr w14:paraId="43E06D0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C8C49A3">
            <w:pPr>
              <w:spacing w:after="0" w:line="360" w:lineRule="auto"/>
            </w:pPr>
            <w:r>
              <w:rPr>
                <w:rFonts w:ascii="inter" w:hAnsi="inter" w:eastAsia="inter" w:cs="inter"/>
                <w:color w:val="000000"/>
                <w:sz w:val="17"/>
              </w:rPr>
              <w:t>安全风险预案与应急规范</w:t>
            </w:r>
          </w:p>
        </w:tc>
        <w:tc>
          <w:tcPr>
            <w:tcBorders>
              <w:top w:val="single" w:color="000000" w:sz="0" w:space="0"/>
              <w:bottom w:val="single" w:color="000000" w:sz="0" w:space="0"/>
              <w:right w:val="single" w:color="000000" w:sz="0" w:space="0"/>
            </w:tcBorders>
          </w:tcPr>
          <w:p w14:paraId="1E57FAB3">
            <w:pPr>
              <w:spacing w:after="0" w:line="360" w:lineRule="auto"/>
            </w:pPr>
            <w:r>
              <w:rPr>
                <w:rFonts w:ascii="inter" w:hAnsi="inter" w:eastAsia="inter" w:cs="inter"/>
                <w:color w:val="000000"/>
                <w:sz w:val="17"/>
              </w:rPr>
              <w:t>降低运动伤害与极端事件概率，缓解家长与学校对“加量”的安全焦虑</w:t>
            </w:r>
            <w:r>
              <w:fldChar w:fldCharType="begin"/>
            </w:r>
            <w:r>
              <w:instrText xml:space="preserve"> HYPERLINK \l "fn14" \h </w:instrText>
            </w:r>
            <w:r>
              <w:fldChar w:fldCharType="separate"/>
            </w:r>
            <w:r>
              <w:rPr>
                <w:rFonts w:ascii="inter" w:hAnsi="inter" w:eastAsia="inter" w:cs="inter"/>
                <w:color w:val="000000"/>
                <w:sz w:val="17"/>
                <w:u w:val="single"/>
                <w:vertAlign w:val="superscript"/>
              </w:rPr>
              <w:t>[14]</w:t>
            </w:r>
            <w:r>
              <w:rPr>
                <w:rFonts w:ascii="inter" w:hAnsi="inter" w:eastAsia="inter" w:cs="inter"/>
                <w:color w:val="000000"/>
                <w:sz w:val="17"/>
                <w:u w:val="single"/>
                <w:vertAlign w:val="superscript"/>
              </w:rPr>
              <w:fldChar w:fldCharType="end"/>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726F9EE">
            <w:pPr>
              <w:spacing w:after="0" w:line="360" w:lineRule="auto"/>
            </w:pPr>
            <w:r>
              <w:rPr>
                <w:rFonts w:ascii="inter" w:hAnsi="inter" w:eastAsia="inter" w:cs="inter"/>
                <w:color w:val="000000"/>
                <w:sz w:val="17"/>
              </w:rPr>
              <w:t>需要对体育教师和班主任进行系统培训，短期内培训成本较高</w:t>
            </w:r>
            <w:r>
              <w:fldChar w:fldCharType="begin"/>
            </w:r>
            <w:r>
              <w:instrText xml:space="preserve"> HYPERLINK \l "fn44" \h </w:instrText>
            </w:r>
            <w:r>
              <w:fldChar w:fldCharType="separate"/>
            </w:r>
            <w:r>
              <w:rPr>
                <w:rFonts w:ascii="inter" w:hAnsi="inter" w:eastAsia="inter" w:cs="inter"/>
                <w:color w:val="000000"/>
                <w:sz w:val="17"/>
                <w:u w:val="single"/>
                <w:vertAlign w:val="superscript"/>
              </w:rPr>
              <w:t>[44]</w:t>
            </w:r>
            <w:r>
              <w:rPr>
                <w:rFonts w:ascii="inter" w:hAnsi="inter" w:eastAsia="inter" w:cs="inter"/>
                <w:color w:val="000000"/>
                <w:sz w:val="17"/>
                <w:u w:val="single"/>
                <w:vertAlign w:val="superscript"/>
              </w:rPr>
              <w:fldChar w:fldCharType="end"/>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16A2C10C">
            <w:pPr>
              <w:spacing w:after="0" w:line="360" w:lineRule="auto"/>
            </w:pPr>
            <w:r>
              <w:rPr>
                <w:rFonts w:ascii="inter" w:hAnsi="inter" w:eastAsia="inter" w:cs="inter"/>
                <w:color w:val="000000"/>
                <w:sz w:val="17"/>
              </w:rPr>
              <w:t>卫健与教育部门协同；校园医务室与急救体系建设；教师专业发展支持</w:t>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r>
    </w:tbl>
    <w:p w14:paraId="2F1E4A97"/>
    <w:p w14:paraId="677543AA">
      <w:pPr>
        <w:spacing w:before="315" w:after="105" w:line="360" w:lineRule="auto"/>
        <w:ind w:left="-30"/>
        <w:jc w:val="left"/>
      </w:pPr>
      <w:bookmarkStart w:id="235" w:name="bm_3_潜在挑战与适用边界_短期"/>
      <w:r>
        <w:rPr>
          <w:rFonts w:ascii="inter" w:hAnsi="inter" w:eastAsia="inter" w:cs="inter"/>
          <w:b/>
          <w:color w:val="000000"/>
          <w:sz w:val="24"/>
        </w:rPr>
        <w:t>3. 潜在挑战与适用边界（短期）</w:t>
      </w:r>
      <w:bookmarkEnd w:id="235"/>
    </w:p>
    <w:p w14:paraId="78F8E938">
      <w:pPr>
        <w:spacing w:after="210" w:line="360" w:lineRule="auto"/>
      </w:pPr>
      <w:r>
        <w:rPr>
          <w:rFonts w:ascii="inter" w:hAnsi="inter" w:eastAsia="inter" w:cs="inter"/>
          <w:color w:val="000000"/>
        </w:rPr>
        <w:t>一般而言，短期干预工具适合于在政策刚性不足、执行可视化程度低的现实情境中快速建立“底线秩序”。但应充分警惕：</w:t>
      </w:r>
    </w:p>
    <w:p w14:paraId="20D0A0CD">
      <w:pPr>
        <w:numPr>
          <w:ilvl w:val="0"/>
          <w:numId w:val="11"/>
        </w:numPr>
        <w:spacing w:before="105" w:after="105" w:line="360" w:lineRule="auto"/>
      </w:pPr>
      <w:r>
        <w:rPr>
          <w:rFonts w:ascii="inter" w:hAnsi="inter" w:eastAsia="inter" w:cs="inter"/>
          <w:color w:val="000000"/>
          <w:sz w:val="21"/>
        </w:rPr>
        <w:t>过度依赖课表刚性与“打卡”可能诱发新的形式主义，必须与过程性质量评价和学生体质结果指标相结合；</w:t>
      </w:r>
      <w:bookmarkStart w:id="236" w:name="fnref24_14"/>
      <w:bookmarkEnd w:id="236"/>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bookmarkStart w:id="237" w:name="fnref37_18"/>
      <w:bookmarkEnd w:id="237"/>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5CD50C6B">
      <w:pPr>
        <w:numPr>
          <w:ilvl w:val="0"/>
          <w:numId w:val="11"/>
        </w:numPr>
        <w:spacing w:before="105" w:after="105" w:line="360" w:lineRule="auto"/>
      </w:pPr>
      <w:r>
        <w:rPr>
          <w:rFonts w:ascii="inter" w:hAnsi="inter" w:eastAsia="inter" w:cs="inter"/>
          <w:color w:val="000000"/>
          <w:sz w:val="21"/>
        </w:rPr>
        <w:t>强化问责若缺乏相应的资源补偿（如师资与场地），可能使部分薄弱地区陷入“被动合规”困境，应将“问责+支持”绑定设计；</w:t>
      </w:r>
      <w:bookmarkStart w:id="238" w:name="fnref44_6"/>
      <w:bookmarkEnd w:id="238"/>
      <w:r>
        <w:fldChar w:fldCharType="begin"/>
      </w:r>
      <w:r>
        <w:instrText xml:space="preserve"> HYPERLINK \l "fn44" \h </w:instrText>
      </w:r>
      <w:r>
        <w:fldChar w:fldCharType="separate"/>
      </w:r>
      <w:r>
        <w:rPr>
          <w:rFonts w:ascii="inter" w:hAnsi="inter" w:eastAsia="inter" w:cs="inter"/>
          <w:color w:val="000000"/>
          <w:sz w:val="21"/>
          <w:u w:val="single"/>
          <w:vertAlign w:val="superscript"/>
        </w:rPr>
        <w:t>[44]</w:t>
      </w:r>
      <w:r>
        <w:rPr>
          <w:rFonts w:ascii="inter" w:hAnsi="inter" w:eastAsia="inter" w:cs="inter"/>
          <w:color w:val="000000"/>
          <w:sz w:val="21"/>
          <w:u w:val="single"/>
          <w:vertAlign w:val="superscript"/>
        </w:rPr>
        <w:fldChar w:fldCharType="end"/>
      </w:r>
      <w:bookmarkStart w:id="239" w:name="fnref43_8"/>
      <w:bookmarkEnd w:id="239"/>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p>
    <w:p w14:paraId="70F868F8">
      <w:pPr>
        <w:numPr>
          <w:ilvl w:val="0"/>
          <w:numId w:val="11"/>
        </w:numPr>
        <w:spacing w:before="105" w:after="105" w:line="360" w:lineRule="auto"/>
      </w:pPr>
      <w:r>
        <w:rPr>
          <w:rFonts w:ascii="inter" w:hAnsi="inter" w:eastAsia="inter" w:cs="inter"/>
          <w:color w:val="000000"/>
          <w:sz w:val="21"/>
        </w:rPr>
        <w:t>安全规范应突出“科学负荷与循序渐进”，避免因“一刀切降强度”而削弱体育活动的实效性。</w:t>
      </w:r>
      <w:bookmarkStart w:id="240" w:name="fnref9_7"/>
      <w:bookmarkEnd w:id="240"/>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241" w:name="fnref14_7"/>
      <w:bookmarkEnd w:id="241"/>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42089B2D">
      <w:pPr>
        <w:spacing w:before="315" w:after="105" w:line="360" w:lineRule="auto"/>
        <w:ind w:left="-30"/>
        <w:jc w:val="left"/>
      </w:pPr>
      <w:bookmarkStart w:id="242" w:name="二_中期建设阶段_3_5年_聚焦供给能力与机制完善"/>
      <w:r>
        <w:rPr>
          <w:rFonts w:ascii="inter" w:hAnsi="inter" w:eastAsia="inter" w:cs="inter"/>
          <w:b/>
          <w:color w:val="000000"/>
          <w:sz w:val="24"/>
        </w:rPr>
        <w:t>（二）中期建设阶段（3–5年）：聚焦供给能力与机制完善</w:t>
      </w:r>
      <w:bookmarkEnd w:id="242"/>
    </w:p>
    <w:p w14:paraId="2AA5E4BC">
      <w:pPr>
        <w:spacing w:before="315" w:after="105" w:line="360" w:lineRule="auto"/>
        <w:ind w:left="-30"/>
        <w:jc w:val="left"/>
      </w:pPr>
      <w:bookmarkStart w:id="243" w:name="bm_1_主要政策工具组_建议_2"/>
      <w:r>
        <w:rPr>
          <w:rFonts w:ascii="inter" w:hAnsi="inter" w:eastAsia="inter" w:cs="inter"/>
          <w:b/>
          <w:color w:val="000000"/>
          <w:sz w:val="24"/>
        </w:rPr>
        <w:t>1. 主要政策工具组（建议）</w:t>
      </w:r>
      <w:bookmarkEnd w:id="243"/>
    </w:p>
    <w:p w14:paraId="0D5E6D23">
      <w:pPr>
        <w:spacing w:after="210" w:line="360" w:lineRule="auto"/>
      </w:pPr>
      <w:r>
        <w:rPr>
          <w:rFonts w:ascii="inter" w:hAnsi="inter" w:eastAsia="inter" w:cs="inter"/>
          <w:color w:val="000000"/>
        </w:rPr>
        <w:t>（1）</w:t>
      </w:r>
      <w:r>
        <w:rPr>
          <w:rFonts w:ascii="inter" w:hAnsi="inter" w:eastAsia="inter" w:cs="inter"/>
          <w:b/>
          <w:color w:val="000000"/>
        </w:rPr>
        <w:t>体育教师补短板与多元供给计划</w:t>
      </w:r>
    </w:p>
    <w:p w14:paraId="5277F858">
      <w:pPr>
        <w:spacing w:after="210" w:line="360" w:lineRule="auto"/>
      </w:pPr>
      <w:r>
        <w:rPr>
          <w:rFonts w:ascii="inter" w:hAnsi="inter" w:eastAsia="inter" w:cs="inter"/>
          <w:color w:val="000000"/>
        </w:rPr>
        <w:t>——内容：基于体育教师供需预测研究，对重点缺口地区实行“专项编制+定向培养+退役运动员转岗+社会体育指导员入校”等组合策略，缓解近30万体育教师结构性缺编问题。</w:t>
      </w:r>
      <w:bookmarkStart w:id="244" w:name="fnref55"/>
      <w:bookmarkEnd w:id="244"/>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bookmarkStart w:id="245" w:name="fnref50_5"/>
      <w:bookmarkEnd w:id="245"/>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bookmarkStart w:id="246" w:name="fnref44_7"/>
      <w:bookmarkEnd w:id="246"/>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226D93D8">
      <w:pPr>
        <w:spacing w:after="210" w:line="360" w:lineRule="auto"/>
      </w:pPr>
      <w:r>
        <w:rPr>
          <w:rFonts w:ascii="inter" w:hAnsi="inter" w:eastAsia="inter" w:cs="inter"/>
          <w:color w:val="000000"/>
        </w:rPr>
        <w:t>（2）</w:t>
      </w:r>
      <w:r>
        <w:rPr>
          <w:rFonts w:ascii="inter" w:hAnsi="inter" w:eastAsia="inter" w:cs="inter"/>
          <w:b/>
          <w:color w:val="000000"/>
        </w:rPr>
        <w:t>校园空间优化与社区场地联动共享</w:t>
      </w:r>
    </w:p>
    <w:p w14:paraId="009925D9">
      <w:pPr>
        <w:spacing w:after="210" w:line="360" w:lineRule="auto"/>
      </w:pPr>
      <w:r>
        <w:rPr>
          <w:rFonts w:ascii="inter" w:hAnsi="inter" w:eastAsia="inter" w:cs="inter"/>
          <w:color w:val="000000"/>
        </w:rPr>
        <w:t>——内容：通过校园更新项目和“15分钟健身圈”建设，使学校与社区体育场地在课后与周末开放共享，扩大学生获取“2小时体育时间”的空间半径。</w:t>
      </w:r>
      <w:bookmarkStart w:id="247" w:name="fnref6_6"/>
      <w:bookmarkEnd w:id="24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248" w:name="fnref48_4"/>
      <w:bookmarkEnd w:id="248"/>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bookmarkStart w:id="249" w:name="fnref10_18"/>
      <w:bookmarkEnd w:id="24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194D9C59">
      <w:pPr>
        <w:spacing w:after="210" w:line="360" w:lineRule="auto"/>
      </w:pPr>
      <w:r>
        <w:rPr>
          <w:rFonts w:ascii="inter" w:hAnsi="inter" w:eastAsia="inter" w:cs="inter"/>
          <w:color w:val="000000"/>
        </w:rPr>
        <w:t>（3）</w:t>
      </w:r>
      <w:r>
        <w:rPr>
          <w:rFonts w:ascii="inter" w:hAnsi="inter" w:eastAsia="inter" w:cs="inter"/>
          <w:b/>
          <w:color w:val="000000"/>
        </w:rPr>
        <w:t>课后体育服务与校园体育俱乐部制度化</w:t>
      </w:r>
    </w:p>
    <w:p w14:paraId="38A17217">
      <w:pPr>
        <w:spacing w:after="210" w:line="360" w:lineRule="auto"/>
      </w:pPr>
      <w:r>
        <w:rPr>
          <w:rFonts w:ascii="inter" w:hAnsi="inter" w:eastAsia="inter" w:cs="inter"/>
          <w:color w:val="000000"/>
        </w:rPr>
        <w:t>——内容：将身体活动类项目作为课后服务的主体内容之一，通过校内体育社团和俱乐部形式，增强体育活动的兴趣性和专业性。</w:t>
      </w:r>
      <w:bookmarkStart w:id="250" w:name="fnref39_7"/>
      <w:bookmarkEnd w:id="250"/>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251" w:name="fnref48_5"/>
      <w:bookmarkEnd w:id="251"/>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bookmarkStart w:id="252" w:name="fnref2_25"/>
      <w:bookmarkEnd w:id="25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33ED3366">
      <w:pPr>
        <w:spacing w:after="210" w:line="360" w:lineRule="auto"/>
      </w:pPr>
      <w:r>
        <w:rPr>
          <w:rFonts w:ascii="inter" w:hAnsi="inter" w:eastAsia="inter" w:cs="inter"/>
          <w:color w:val="000000"/>
        </w:rPr>
        <w:t>（4）</w:t>
      </w:r>
      <w:r>
        <w:rPr>
          <w:rFonts w:ascii="inter" w:hAnsi="inter" w:eastAsia="inter" w:cs="inter"/>
          <w:b/>
          <w:color w:val="000000"/>
        </w:rPr>
        <w:t>家校社一体化“运动家庭作业”与积分激励机制</w:t>
      </w:r>
    </w:p>
    <w:p w14:paraId="098E1554">
      <w:pPr>
        <w:spacing w:after="210" w:line="360" w:lineRule="auto"/>
      </w:pPr>
      <w:r>
        <w:rPr>
          <w:rFonts w:ascii="inter" w:hAnsi="inter" w:eastAsia="inter" w:cs="inter"/>
          <w:color w:val="000000"/>
        </w:rPr>
        <w:t>——内容：探索将部分传统学科家庭作业转化为“运动家庭作业”，通过数字平台记录运动时长和项目，并在学校评价与家庭教育指导中给予正向激励。</w:t>
      </w:r>
      <w:bookmarkStart w:id="253" w:name="fnref51_7"/>
      <w:bookmarkEnd w:id="253"/>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bookmarkStart w:id="254" w:name="fnref53_4"/>
      <w:bookmarkEnd w:id="254"/>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bookmarkStart w:id="255" w:name="fnref7_8"/>
      <w:bookmarkEnd w:id="255"/>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0557C94">
      <w:pPr>
        <w:spacing w:before="315" w:after="105" w:line="360" w:lineRule="auto"/>
        <w:ind w:left="-30"/>
        <w:jc w:val="left"/>
      </w:pPr>
      <w:bookmarkStart w:id="256" w:name="bm_2_工具优势_局限与实施条件对比表_中期"/>
      <w:r>
        <w:rPr>
          <w:rFonts w:ascii="inter" w:hAnsi="inter" w:eastAsia="inter" w:cs="inter"/>
          <w:b/>
          <w:color w:val="000000"/>
          <w:sz w:val="24"/>
        </w:rPr>
        <w:t>2. 工具优势、局限与实施条件对比表（中期）</w:t>
      </w:r>
      <w:bookmarkEnd w:id="256"/>
    </w:p>
    <w:p w14:paraId="41B91501">
      <w:pPr>
        <w:spacing w:after="210" w:line="360" w:lineRule="auto"/>
      </w:pPr>
      <w:r>
        <w:rPr>
          <w:rFonts w:ascii="inter" w:hAnsi="inter" w:eastAsia="inter" w:cs="inter"/>
          <w:b/>
          <w:color w:val="000000"/>
        </w:rPr>
        <w:t>表4 中期建设阶段工具“优势—局限—实施条件”对比表</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21"/>
        <w:gridCol w:w="2771"/>
        <w:gridCol w:w="2855"/>
        <w:gridCol w:w="2793"/>
      </w:tblGrid>
      <w:tr w14:paraId="35895B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BE4B56">
            <w:pPr>
              <w:spacing w:after="0" w:line="360" w:lineRule="auto"/>
            </w:pPr>
            <w:r>
              <w:rPr>
                <w:rFonts w:ascii="inter" w:hAnsi="inter" w:eastAsia="inter" w:cs="inter"/>
                <w:color w:val="000000"/>
                <w:sz w:val="17"/>
              </w:rPr>
              <w:t>工具名称</w:t>
            </w:r>
          </w:p>
        </w:tc>
        <w:tc>
          <w:tcPr>
            <w:tcBorders>
              <w:top w:val="single" w:color="000000" w:sz="0" w:space="0"/>
              <w:bottom w:val="single" w:color="000000" w:sz="0" w:space="0"/>
              <w:right w:val="single" w:color="000000" w:sz="0" w:space="0"/>
            </w:tcBorders>
          </w:tcPr>
          <w:p w14:paraId="64254825">
            <w:pPr>
              <w:spacing w:after="0" w:line="360" w:lineRule="auto"/>
            </w:pPr>
            <w:r>
              <w:rPr>
                <w:rFonts w:ascii="inter" w:hAnsi="inter" w:eastAsia="inter" w:cs="inter"/>
                <w:color w:val="000000"/>
                <w:sz w:val="17"/>
              </w:rPr>
              <w:t>主要优势</w:t>
            </w:r>
          </w:p>
        </w:tc>
        <w:tc>
          <w:tcPr>
            <w:tcBorders>
              <w:top w:val="single" w:color="000000" w:sz="0" w:space="0"/>
              <w:bottom w:val="single" w:color="000000" w:sz="0" w:space="0"/>
              <w:right w:val="single" w:color="000000" w:sz="0" w:space="0"/>
            </w:tcBorders>
          </w:tcPr>
          <w:p w14:paraId="1C2C8E36">
            <w:pPr>
              <w:spacing w:after="0" w:line="360" w:lineRule="auto"/>
            </w:pPr>
            <w:r>
              <w:rPr>
                <w:rFonts w:ascii="inter" w:hAnsi="inter" w:eastAsia="inter" w:cs="inter"/>
                <w:color w:val="000000"/>
                <w:sz w:val="17"/>
              </w:rPr>
              <w:t>潜在局限</w:t>
            </w:r>
          </w:p>
        </w:tc>
        <w:tc>
          <w:tcPr>
            <w:tcBorders>
              <w:top w:val="single" w:color="000000" w:sz="0" w:space="0"/>
              <w:bottom w:val="single" w:color="000000" w:sz="0" w:space="0"/>
            </w:tcBorders>
          </w:tcPr>
          <w:p w14:paraId="48DCB91F">
            <w:pPr>
              <w:spacing w:after="0" w:line="360" w:lineRule="auto"/>
            </w:pPr>
            <w:r>
              <w:rPr>
                <w:rFonts w:ascii="inter" w:hAnsi="inter" w:eastAsia="inter" w:cs="inter"/>
                <w:color w:val="000000"/>
                <w:sz w:val="17"/>
              </w:rPr>
              <w:t>关键实施条件</w:t>
            </w:r>
          </w:p>
        </w:tc>
      </w:tr>
      <w:tr w14:paraId="1A1CEB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C714CC">
            <w:pPr>
              <w:spacing w:after="0" w:line="360" w:lineRule="auto"/>
            </w:pPr>
            <w:r>
              <w:rPr>
                <w:rFonts w:ascii="inter" w:hAnsi="inter" w:eastAsia="inter" w:cs="inter"/>
                <w:color w:val="000000"/>
                <w:sz w:val="17"/>
              </w:rPr>
              <w:t>体育教师补短板与多元供给计划</w:t>
            </w:r>
          </w:p>
        </w:tc>
        <w:tc>
          <w:tcPr>
            <w:tcBorders>
              <w:top w:val="single" w:color="000000" w:sz="0" w:space="0"/>
              <w:bottom w:val="single" w:color="000000" w:sz="0" w:space="0"/>
              <w:right w:val="single" w:color="000000" w:sz="0" w:space="0"/>
            </w:tcBorders>
          </w:tcPr>
          <w:p w14:paraId="2A7ADF2A">
            <w:pPr>
              <w:spacing w:after="0" w:line="360" w:lineRule="auto"/>
            </w:pPr>
            <w:r>
              <w:rPr>
                <w:rFonts w:ascii="inter" w:hAnsi="inter" w:eastAsia="inter" w:cs="inter"/>
                <w:color w:val="000000"/>
                <w:sz w:val="17"/>
              </w:rPr>
              <w:t>从根本上缓解“有时间无人上课”的供给瓶颈，提升体育教学质量</w:t>
            </w:r>
            <w:r>
              <w:fldChar w:fldCharType="begin"/>
            </w:r>
            <w:r>
              <w:instrText xml:space="preserve"> HYPERLINK \l "fn44" \h </w:instrText>
            </w:r>
            <w:r>
              <w:fldChar w:fldCharType="separate"/>
            </w:r>
            <w:r>
              <w:rPr>
                <w:rFonts w:ascii="inter" w:hAnsi="inter" w:eastAsia="inter" w:cs="inter"/>
                <w:color w:val="000000"/>
                <w:sz w:val="17"/>
                <w:u w:val="single"/>
                <w:vertAlign w:val="superscript"/>
              </w:rPr>
              <w:t>[44]</w:t>
            </w:r>
            <w:r>
              <w:rPr>
                <w:rFonts w:ascii="inter" w:hAnsi="inter" w:eastAsia="inter" w:cs="inter"/>
                <w:color w:val="000000"/>
                <w:sz w:val="17"/>
                <w:u w:val="single"/>
                <w:vertAlign w:val="superscript"/>
              </w:rPr>
              <w:fldChar w:fldCharType="end"/>
            </w:r>
            <w:r>
              <w:fldChar w:fldCharType="begin"/>
            </w:r>
            <w:r>
              <w:instrText xml:space="preserve"> HYPERLINK \l "fn50" \h </w:instrText>
            </w:r>
            <w:r>
              <w:fldChar w:fldCharType="separate"/>
            </w:r>
            <w:r>
              <w:rPr>
                <w:rFonts w:ascii="inter" w:hAnsi="inter" w:eastAsia="inter" w:cs="inter"/>
                <w:color w:val="000000"/>
                <w:sz w:val="17"/>
                <w:u w:val="single"/>
                <w:vertAlign w:val="superscript"/>
              </w:rPr>
              <w:t>[50]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1E6F4F89">
            <w:pPr>
              <w:spacing w:after="0" w:line="360" w:lineRule="auto"/>
            </w:pPr>
            <w:r>
              <w:rPr>
                <w:rFonts w:ascii="inter" w:hAnsi="inter" w:eastAsia="inter" w:cs="inter"/>
                <w:color w:val="000000"/>
                <w:sz w:val="17"/>
              </w:rPr>
              <w:t>教师编制、待遇与职业发展制度如不配套，容易出现“招不来、留不住”</w:t>
            </w:r>
            <w:r>
              <w:fldChar w:fldCharType="begin"/>
            </w:r>
            <w:r>
              <w:instrText xml:space="preserve"> HYPERLINK \l "fn44" \h </w:instrText>
            </w:r>
            <w:r>
              <w:fldChar w:fldCharType="separate"/>
            </w:r>
            <w:r>
              <w:rPr>
                <w:rFonts w:ascii="inter" w:hAnsi="inter" w:eastAsia="inter" w:cs="inter"/>
                <w:color w:val="000000"/>
                <w:sz w:val="17"/>
                <w:u w:val="single"/>
                <w:vertAlign w:val="superscript"/>
              </w:rPr>
              <w:t>[44]</w:t>
            </w:r>
            <w:r>
              <w:rPr>
                <w:rFonts w:ascii="inter" w:hAnsi="inter" w:eastAsia="inter" w:cs="inter"/>
                <w:color w:val="000000"/>
                <w:sz w:val="17"/>
                <w:u w:val="single"/>
                <w:vertAlign w:val="superscript"/>
              </w:rPr>
              <w:fldChar w:fldCharType="end"/>
            </w:r>
            <w:r>
              <w:fldChar w:fldCharType="begin"/>
            </w:r>
            <w:r>
              <w:instrText xml:space="preserve"> HYPERLINK \l "fn55" \h </w:instrText>
            </w:r>
            <w:r>
              <w:fldChar w:fldCharType="separate"/>
            </w:r>
            <w:r>
              <w:rPr>
                <w:rFonts w:ascii="inter" w:hAnsi="inter" w:eastAsia="inter" w:cs="inter"/>
                <w:color w:val="000000"/>
                <w:sz w:val="17"/>
                <w:u w:val="single"/>
                <w:vertAlign w:val="superscript"/>
              </w:rPr>
              <w:t>[55]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0F31750">
            <w:pPr>
              <w:spacing w:after="0" w:line="360" w:lineRule="auto"/>
            </w:pPr>
            <w:r>
              <w:rPr>
                <w:rFonts w:ascii="inter" w:hAnsi="inter" w:eastAsia="inter" w:cs="inter"/>
                <w:color w:val="000000"/>
                <w:sz w:val="17"/>
              </w:rPr>
              <w:t>编制政策调整；教师待遇与职称制度改革；退役运动员培训与认证体系</w:t>
            </w:r>
            <w:r>
              <w:fldChar w:fldCharType="begin"/>
            </w:r>
            <w:r>
              <w:instrText xml:space="preserve"> HYPERLINK \l "fn50" \h </w:instrText>
            </w:r>
            <w:r>
              <w:fldChar w:fldCharType="separate"/>
            </w:r>
            <w:r>
              <w:rPr>
                <w:rFonts w:ascii="inter" w:hAnsi="inter" w:eastAsia="inter" w:cs="inter"/>
                <w:color w:val="000000"/>
                <w:sz w:val="17"/>
                <w:u w:val="single"/>
                <w:vertAlign w:val="superscript"/>
              </w:rPr>
              <w:t>[50]</w:t>
            </w:r>
            <w:r>
              <w:rPr>
                <w:rFonts w:ascii="inter" w:hAnsi="inter" w:eastAsia="inter" w:cs="inter"/>
                <w:color w:val="000000"/>
                <w:sz w:val="17"/>
                <w:u w:val="single"/>
                <w:vertAlign w:val="superscript"/>
              </w:rPr>
              <w:fldChar w:fldCharType="end"/>
            </w:r>
            <w:r>
              <w:fldChar w:fldCharType="begin"/>
            </w:r>
            <w:r>
              <w:instrText xml:space="preserve"> HYPERLINK \l "fn55" \h </w:instrText>
            </w:r>
            <w:r>
              <w:fldChar w:fldCharType="separate"/>
            </w:r>
            <w:r>
              <w:rPr>
                <w:rFonts w:ascii="inter" w:hAnsi="inter" w:eastAsia="inter" w:cs="inter"/>
                <w:color w:val="000000"/>
                <w:sz w:val="17"/>
                <w:u w:val="single"/>
                <w:vertAlign w:val="superscript"/>
              </w:rPr>
              <w:t>[55]</w:t>
            </w:r>
            <w:r>
              <w:rPr>
                <w:rFonts w:ascii="inter" w:hAnsi="inter" w:eastAsia="inter" w:cs="inter"/>
                <w:color w:val="000000"/>
                <w:sz w:val="17"/>
                <w:u w:val="single"/>
                <w:vertAlign w:val="superscript"/>
              </w:rPr>
              <w:fldChar w:fldCharType="end"/>
            </w:r>
          </w:p>
        </w:tc>
      </w:tr>
      <w:tr w14:paraId="56F580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857A909">
            <w:pPr>
              <w:spacing w:after="0" w:line="360" w:lineRule="auto"/>
            </w:pPr>
            <w:r>
              <w:rPr>
                <w:rFonts w:ascii="inter" w:hAnsi="inter" w:eastAsia="inter" w:cs="inter"/>
                <w:color w:val="000000"/>
                <w:sz w:val="17"/>
              </w:rPr>
              <w:t>校园空间优化与社区场地共享</w:t>
            </w:r>
          </w:p>
        </w:tc>
        <w:tc>
          <w:tcPr>
            <w:tcBorders>
              <w:top w:val="single" w:color="000000" w:sz="0" w:space="0"/>
              <w:bottom w:val="single" w:color="000000" w:sz="0" w:space="0"/>
              <w:right w:val="single" w:color="000000" w:sz="0" w:space="0"/>
            </w:tcBorders>
          </w:tcPr>
          <w:p w14:paraId="6AE021A2">
            <w:pPr>
              <w:spacing w:after="0" w:line="360" w:lineRule="auto"/>
            </w:pPr>
            <w:r>
              <w:rPr>
                <w:rFonts w:ascii="inter" w:hAnsi="inter" w:eastAsia="inter" w:cs="inter"/>
                <w:color w:val="000000"/>
                <w:sz w:val="17"/>
              </w:rPr>
              <w:t>在有限校园空间下通过社区联动扩大运动空间，提升学生参与便利度</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"fn48" \h </w:instrText>
            </w:r>
            <w:r>
              <w:fldChar w:fldCharType="separate"/>
            </w:r>
            <w:r>
              <w:rPr>
                <w:rFonts w:ascii="inter" w:hAnsi="inter" w:eastAsia="inter" w:cs="inter"/>
                <w:color w:val="000000"/>
                <w:sz w:val="17"/>
                <w:u w:val="single"/>
                <w:vertAlign w:val="superscript"/>
              </w:rPr>
              <w:t>[48]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3861FB6">
            <w:pPr>
              <w:spacing w:after="0" w:line="360" w:lineRule="auto"/>
            </w:pPr>
            <w:r>
              <w:rPr>
                <w:rFonts w:ascii="inter" w:hAnsi="inter" w:eastAsia="inter" w:cs="inter"/>
                <w:color w:val="000000"/>
                <w:sz w:val="17"/>
              </w:rPr>
              <w:t>场地开放涉及安全责任、管理成本和部门协调，治理难度较大</w:t>
            </w:r>
            <w:r>
              <w:fldChar w:fldCharType="begin"/>
            </w:r>
            <w:r>
              <w:instrText xml:space="preserve"> HYPERLINK \l "fn48" \h </w:instrText>
            </w:r>
            <w:r>
              <w:fldChar w:fldCharType="separate"/>
            </w:r>
            <w:r>
              <w:rPr>
                <w:rFonts w:ascii="inter" w:hAnsi="inter" w:eastAsia="inter" w:cs="inter"/>
                <w:color w:val="000000"/>
                <w:sz w:val="17"/>
                <w:u w:val="single"/>
                <w:vertAlign w:val="superscript"/>
              </w:rPr>
              <w:t>[48]</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6C26C375">
            <w:pPr>
              <w:spacing w:after="0" w:line="360" w:lineRule="auto"/>
            </w:pPr>
            <w:r>
              <w:rPr>
                <w:rFonts w:ascii="inter" w:hAnsi="inter" w:eastAsia="inter" w:cs="inter"/>
                <w:color w:val="000000"/>
                <w:sz w:val="17"/>
              </w:rPr>
              <w:t>部门间责任分担协议；保险与安防机制；社区治理参与度</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"fn48" \h </w:instrText>
            </w:r>
            <w:r>
              <w:fldChar w:fldCharType="separate"/>
            </w:r>
            <w:r>
              <w:rPr>
                <w:rFonts w:ascii="inter" w:hAnsi="inter" w:eastAsia="inter" w:cs="inter"/>
                <w:color w:val="000000"/>
                <w:sz w:val="17"/>
                <w:u w:val="single"/>
                <w:vertAlign w:val="superscript"/>
              </w:rPr>
              <w:t>[48]</w:t>
            </w:r>
            <w:r>
              <w:rPr>
                <w:rFonts w:ascii="inter" w:hAnsi="inter" w:eastAsia="inter" w:cs="inter"/>
                <w:color w:val="000000"/>
                <w:sz w:val="17"/>
                <w:u w:val="single"/>
                <w:vertAlign w:val="superscript"/>
              </w:rPr>
              <w:fldChar w:fldCharType="end"/>
            </w:r>
          </w:p>
        </w:tc>
      </w:tr>
      <w:tr w14:paraId="430217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D84A75">
            <w:pPr>
              <w:spacing w:after="0" w:line="360" w:lineRule="auto"/>
            </w:pPr>
            <w:r>
              <w:rPr>
                <w:rFonts w:ascii="inter" w:hAnsi="inter" w:eastAsia="inter" w:cs="inter"/>
                <w:color w:val="000000"/>
                <w:sz w:val="17"/>
              </w:rPr>
              <w:t>课后体育服务与校园俱乐部</w:t>
            </w:r>
          </w:p>
        </w:tc>
        <w:tc>
          <w:tcPr>
            <w:tcBorders>
              <w:top w:val="single" w:color="000000" w:sz="0" w:space="0"/>
              <w:bottom w:val="single" w:color="000000" w:sz="0" w:space="0"/>
              <w:right w:val="single" w:color="000000" w:sz="0" w:space="0"/>
            </w:tcBorders>
          </w:tcPr>
          <w:p w14:paraId="4E8AF89B">
            <w:pPr>
              <w:spacing w:after="0" w:line="360" w:lineRule="auto"/>
            </w:pPr>
            <w:r>
              <w:rPr>
                <w:rFonts w:ascii="inter" w:hAnsi="inter" w:eastAsia="inter" w:cs="inter"/>
                <w:color w:val="000000"/>
                <w:sz w:val="17"/>
              </w:rPr>
              <w:t>将“2小时”中的部分时间转化为高质量课后运动，增强学生兴趣和黏性</w:t>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7E44CB3">
            <w:pPr>
              <w:spacing w:after="0" w:line="360" w:lineRule="auto"/>
            </w:pPr>
            <w:r>
              <w:rPr>
                <w:rFonts w:ascii="inter" w:hAnsi="inter" w:eastAsia="inter" w:cs="inter"/>
                <w:color w:val="000000"/>
                <w:sz w:val="17"/>
              </w:rPr>
              <w:t>如收费机制设计不当，可能引发教育公平问题；师资数量和专业性成瓶颈</w:t>
            </w:r>
            <w:r>
              <w:fldChar w:fldCharType="begin"/>
            </w:r>
            <w:r>
              <w:instrText xml:space="preserve"> HYPERLINK \l "fn44" \h </w:instrText>
            </w:r>
            <w:r>
              <w:fldChar w:fldCharType="separate"/>
            </w:r>
            <w:r>
              <w:rPr>
                <w:rFonts w:ascii="inter" w:hAnsi="inter" w:eastAsia="inter" w:cs="inter"/>
                <w:color w:val="000000"/>
                <w:sz w:val="17"/>
                <w:u w:val="single"/>
                <w:vertAlign w:val="superscript"/>
              </w:rPr>
              <w:t>[44]</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EF7D98C">
            <w:pPr>
              <w:spacing w:after="0" w:line="360" w:lineRule="auto"/>
            </w:pPr>
            <w:r>
              <w:rPr>
                <w:rFonts w:ascii="inter" w:hAnsi="inter" w:eastAsia="inter" w:cs="inter"/>
                <w:color w:val="000000"/>
                <w:sz w:val="17"/>
              </w:rPr>
              <w:t>明确公益属性与收费边界；社会力量参与规则；课程与赛事体系构建</w:t>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r>
              <w:fldChar w:fldCharType="begin"/>
            </w:r>
            <w:r>
              <w:instrText xml:space="preserve"> HYPERLINK \l "fn48" \h </w:instrText>
            </w:r>
            <w:r>
              <w:fldChar w:fldCharType="separate"/>
            </w:r>
            <w:r>
              <w:rPr>
                <w:rFonts w:ascii="inter" w:hAnsi="inter" w:eastAsia="inter" w:cs="inter"/>
                <w:color w:val="000000"/>
                <w:sz w:val="17"/>
                <w:u w:val="single"/>
                <w:vertAlign w:val="superscript"/>
              </w:rPr>
              <w:t>[48]</w:t>
            </w:r>
            <w:r>
              <w:rPr>
                <w:rFonts w:ascii="inter" w:hAnsi="inter" w:eastAsia="inter" w:cs="inter"/>
                <w:color w:val="000000"/>
                <w:sz w:val="17"/>
                <w:u w:val="single"/>
                <w:vertAlign w:val="superscript"/>
              </w:rPr>
              <w:fldChar w:fldCharType="end"/>
            </w:r>
          </w:p>
        </w:tc>
      </w:tr>
      <w:tr w14:paraId="269E90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D96BADC">
            <w:pPr>
              <w:spacing w:after="0" w:line="360" w:lineRule="auto"/>
            </w:pPr>
            <w:r>
              <w:rPr>
                <w:rFonts w:ascii="inter" w:hAnsi="inter" w:eastAsia="inter" w:cs="inter"/>
                <w:color w:val="000000"/>
                <w:sz w:val="17"/>
              </w:rPr>
              <w:t>“运动家庭作业”与积分激励</w:t>
            </w:r>
          </w:p>
        </w:tc>
        <w:tc>
          <w:tcPr>
            <w:tcBorders>
              <w:top w:val="single" w:color="000000" w:sz="0" w:space="0"/>
              <w:bottom w:val="single" w:color="000000" w:sz="0" w:space="0"/>
              <w:right w:val="single" w:color="000000" w:sz="0" w:space="0"/>
            </w:tcBorders>
          </w:tcPr>
          <w:p w14:paraId="4D2E31A7">
            <w:pPr>
              <w:spacing w:after="0" w:line="360" w:lineRule="auto"/>
            </w:pPr>
            <w:r>
              <w:rPr>
                <w:rFonts w:ascii="inter" w:hAnsi="inter" w:eastAsia="inter" w:cs="inter"/>
                <w:color w:val="000000"/>
                <w:sz w:val="17"/>
              </w:rPr>
              <w:t>延伸体育活动到家庭场景，促进久坐行为替代，增强家校合作</w:t>
            </w:r>
            <w:r>
              <w:fldChar w:fldCharType="begin"/>
            </w:r>
            <w:r>
              <w:instrText xml:space="preserve"> HYPERLINK \l "fn51" \h </w:instrText>
            </w:r>
            <w:r>
              <w:fldChar w:fldCharType="separate"/>
            </w:r>
            <w:r>
              <w:rPr>
                <w:rFonts w:ascii="inter" w:hAnsi="inter" w:eastAsia="inter" w:cs="inter"/>
                <w:color w:val="000000"/>
                <w:sz w:val="17"/>
                <w:u w:val="single"/>
                <w:vertAlign w:val="superscript"/>
              </w:rPr>
              <w:t>[51]</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090BDA8">
            <w:pPr>
              <w:spacing w:after="0" w:line="360" w:lineRule="auto"/>
            </w:pPr>
            <w:r>
              <w:rPr>
                <w:rFonts w:ascii="inter" w:hAnsi="inter" w:eastAsia="inter" w:cs="inter"/>
                <w:color w:val="000000"/>
                <w:sz w:val="17"/>
              </w:rPr>
              <w:t>家庭资源差异可能导致执行强度不同，需防止加剧健康不平等</w:t>
            </w:r>
            <w:r>
              <w:fldChar w:fldCharType="begin"/>
            </w:r>
            <w:r>
              <w:instrText xml:space="preserve"> HYPERLINK \l "fn52" \h </w:instrText>
            </w:r>
            <w:r>
              <w:fldChar w:fldCharType="separate"/>
            </w:r>
            <w:r>
              <w:rPr>
                <w:rFonts w:ascii="inter" w:hAnsi="inter" w:eastAsia="inter" w:cs="inter"/>
                <w:color w:val="000000"/>
                <w:sz w:val="17"/>
                <w:u w:val="single"/>
                <w:vertAlign w:val="superscript"/>
              </w:rPr>
              <w:t>[52]</w:t>
            </w:r>
            <w:r>
              <w:rPr>
                <w:rFonts w:ascii="inter" w:hAnsi="inter" w:eastAsia="inter" w:cs="inter"/>
                <w:color w:val="000000"/>
                <w:sz w:val="17"/>
                <w:u w:val="single"/>
                <w:vertAlign w:val="superscript"/>
              </w:rPr>
              <w:fldChar w:fldCharType="end"/>
            </w:r>
            <w:r>
              <w:fldChar w:fldCharType="begin"/>
            </w:r>
            <w:r>
              <w:instrText xml:space="preserve"> HYPERLINK \l "fn53" \h </w:instrText>
            </w:r>
            <w:r>
              <w:fldChar w:fldCharType="separate"/>
            </w:r>
            <w:r>
              <w:rPr>
                <w:rFonts w:ascii="inter" w:hAnsi="inter" w:eastAsia="inter" w:cs="inter"/>
                <w:color w:val="000000"/>
                <w:sz w:val="17"/>
                <w:u w:val="single"/>
                <w:vertAlign w:val="superscript"/>
              </w:rPr>
              <w:t>[53]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273A41AD">
            <w:pPr>
              <w:spacing w:after="0" w:line="360" w:lineRule="auto"/>
            </w:pPr>
            <w:r>
              <w:rPr>
                <w:rFonts w:ascii="inter" w:hAnsi="inter" w:eastAsia="inter" w:cs="inter"/>
                <w:color w:val="000000"/>
                <w:sz w:val="17"/>
              </w:rPr>
              <w:t>家长健康教育；平台技术支持；与评价体系中体育权重合理衔接</w:t>
            </w:r>
            <w:r>
              <w:fldChar w:fldCharType="begin"/>
            </w:r>
            <w:r>
              <w:instrText xml:space="preserve"> HYPERLINK \l "fn51" \h </w:instrText>
            </w:r>
            <w:r>
              <w:fldChar w:fldCharType="separate"/>
            </w:r>
            <w:r>
              <w:rPr>
                <w:rFonts w:ascii="inter" w:hAnsi="inter" w:eastAsia="inter" w:cs="inter"/>
                <w:color w:val="000000"/>
                <w:sz w:val="17"/>
                <w:u w:val="single"/>
                <w:vertAlign w:val="superscript"/>
              </w:rPr>
              <w:t>[51]</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r>
    </w:tbl>
    <w:p w14:paraId="0F82F982"/>
    <w:p w14:paraId="766A94B0">
      <w:pPr>
        <w:spacing w:before="315" w:after="105" w:line="360" w:lineRule="auto"/>
        <w:ind w:left="-30"/>
        <w:jc w:val="left"/>
      </w:pPr>
      <w:bookmarkStart w:id="257" w:name="bm_3_潜在挑战与适用边界_中期"/>
      <w:r>
        <w:rPr>
          <w:rFonts w:ascii="inter" w:hAnsi="inter" w:eastAsia="inter" w:cs="inter"/>
          <w:b/>
          <w:color w:val="000000"/>
          <w:sz w:val="24"/>
        </w:rPr>
        <w:t>3. 潜在挑战与适用边界（中期）</w:t>
      </w:r>
      <w:bookmarkEnd w:id="257"/>
    </w:p>
    <w:p w14:paraId="527632BF">
      <w:pPr>
        <w:spacing w:after="210" w:line="360" w:lineRule="auto"/>
      </w:pPr>
      <w:r>
        <w:rPr>
          <w:rFonts w:ascii="inter" w:hAnsi="inter" w:eastAsia="inter" w:cs="inter"/>
          <w:color w:val="000000"/>
        </w:rPr>
        <w:t>中期建设强调从“有制度”走向“有能力”。实施中需要重点防范：</w:t>
      </w:r>
    </w:p>
    <w:p w14:paraId="20E4720C">
      <w:pPr>
        <w:numPr>
          <w:ilvl w:val="0"/>
          <w:numId w:val="12"/>
        </w:numPr>
        <w:spacing w:before="105" w:after="105" w:line="360" w:lineRule="auto"/>
      </w:pPr>
      <w:r>
        <w:rPr>
          <w:rFonts w:ascii="inter" w:hAnsi="inter" w:eastAsia="inter" w:cs="inter"/>
          <w:color w:val="000000"/>
          <w:sz w:val="21"/>
        </w:rPr>
        <w:t>体育教师补短板计划若以“临时项目”方式推进，缺乏长期编制与待遇制度支撑，可能难以形成可持续师资队伍；</w:t>
      </w:r>
      <w:bookmarkStart w:id="258" w:name="fnref50_8"/>
      <w:bookmarkEnd w:id="258"/>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259" w:name="fnref44_11"/>
      <w:bookmarkEnd w:id="259"/>
      <w:r>
        <w:fldChar w:fldCharType="begin"/>
      </w:r>
      <w:r>
        <w:instrText xml:space="preserve"> HYPERLINK \l "fn44" \h </w:instrText>
      </w:r>
      <w:r>
        <w:fldChar w:fldCharType="separate"/>
      </w:r>
      <w:r>
        <w:rPr>
          <w:rFonts w:ascii="inter" w:hAnsi="inter" w:eastAsia="inter" w:cs="inter"/>
          <w:color w:val="000000"/>
          <w:sz w:val="21"/>
          <w:u w:val="single"/>
          <w:vertAlign w:val="superscript"/>
        </w:rPr>
        <w:t>[44]</w:t>
      </w:r>
      <w:r>
        <w:rPr>
          <w:rFonts w:ascii="inter" w:hAnsi="inter" w:eastAsia="inter" w:cs="inter"/>
          <w:color w:val="000000"/>
          <w:sz w:val="21"/>
          <w:u w:val="single"/>
          <w:vertAlign w:val="superscript"/>
        </w:rPr>
        <w:fldChar w:fldCharType="end"/>
      </w:r>
    </w:p>
    <w:p w14:paraId="6E1D9B91">
      <w:pPr>
        <w:numPr>
          <w:ilvl w:val="0"/>
          <w:numId w:val="12"/>
        </w:numPr>
        <w:spacing w:before="105" w:after="105" w:line="360" w:lineRule="auto"/>
      </w:pPr>
      <w:r>
        <w:rPr>
          <w:rFonts w:ascii="inter" w:hAnsi="inter" w:eastAsia="inter" w:cs="inter"/>
          <w:color w:val="000000"/>
          <w:sz w:val="21"/>
        </w:rPr>
        <w:t>场地开放与社区共享对治理能力和责任分担提出较高要求，不宜“一刀切普遍开放”，需根据地区治安状况、社区组织能力和家长需求分区分类推进；</w:t>
      </w:r>
      <w:bookmarkStart w:id="260" w:name="fnref48_10"/>
      <w:bookmarkEnd w:id="260"/>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bookmarkStart w:id="261" w:name="fnref10_21"/>
      <w:bookmarkEnd w:id="26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1D0640B6">
      <w:pPr>
        <w:numPr>
          <w:ilvl w:val="0"/>
          <w:numId w:val="12"/>
        </w:numPr>
        <w:spacing w:before="105" w:after="105" w:line="360" w:lineRule="auto"/>
      </w:pPr>
      <w:r>
        <w:rPr>
          <w:rFonts w:ascii="inter" w:hAnsi="inter" w:eastAsia="inter" w:cs="inter"/>
          <w:color w:val="000000"/>
          <w:sz w:val="21"/>
        </w:rPr>
        <w:t>课后体育服务和家庭体育作业必须坚持公益导向，防止“体育培训过度商业化”在“双减”背景下重演“学科补习”的路径依赖。</w:t>
      </w:r>
      <w:bookmarkStart w:id="262" w:name="fnref47_3"/>
      <w:bookmarkEnd w:id="262"/>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bookmarkStart w:id="263" w:name="fnref48_11"/>
      <w:bookmarkEnd w:id="263"/>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p>
    <w:p w14:paraId="35D6BC37">
      <w:pPr>
        <w:spacing w:before="315" w:after="105" w:line="360" w:lineRule="auto"/>
        <w:ind w:left="-30"/>
        <w:jc w:val="left"/>
      </w:pPr>
      <w:bookmarkStart w:id="264" w:name="三_长期改革阶段_5_10年_聚焦制度重塑与文化生成"/>
      <w:r>
        <w:rPr>
          <w:rFonts w:ascii="inter" w:hAnsi="inter" w:eastAsia="inter" w:cs="inter"/>
          <w:b/>
          <w:color w:val="000000"/>
          <w:sz w:val="24"/>
        </w:rPr>
        <w:t>（三）长期改革阶段（5–10年）：聚焦制度重塑与文化生成</w:t>
      </w:r>
      <w:bookmarkEnd w:id="264"/>
    </w:p>
    <w:p w14:paraId="6AB149EA">
      <w:pPr>
        <w:spacing w:before="315" w:after="105" w:line="360" w:lineRule="auto"/>
        <w:ind w:left="-30"/>
        <w:jc w:val="left"/>
      </w:pPr>
      <w:bookmarkStart w:id="265" w:name="bm_1_主要政策工具组_建议_3"/>
      <w:r>
        <w:rPr>
          <w:rFonts w:ascii="inter" w:hAnsi="inter" w:eastAsia="inter" w:cs="inter"/>
          <w:b/>
          <w:color w:val="000000"/>
          <w:sz w:val="24"/>
        </w:rPr>
        <w:t>1. 主要政策工具组（建议）</w:t>
      </w:r>
      <w:bookmarkEnd w:id="265"/>
    </w:p>
    <w:p w14:paraId="1FC1FE81">
      <w:pPr>
        <w:spacing w:after="210" w:line="360" w:lineRule="auto"/>
      </w:pPr>
      <w:r>
        <w:rPr>
          <w:rFonts w:ascii="inter" w:hAnsi="inter" w:eastAsia="inter" w:cs="inter"/>
          <w:color w:val="000000"/>
        </w:rPr>
        <w:t>（1）</w:t>
      </w:r>
      <w:r>
        <w:rPr>
          <w:rFonts w:ascii="inter" w:hAnsi="inter" w:eastAsia="inter" w:cs="inter"/>
          <w:b/>
          <w:color w:val="000000"/>
        </w:rPr>
        <w:t>教育评价改革中体育权重的制度化提升</w:t>
      </w:r>
    </w:p>
    <w:p w14:paraId="575008D6">
      <w:pPr>
        <w:spacing w:after="210" w:line="360" w:lineRule="auto"/>
      </w:pPr>
      <w:r>
        <w:rPr>
          <w:rFonts w:ascii="inter" w:hAnsi="inter" w:eastAsia="inter" w:cs="inter"/>
          <w:color w:val="000000"/>
        </w:rPr>
        <w:t>——内容：将学生体质健康达标情况和体育学业质量纳入学校督导、校长和教师考核及学生综合素质评价，在中高考中稳步提升体育成绩权重，实现“健康第一”在评价制度中的刚性体现。</w:t>
      </w:r>
      <w:bookmarkStart w:id="266" w:name="fnref42_3"/>
      <w:bookmarkEnd w:id="266"/>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267" w:name="fnref2_27"/>
      <w:bookmarkEnd w:id="26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68" w:name="fnref10_22"/>
      <w:bookmarkEnd w:id="26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0DDB37A">
      <w:pPr>
        <w:spacing w:after="210" w:line="360" w:lineRule="auto"/>
      </w:pPr>
      <w:r>
        <w:rPr>
          <w:rFonts w:ascii="inter" w:hAnsi="inter" w:eastAsia="inter" w:cs="inter"/>
          <w:color w:val="000000"/>
        </w:rPr>
        <w:t>（2）</w:t>
      </w:r>
      <w:r>
        <w:rPr>
          <w:rFonts w:ascii="inter" w:hAnsi="inter" w:eastAsia="inter" w:cs="inter"/>
          <w:b/>
          <w:color w:val="000000"/>
        </w:rPr>
        <w:t>体教融合与卫体融合一体化机制</w:t>
      </w:r>
    </w:p>
    <w:p w14:paraId="44A043EE">
      <w:pPr>
        <w:spacing w:after="210" w:line="360" w:lineRule="auto"/>
      </w:pPr>
      <w:r>
        <w:rPr>
          <w:rFonts w:ascii="inter" w:hAnsi="inter" w:eastAsia="inter" w:cs="inter"/>
          <w:color w:val="000000"/>
        </w:rPr>
        <w:t>——内容：通过立法或高位政策文件明确体育与健康教育在育人体系中的核心地位，建立跨部门联合决策与预算协同机制，在人才培养、科研攻关和服务体系上实现深度融合。</w:t>
      </w:r>
      <w:bookmarkStart w:id="269" w:name="fnref7_11"/>
      <w:bookmarkEnd w:id="26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70" w:name="fnref2_28"/>
      <w:bookmarkEnd w:id="27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71" w:name="fnref10_23"/>
      <w:bookmarkEnd w:id="27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6795A78">
      <w:pPr>
        <w:spacing w:after="210" w:line="360" w:lineRule="auto"/>
      </w:pPr>
      <w:r>
        <w:rPr>
          <w:rFonts w:ascii="inter" w:hAnsi="inter" w:eastAsia="inter" w:cs="inter"/>
          <w:color w:val="000000"/>
        </w:rPr>
        <w:t>（3）</w:t>
      </w:r>
      <w:r>
        <w:rPr>
          <w:rFonts w:ascii="inter" w:hAnsi="inter" w:eastAsia="inter" w:cs="inter"/>
          <w:b/>
          <w:color w:val="000000"/>
        </w:rPr>
        <w:t>国家学生体质健康与体育活动大数据平台</w:t>
      </w:r>
    </w:p>
    <w:p w14:paraId="288EFB2B">
      <w:pPr>
        <w:spacing w:after="210" w:line="360" w:lineRule="auto"/>
      </w:pPr>
      <w:r>
        <w:rPr>
          <w:rFonts w:ascii="inter" w:hAnsi="inter" w:eastAsia="inter" w:cs="inter"/>
          <w:color w:val="000000"/>
        </w:rPr>
        <w:t>——内容：建设国家层面统一的学生体质与体育活动行为数据库，实现不同学段、区域和群体的长期追踪，为教育规划和公共卫生决策提供数据基础。</w:t>
      </w:r>
      <w:bookmarkStart w:id="272" w:name="fnref38_2"/>
      <w:bookmarkEnd w:id="272"/>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273" w:name="fnref8_7"/>
      <w:bookmarkEnd w:id="27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74" w:name="fnref37_19"/>
      <w:bookmarkEnd w:id="27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6FA55F85">
      <w:pPr>
        <w:spacing w:after="210" w:line="360" w:lineRule="auto"/>
      </w:pPr>
      <w:r>
        <w:rPr>
          <w:rFonts w:ascii="inter" w:hAnsi="inter" w:eastAsia="inter" w:cs="inter"/>
          <w:color w:val="000000"/>
        </w:rPr>
        <w:t>（4）</w:t>
      </w:r>
      <w:r>
        <w:rPr>
          <w:rFonts w:ascii="inter" w:hAnsi="inter" w:eastAsia="inter" w:cs="inter"/>
          <w:b/>
          <w:color w:val="000000"/>
        </w:rPr>
        <w:t>以校园体育文化为核心的“运动型校园”建构</w:t>
      </w:r>
    </w:p>
    <w:p w14:paraId="6F8C0BB7">
      <w:pPr>
        <w:spacing w:after="210" w:line="360" w:lineRule="auto"/>
      </w:pPr>
      <w:r>
        <w:rPr>
          <w:rFonts w:ascii="inter" w:hAnsi="inter" w:eastAsia="inter" w:cs="inter"/>
          <w:color w:val="000000"/>
        </w:rPr>
        <w:t>——内容：推动学校从“完成任务”向“营造文化”转变，通过校本课程、体育节、联赛体系等，形成“常练、常赛、常参与”的校园体育生态。</w:t>
      </w:r>
      <w:bookmarkStart w:id="275" w:name="fnref39_10"/>
      <w:bookmarkEnd w:id="275"/>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276" w:name="fnref2_29"/>
      <w:bookmarkEnd w:id="27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77" w:name="fnref48_12"/>
      <w:bookmarkEnd w:id="277"/>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p>
    <w:p w14:paraId="05C07AA5">
      <w:pPr>
        <w:spacing w:before="315" w:after="105" w:line="360" w:lineRule="auto"/>
        <w:ind w:left="-30"/>
        <w:jc w:val="left"/>
      </w:pPr>
      <w:bookmarkStart w:id="278" w:name="bm_2_工具优势_局限与实施条件对比表_长期"/>
      <w:r>
        <w:rPr>
          <w:rFonts w:ascii="inter" w:hAnsi="inter" w:eastAsia="inter" w:cs="inter"/>
          <w:b/>
          <w:color w:val="000000"/>
          <w:sz w:val="24"/>
        </w:rPr>
        <w:t>2. 工具优势、局限与实施条件对比表（长期）</w:t>
      </w:r>
      <w:bookmarkEnd w:id="278"/>
    </w:p>
    <w:p w14:paraId="47178DD4">
      <w:pPr>
        <w:spacing w:after="210" w:line="360" w:lineRule="auto"/>
      </w:pPr>
      <w:r>
        <w:rPr>
          <w:rFonts w:ascii="inter" w:hAnsi="inter" w:eastAsia="inter" w:cs="inter"/>
          <w:b/>
          <w:color w:val="000000"/>
        </w:rPr>
        <w:t>表5 长期改革阶段工具“优势—局限—实施条件”对比表</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07"/>
        <w:gridCol w:w="2802"/>
        <w:gridCol w:w="2693"/>
        <w:gridCol w:w="2738"/>
      </w:tblGrid>
      <w:tr w14:paraId="24FBF6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3BBC29">
            <w:pPr>
              <w:spacing w:after="0" w:line="360" w:lineRule="auto"/>
            </w:pPr>
            <w:r>
              <w:rPr>
                <w:rFonts w:ascii="inter" w:hAnsi="inter" w:eastAsia="inter" w:cs="inter"/>
                <w:color w:val="000000"/>
                <w:sz w:val="17"/>
              </w:rPr>
              <w:t>工具名称</w:t>
            </w:r>
          </w:p>
        </w:tc>
        <w:tc>
          <w:tcPr>
            <w:tcBorders>
              <w:top w:val="single" w:color="000000" w:sz="0" w:space="0"/>
              <w:bottom w:val="single" w:color="000000" w:sz="0" w:space="0"/>
              <w:right w:val="single" w:color="000000" w:sz="0" w:space="0"/>
            </w:tcBorders>
          </w:tcPr>
          <w:p w14:paraId="75F3A20C">
            <w:pPr>
              <w:spacing w:after="0" w:line="360" w:lineRule="auto"/>
            </w:pPr>
            <w:r>
              <w:rPr>
                <w:rFonts w:ascii="inter" w:hAnsi="inter" w:eastAsia="inter" w:cs="inter"/>
                <w:color w:val="000000"/>
                <w:sz w:val="17"/>
              </w:rPr>
              <w:t>主要优势</w:t>
            </w:r>
          </w:p>
        </w:tc>
        <w:tc>
          <w:tcPr>
            <w:tcBorders>
              <w:top w:val="single" w:color="000000" w:sz="0" w:space="0"/>
              <w:bottom w:val="single" w:color="000000" w:sz="0" w:space="0"/>
              <w:right w:val="single" w:color="000000" w:sz="0" w:space="0"/>
            </w:tcBorders>
          </w:tcPr>
          <w:p w14:paraId="7C4C39D2">
            <w:pPr>
              <w:spacing w:after="0" w:line="360" w:lineRule="auto"/>
            </w:pPr>
            <w:r>
              <w:rPr>
                <w:rFonts w:ascii="inter" w:hAnsi="inter" w:eastAsia="inter" w:cs="inter"/>
                <w:color w:val="000000"/>
                <w:sz w:val="17"/>
              </w:rPr>
              <w:t>潜在局限</w:t>
            </w:r>
          </w:p>
        </w:tc>
        <w:tc>
          <w:tcPr>
            <w:tcBorders>
              <w:top w:val="single" w:color="000000" w:sz="0" w:space="0"/>
              <w:bottom w:val="single" w:color="000000" w:sz="0" w:space="0"/>
            </w:tcBorders>
          </w:tcPr>
          <w:p w14:paraId="00D5B99C">
            <w:pPr>
              <w:spacing w:after="0" w:line="360" w:lineRule="auto"/>
            </w:pPr>
            <w:r>
              <w:rPr>
                <w:rFonts w:ascii="inter" w:hAnsi="inter" w:eastAsia="inter" w:cs="inter"/>
                <w:color w:val="000000"/>
                <w:sz w:val="17"/>
              </w:rPr>
              <w:t>关键实施条件</w:t>
            </w:r>
          </w:p>
        </w:tc>
      </w:tr>
      <w:tr w14:paraId="7F8573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357FCE">
            <w:pPr>
              <w:spacing w:after="0" w:line="360" w:lineRule="auto"/>
            </w:pPr>
            <w:r>
              <w:rPr>
                <w:rFonts w:ascii="inter" w:hAnsi="inter" w:eastAsia="inter" w:cs="inter"/>
                <w:color w:val="000000"/>
                <w:sz w:val="17"/>
              </w:rPr>
              <w:t>评价改革中体育权重制度化</w:t>
            </w:r>
          </w:p>
        </w:tc>
        <w:tc>
          <w:tcPr>
            <w:tcBorders>
              <w:top w:val="single" w:color="000000" w:sz="0" w:space="0"/>
              <w:bottom w:val="single" w:color="000000" w:sz="0" w:space="0"/>
              <w:right w:val="single" w:color="000000" w:sz="0" w:space="0"/>
            </w:tcBorders>
          </w:tcPr>
          <w:p w14:paraId="405C0162">
            <w:pPr>
              <w:spacing w:after="0" w:line="360" w:lineRule="auto"/>
            </w:pPr>
            <w:r>
              <w:rPr>
                <w:rFonts w:ascii="inter" w:hAnsi="inter" w:eastAsia="inter" w:cs="inter"/>
                <w:color w:val="000000"/>
                <w:sz w:val="17"/>
              </w:rPr>
              <w:t>从根本上改变学校与家庭的时间偏好与资源配置，形成长期稳定激励</w:t>
            </w:r>
            <w:r>
              <w:fldChar w:fldCharType="begin"/>
            </w:r>
            <w:r>
              <w:instrText xml:space="preserve"> HYPERLINK \l "fn42" \h </w:instrText>
            </w:r>
            <w:r>
              <w:fldChar w:fldCharType="separate"/>
            </w:r>
            <w:r>
              <w:rPr>
                <w:rFonts w:ascii="inter" w:hAnsi="inter" w:eastAsia="inter" w:cs="inter"/>
                <w:color w:val="000000"/>
                <w:sz w:val="17"/>
                <w:u w:val="single"/>
                <w:vertAlign w:val="superscript"/>
              </w:rPr>
              <w:t>[42]</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BE1056F">
            <w:pPr>
              <w:spacing w:after="0" w:line="360" w:lineRule="auto"/>
            </w:pPr>
            <w:r>
              <w:rPr>
                <w:rFonts w:ascii="inter" w:hAnsi="inter" w:eastAsia="inter" w:cs="inter"/>
                <w:color w:val="000000"/>
                <w:sz w:val="17"/>
              </w:rPr>
              <w:t>如设计失衡，可能诱发“体育应试化”，削弱体育育人综合功能</w:t>
            </w:r>
            <w:r>
              <w:fldChar w:fldCharType="begin"/>
            </w:r>
            <w:r>
              <w:instrText xml:space="preserve"> HYPERLINK \l "fn29" \h </w:instrText>
            </w:r>
            <w:r>
              <w:fldChar w:fldCharType="separate"/>
            </w:r>
            <w:r>
              <w:rPr>
                <w:rFonts w:ascii="inter" w:hAnsi="inter" w:eastAsia="inter" w:cs="inter"/>
                <w:color w:val="000000"/>
                <w:sz w:val="17"/>
                <w:u w:val="single"/>
                <w:vertAlign w:val="superscript"/>
              </w:rPr>
              <w:t>[29]</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B98EEBF">
            <w:pPr>
              <w:spacing w:after="0" w:line="360" w:lineRule="auto"/>
            </w:pPr>
            <w:r>
              <w:rPr>
                <w:rFonts w:ascii="inter" w:hAnsi="inter" w:eastAsia="inter" w:cs="inter"/>
                <w:color w:val="000000"/>
                <w:sz w:val="17"/>
              </w:rPr>
              <w:t>教育评价综合改革与体育评价体系协同；过程性与结果性指标平衡</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r>
      <w:tr w14:paraId="73F82D0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8B62F70">
            <w:pPr>
              <w:spacing w:after="0" w:line="360" w:lineRule="auto"/>
            </w:pPr>
            <w:r>
              <w:rPr>
                <w:rFonts w:ascii="inter" w:hAnsi="inter" w:eastAsia="inter" w:cs="inter"/>
                <w:color w:val="000000"/>
                <w:sz w:val="17"/>
              </w:rPr>
              <w:t>体教融合与卫体融合一体化</w:t>
            </w:r>
          </w:p>
        </w:tc>
        <w:tc>
          <w:tcPr>
            <w:tcBorders>
              <w:top w:val="single" w:color="000000" w:sz="0" w:space="0"/>
              <w:bottom w:val="single" w:color="000000" w:sz="0" w:space="0"/>
              <w:right w:val="single" w:color="000000" w:sz="0" w:space="0"/>
            </w:tcBorders>
          </w:tcPr>
          <w:p w14:paraId="380F5F24">
            <w:pPr>
              <w:spacing w:after="0" w:line="360" w:lineRule="auto"/>
            </w:pPr>
            <w:r>
              <w:rPr>
                <w:rFonts w:ascii="inter" w:hAnsi="inter" w:eastAsia="inter" w:cs="inter"/>
                <w:color w:val="000000"/>
                <w:sz w:val="17"/>
              </w:rPr>
              <w:t>整合教育、体育与卫生资源，提升政策协同性和资源使用效率</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E7274E1">
            <w:pPr>
              <w:spacing w:after="0" w:line="360" w:lineRule="auto"/>
            </w:pPr>
            <w:r>
              <w:rPr>
                <w:rFonts w:ascii="inter" w:hAnsi="inter" w:eastAsia="inter" w:cs="inter"/>
                <w:color w:val="000000"/>
                <w:sz w:val="17"/>
              </w:rPr>
              <w:t>部门间利益协调与权责划分复杂，推进节奏需稳妥把握</w:t>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"fn43" \h </w:instrText>
            </w:r>
            <w:r>
              <w:fldChar w:fldCharType="separate"/>
            </w:r>
            <w:r>
              <w:rPr>
                <w:rFonts w:ascii="inter" w:hAnsi="inter" w:eastAsia="inter" w:cs="inter"/>
                <w:color w:val="000000"/>
                <w:sz w:val="17"/>
                <w:u w:val="single"/>
                <w:vertAlign w:val="superscript"/>
              </w:rPr>
              <w:t>[43]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6DBF8748">
            <w:pPr>
              <w:spacing w:after="0" w:line="360" w:lineRule="auto"/>
            </w:pPr>
            <w:r>
              <w:rPr>
                <w:rFonts w:ascii="inter" w:hAnsi="inter" w:eastAsia="inter" w:cs="inter"/>
                <w:color w:val="000000"/>
                <w:sz w:val="17"/>
              </w:rPr>
              <w:t>高位统一规划；跨部门联席会议制度；联合预算与绩效评价机制</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r>
      <w:tr w14:paraId="0B9FCA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C5609BD">
            <w:pPr>
              <w:spacing w:after="0" w:line="360" w:lineRule="auto"/>
            </w:pPr>
            <w:r>
              <w:rPr>
                <w:rFonts w:ascii="inter" w:hAnsi="inter" w:eastAsia="inter" w:cs="inter"/>
                <w:color w:val="000000"/>
                <w:sz w:val="17"/>
              </w:rPr>
              <w:t>国家体质健康与体育活动大数据平台</w:t>
            </w:r>
          </w:p>
        </w:tc>
        <w:tc>
          <w:tcPr>
            <w:tcBorders>
              <w:top w:val="single" w:color="000000" w:sz="0" w:space="0"/>
              <w:bottom w:val="single" w:color="000000" w:sz="0" w:space="0"/>
              <w:right w:val="single" w:color="000000" w:sz="0" w:space="0"/>
            </w:tcBorders>
          </w:tcPr>
          <w:p w14:paraId="17DB0505">
            <w:pPr>
              <w:spacing w:after="0" w:line="360" w:lineRule="auto"/>
            </w:pPr>
            <w:r>
              <w:rPr>
                <w:rFonts w:ascii="inter" w:hAnsi="inter" w:eastAsia="inter" w:cs="inter"/>
                <w:color w:val="000000"/>
                <w:sz w:val="17"/>
              </w:rPr>
              <w:t>为精准治理和长期评估提供基础，支撑科学决策</w:t>
            </w:r>
            <w:r>
              <w:fldChar w:fldCharType="begin"/>
            </w:r>
            <w:r>
              <w:instrText xml:space="preserve"> HYPERLINK \l "fn38" \h </w:instrText>
            </w:r>
            <w:r>
              <w:fldChar w:fldCharType="separate"/>
            </w:r>
            <w:r>
              <w:rPr>
                <w:rFonts w:ascii="inter" w:hAnsi="inter" w:eastAsia="inter" w:cs="inter"/>
                <w:color w:val="000000"/>
                <w:sz w:val="17"/>
                <w:u w:val="single"/>
                <w:vertAlign w:val="superscript"/>
              </w:rPr>
              <w:t>[38]</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1B6EBD2">
            <w:pPr>
              <w:spacing w:after="0" w:line="360" w:lineRule="auto"/>
            </w:pPr>
            <w:r>
              <w:rPr>
                <w:rFonts w:ascii="inter" w:hAnsi="inter" w:eastAsia="inter" w:cs="inter"/>
                <w:color w:val="000000"/>
                <w:sz w:val="17"/>
              </w:rPr>
              <w:t>数据隐私与安全要求高；地方数据质量决定平台价值</w:t>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387E8AE">
            <w:pPr>
              <w:spacing w:after="0" w:line="360" w:lineRule="auto"/>
            </w:pPr>
            <w:r>
              <w:rPr>
                <w:rFonts w:ascii="inter" w:hAnsi="inter" w:eastAsia="inter" w:cs="inter"/>
                <w:color w:val="000000"/>
                <w:sz w:val="17"/>
              </w:rPr>
              <w:t>完善数据标准与接口规范；加强信息安全与隐私保护制度</w:t>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r w14:paraId="23191F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A320A8">
            <w:pPr>
              <w:spacing w:after="0" w:line="360" w:lineRule="auto"/>
            </w:pPr>
            <w:r>
              <w:rPr>
                <w:rFonts w:ascii="inter" w:hAnsi="inter" w:eastAsia="inter" w:cs="inter"/>
                <w:color w:val="000000"/>
                <w:sz w:val="17"/>
              </w:rPr>
              <w:t>“运动型校园”文化建构</w:t>
            </w:r>
          </w:p>
        </w:tc>
        <w:tc>
          <w:tcPr>
            <w:tcBorders>
              <w:top w:val="single" w:color="000000" w:sz="0" w:space="0"/>
              <w:bottom w:val="single" w:color="000000" w:sz="0" w:space="0"/>
              <w:right w:val="single" w:color="000000" w:sz="0" w:space="0"/>
            </w:tcBorders>
          </w:tcPr>
          <w:p w14:paraId="63CDB02E">
            <w:pPr>
              <w:spacing w:after="0" w:line="360" w:lineRule="auto"/>
            </w:pPr>
            <w:r>
              <w:rPr>
                <w:rFonts w:ascii="inter" w:hAnsi="inter" w:eastAsia="inter" w:cs="inter"/>
                <w:color w:val="000000"/>
                <w:sz w:val="17"/>
              </w:rPr>
              <w:t>通过文化内化，将体育变为日常生活方式，增强学生自我驱动</w:t>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BA83E81">
            <w:pPr>
              <w:spacing w:after="0" w:line="360" w:lineRule="auto"/>
            </w:pPr>
            <w:r>
              <w:rPr>
                <w:rFonts w:ascii="inter" w:hAnsi="inter" w:eastAsia="inter" w:cs="inter"/>
                <w:color w:val="000000"/>
                <w:sz w:val="17"/>
              </w:rPr>
              <w:t>文化变迁周期长，短期内效果不易量化，政治激励相对不足</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9721F23">
            <w:pPr>
              <w:spacing w:after="0" w:line="360" w:lineRule="auto"/>
            </w:pPr>
            <w:r>
              <w:rPr>
                <w:rFonts w:ascii="inter" w:hAnsi="inter" w:eastAsia="inter" w:cs="inter"/>
                <w:color w:val="000000"/>
                <w:sz w:val="17"/>
              </w:rPr>
              <w:t>校长体育领导力；教师体育素养；学生自治组织参与</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r>
    </w:tbl>
    <w:p w14:paraId="2CAABD1D"/>
    <w:p w14:paraId="7D37796B">
      <w:pPr>
        <w:spacing w:before="315" w:after="105" w:line="360" w:lineRule="auto"/>
        <w:ind w:left="-30"/>
        <w:jc w:val="left"/>
      </w:pPr>
      <w:bookmarkStart w:id="279" w:name="bm_3_潜在挑战与适用边界_长期"/>
      <w:r>
        <w:rPr>
          <w:rFonts w:ascii="inter" w:hAnsi="inter" w:eastAsia="inter" w:cs="inter"/>
          <w:b/>
          <w:color w:val="000000"/>
          <w:sz w:val="24"/>
        </w:rPr>
        <w:t>3. 潜在挑战与适用边界（长期）</w:t>
      </w:r>
      <w:bookmarkEnd w:id="279"/>
    </w:p>
    <w:p w14:paraId="63EB47C5">
      <w:pPr>
        <w:spacing w:after="210" w:line="360" w:lineRule="auto"/>
      </w:pPr>
      <w:r>
        <w:rPr>
          <w:rFonts w:ascii="inter" w:hAnsi="inter" w:eastAsia="inter" w:cs="inter"/>
          <w:color w:val="000000"/>
        </w:rPr>
        <w:t>长期改革的核心在于“制度与文化同构”。在推进过程中需注意：</w:t>
      </w:r>
    </w:p>
    <w:p w14:paraId="3F3D75DD">
      <w:pPr>
        <w:numPr>
          <w:ilvl w:val="0"/>
          <w:numId w:val="13"/>
        </w:numPr>
        <w:spacing w:before="105" w:after="105" w:line="360" w:lineRule="auto"/>
      </w:pPr>
      <w:r>
        <w:rPr>
          <w:rFonts w:ascii="inter" w:hAnsi="inter" w:eastAsia="inter" w:cs="inter"/>
          <w:color w:val="000000"/>
          <w:sz w:val="21"/>
        </w:rPr>
        <w:t>体育在高考与中考中的权重提升应循序渐进，并与过程性评价、兴趣培养和全面发展目标相协调，避免“以分数替代健康”的新一轮单一指标化；</w:t>
      </w:r>
      <w:bookmarkStart w:id="280" w:name="fnref29_3"/>
      <w:bookmarkEnd w:id="28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281" w:name="fnref42_5"/>
      <w:bookmarkEnd w:id="281"/>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p>
    <w:p w14:paraId="507C92EE">
      <w:pPr>
        <w:numPr>
          <w:ilvl w:val="0"/>
          <w:numId w:val="13"/>
        </w:numPr>
        <w:spacing w:before="105" w:after="105" w:line="360" w:lineRule="auto"/>
      </w:pPr>
      <w:r>
        <w:rPr>
          <w:rFonts w:ascii="inter" w:hAnsi="inter" w:eastAsia="inter" w:cs="inter"/>
          <w:color w:val="000000"/>
          <w:sz w:val="21"/>
        </w:rPr>
        <w:t>大数据平台建设必须在法律与伦理框架内进行，防止过度收集与滥用学生健康数据；</w:t>
      </w:r>
      <w:bookmarkStart w:id="282" w:name="fnref8_10"/>
      <w:bookmarkEnd w:id="28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283" w:name="fnref37_23"/>
      <w:bookmarkEnd w:id="283"/>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C4A2D55">
      <w:pPr>
        <w:numPr>
          <w:ilvl w:val="0"/>
          <w:numId w:val="13"/>
        </w:numPr>
        <w:spacing w:before="105" w:after="105" w:line="360" w:lineRule="auto"/>
      </w:pPr>
      <w:r>
        <w:rPr>
          <w:rFonts w:ascii="inter" w:hAnsi="inter" w:eastAsia="inter" w:cs="inter"/>
          <w:color w:val="000000"/>
          <w:sz w:val="21"/>
        </w:rPr>
        <w:t>校园体育文化的生成需要时间与实践积累，不宜以短期“运动式评比”替代理性制度构建。</w:t>
      </w:r>
      <w:bookmarkStart w:id="284" w:name="fnref34_4"/>
      <w:bookmarkEnd w:id="284"/>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285" w:name="fnref2_36"/>
      <w:bookmarkEnd w:id="285"/>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C265448">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020320B5">
      <w:pPr>
        <w:spacing w:before="315" w:after="105" w:line="360" w:lineRule="auto"/>
        <w:ind w:left="-30"/>
        <w:jc w:val="left"/>
      </w:pPr>
      <w:bookmarkStart w:id="286" w:name="七_风险评估与配套保障机制"/>
      <w:r>
        <w:rPr>
          <w:rFonts w:ascii="inter" w:hAnsi="inter" w:eastAsia="inter" w:cs="inter"/>
          <w:b/>
          <w:color w:val="000000"/>
          <w:sz w:val="24"/>
        </w:rPr>
        <w:t>七、风险评估与配套保障机制</w:t>
      </w:r>
      <w:bookmarkEnd w:id="286"/>
    </w:p>
    <w:p w14:paraId="51E00AA7">
      <w:pPr>
        <w:spacing w:after="210" w:line="360" w:lineRule="auto"/>
      </w:pPr>
      <w:r>
        <w:rPr>
          <w:rFonts w:ascii="inter" w:hAnsi="inter" w:eastAsia="inter" w:cs="inter"/>
          <w:color w:val="000000"/>
        </w:rPr>
        <w:t>在全面实施“学生体质强健计划”与2小时体育活动目标过程中，一般而言需重点关注以下风险及其防控路径：</w:t>
      </w:r>
    </w:p>
    <w:p w14:paraId="5B4C8704">
      <w:pPr>
        <w:numPr>
          <w:ilvl w:val="0"/>
          <w:numId w:val="14"/>
        </w:numPr>
        <w:spacing w:after="210" w:line="360" w:lineRule="auto"/>
      </w:pPr>
      <w:r>
        <w:rPr>
          <w:rFonts w:ascii="inter" w:hAnsi="inter" w:eastAsia="inter" w:cs="inter"/>
          <w:b/>
          <w:color w:val="000000"/>
          <w:sz w:val="21"/>
        </w:rPr>
        <w:t>数据造假与形式主义风险</w:t>
      </w:r>
      <w:r>
        <w:rPr>
          <w:rFonts w:ascii="inter" w:hAnsi="inter" w:eastAsia="inter" w:cs="inter"/>
          <w:color w:val="000000"/>
          <w:sz w:val="21"/>
        </w:rPr>
        <w:br w:type="textWrapping"/>
      </w:r>
      <w:r>
        <w:rPr>
          <w:rFonts w:ascii="inter" w:hAnsi="inter" w:eastAsia="inter" w:cs="inter"/>
          <w:color w:val="000000"/>
          <w:sz w:val="21"/>
        </w:rPr>
        <w:t>——风险表现：时间统计虚报、打卡替代真实运动、体测环节弄虚作假等。</w:t>
      </w:r>
      <w:r>
        <w:rPr>
          <w:rFonts w:ascii="inter" w:hAnsi="inter" w:eastAsia="inter" w:cs="inter"/>
          <w:color w:val="000000"/>
          <w:sz w:val="21"/>
        </w:rPr>
        <w:br w:type="textWrapping"/>
      </w:r>
      <w:r>
        <w:rPr>
          <w:rFonts w:ascii="inter" w:hAnsi="inter" w:eastAsia="inter" w:cs="inter"/>
          <w:color w:val="000000"/>
          <w:sz w:val="21"/>
        </w:rPr>
        <w:t>——应对建议：强化第三方抽测和交叉验证机制，引入随机现场巡查与学生匿名问卷交叉核验；在考核中同时使用“过程性时间指标+结果性体质指标”，形成闭环。</w:t>
      </w:r>
      <w:bookmarkStart w:id="287" w:name="fnref23_7"/>
      <w:bookmarkEnd w:id="287"/>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288" w:name="fnref35_13"/>
      <w:bookmarkEnd w:id="288"/>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289" w:name="fnref24_15"/>
      <w:bookmarkEnd w:id="289"/>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1BC4E2FB">
      <w:pPr>
        <w:numPr>
          <w:ilvl w:val="0"/>
          <w:numId w:val="14"/>
        </w:numPr>
        <w:spacing w:after="210" w:line="360" w:lineRule="auto"/>
      </w:pPr>
      <w:r>
        <w:rPr>
          <w:rFonts w:ascii="inter" w:hAnsi="inter" w:eastAsia="inter" w:cs="inter"/>
          <w:b/>
          <w:color w:val="000000"/>
          <w:sz w:val="21"/>
        </w:rPr>
        <w:t>安全与伤害风险</w:t>
      </w:r>
      <w:r>
        <w:rPr>
          <w:rFonts w:ascii="inter" w:hAnsi="inter" w:eastAsia="inter" w:cs="inter"/>
          <w:color w:val="000000"/>
          <w:sz w:val="21"/>
        </w:rPr>
        <w:br w:type="textWrapping"/>
      </w:r>
      <w:r>
        <w:rPr>
          <w:rFonts w:ascii="inter" w:hAnsi="inter" w:eastAsia="inter" w:cs="inter"/>
          <w:color w:val="000000"/>
          <w:sz w:val="21"/>
        </w:rPr>
        <w:t>——风险表现：在运动负荷与强度设计不合理情况下，运动损伤或意外事件增加，引发社会舆论波动。</w:t>
      </w:r>
      <w:r>
        <w:rPr>
          <w:rFonts w:ascii="inter" w:hAnsi="inter" w:eastAsia="inter" w:cs="inter"/>
          <w:color w:val="000000"/>
          <w:sz w:val="21"/>
        </w:rPr>
        <w:br w:type="textWrapping"/>
      </w:r>
      <w:r>
        <w:rPr>
          <w:rFonts w:ascii="inter" w:hAnsi="inter" w:eastAsia="inter" w:cs="inter"/>
          <w:color w:val="000000"/>
          <w:sz w:val="21"/>
        </w:rPr>
        <w:t>——应对建议：卫健与教育部门联合制定负荷分级指引和运动风险等级目录，为不同体质与疾病史学生制定差异化运动方案；加强校医和体育教师的急救培训与保险保障。</w:t>
      </w:r>
      <w:bookmarkStart w:id="290" w:name="fnref14_8"/>
      <w:bookmarkEnd w:id="290"/>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291" w:name="fnref7_14"/>
      <w:bookmarkEnd w:id="291"/>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292" w:name="fnref9_8"/>
      <w:bookmarkEnd w:id="292"/>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1EA4ECA8">
      <w:pPr>
        <w:numPr>
          <w:ilvl w:val="0"/>
          <w:numId w:val="14"/>
        </w:numPr>
        <w:spacing w:after="210" w:line="360" w:lineRule="auto"/>
      </w:pPr>
      <w:r>
        <w:rPr>
          <w:rFonts w:ascii="inter" w:hAnsi="inter" w:eastAsia="inter" w:cs="inter"/>
          <w:b/>
          <w:color w:val="000000"/>
          <w:sz w:val="21"/>
        </w:rPr>
        <w:t>教育公平与区域差距风险</w:t>
      </w:r>
      <w:r>
        <w:rPr>
          <w:rFonts w:ascii="inter" w:hAnsi="inter" w:eastAsia="inter" w:cs="inter"/>
          <w:color w:val="000000"/>
          <w:sz w:val="21"/>
        </w:rPr>
        <w:br w:type="textWrapping"/>
      </w:r>
      <w:r>
        <w:rPr>
          <w:rFonts w:ascii="inter" w:hAnsi="inter" w:eastAsia="inter" w:cs="inter"/>
          <w:color w:val="000000"/>
          <w:sz w:val="21"/>
        </w:rPr>
        <w:t>——风险表现：资源丰富地区率先达标并实现高质量实施，资源薄弱地区可能在“硬指标压力”下陷入被动应对甚至“劣币驱逐良币”。</w:t>
      </w:r>
      <w:r>
        <w:rPr>
          <w:rFonts w:ascii="inter" w:hAnsi="inter" w:eastAsia="inter" w:cs="inter"/>
          <w:color w:val="000000"/>
          <w:sz w:val="21"/>
        </w:rPr>
        <w:br w:type="textWrapping"/>
      </w:r>
      <w:r>
        <w:rPr>
          <w:rFonts w:ascii="inter" w:hAnsi="inter" w:eastAsia="inter" w:cs="inter"/>
          <w:color w:val="000000"/>
          <w:sz w:val="21"/>
        </w:rPr>
        <w:t>——应对建议：在财政转移支付和专项资金安排中，将学生体质健康和2小时落实情况纳入权重，对薄弱地区实行“政策倾斜+能力建设”双重支持。</w:t>
      </w:r>
      <w:bookmarkStart w:id="293" w:name="fnref50_9"/>
      <w:bookmarkEnd w:id="293"/>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294" w:name="fnref43_10"/>
      <w:bookmarkEnd w:id="294"/>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bookmarkStart w:id="295" w:name="fnref7_15"/>
      <w:bookmarkEnd w:id="29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2677143B">
      <w:pPr>
        <w:numPr>
          <w:ilvl w:val="0"/>
          <w:numId w:val="14"/>
        </w:numPr>
        <w:spacing w:after="210" w:line="360" w:lineRule="auto"/>
      </w:pPr>
      <w:r>
        <w:rPr>
          <w:rFonts w:ascii="inter" w:hAnsi="inter" w:eastAsia="inter" w:cs="inter"/>
          <w:b/>
          <w:color w:val="000000"/>
          <w:sz w:val="21"/>
        </w:rPr>
        <w:t>制度路径依赖与改革衰减风险</w:t>
      </w:r>
      <w:r>
        <w:rPr>
          <w:rFonts w:ascii="inter" w:hAnsi="inter" w:eastAsia="inter" w:cs="inter"/>
          <w:color w:val="000000"/>
          <w:sz w:val="21"/>
        </w:rPr>
        <w:br w:type="textWrapping"/>
      </w:r>
      <w:r>
        <w:rPr>
          <w:rFonts w:ascii="inter" w:hAnsi="inter" w:eastAsia="inter" w:cs="inter"/>
          <w:color w:val="000000"/>
          <w:sz w:val="21"/>
        </w:rPr>
        <w:t>——风险表现：改革初期成效明显，但随着时间推移，制度活力减弱，政策执行衰减再度显现。</w:t>
      </w:r>
      <w:r>
        <w:rPr>
          <w:rFonts w:ascii="inter" w:hAnsi="inter" w:eastAsia="inter" w:cs="inter"/>
          <w:color w:val="000000"/>
          <w:sz w:val="21"/>
        </w:rPr>
        <w:br w:type="textWrapping"/>
      </w:r>
      <w:r>
        <w:rPr>
          <w:rFonts w:ascii="inter" w:hAnsi="inter" w:eastAsia="inter" w:cs="inter"/>
          <w:color w:val="000000"/>
          <w:sz w:val="21"/>
        </w:rPr>
        <w:t>——应对建议：通过定期政策评估与修订制度，将体质健康促进纳入长期规划滚动调整；运用fsQCA等方法识别不同地区最优政策工具组合，避免“一刀切”。</w:t>
      </w:r>
      <w:bookmarkStart w:id="296" w:name="fnref34_5"/>
      <w:bookmarkEnd w:id="296"/>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297" w:name="fnref43_11"/>
      <w:bookmarkEnd w:id="297"/>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bookmarkStart w:id="298" w:name="fnref37_24"/>
      <w:bookmarkEnd w:id="29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6C68C5C4">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BB3C9D1">
      <w:pPr>
        <w:spacing w:before="315" w:after="105" w:line="360" w:lineRule="auto"/>
        <w:ind w:left="-30"/>
        <w:jc w:val="left"/>
      </w:pPr>
      <w:bookmarkStart w:id="299" w:name="八_战略升维_2小时体育活动与国家宏观战略的系统耦合"/>
      <w:r>
        <w:rPr>
          <w:rFonts w:ascii="inter" w:hAnsi="inter" w:eastAsia="inter" w:cs="inter"/>
          <w:b/>
          <w:color w:val="000000"/>
          <w:sz w:val="24"/>
        </w:rPr>
        <w:t>八、战略升维：2小时体育活动与国家宏观战略的系统耦合</w:t>
      </w:r>
      <w:bookmarkEnd w:id="299"/>
    </w:p>
    <w:p w14:paraId="72264727">
      <w:pPr>
        <w:spacing w:before="315" w:after="105" w:line="360" w:lineRule="auto"/>
        <w:ind w:left="-30"/>
        <w:jc w:val="left"/>
      </w:pPr>
      <w:bookmarkStart w:id="300" w:name="一_与_健康中国2030_的协同推进"/>
      <w:r>
        <w:rPr>
          <w:rFonts w:ascii="inter" w:hAnsi="inter" w:eastAsia="inter" w:cs="inter"/>
          <w:b/>
          <w:color w:val="000000"/>
          <w:sz w:val="24"/>
        </w:rPr>
        <w:t>（一）与“健康中国2030”的协同推进</w:t>
      </w:r>
      <w:bookmarkEnd w:id="300"/>
    </w:p>
    <w:p w14:paraId="24346B93">
      <w:pPr>
        <w:spacing w:after="210" w:line="360" w:lineRule="auto"/>
      </w:pPr>
      <w:r>
        <w:rPr>
          <w:rFonts w:ascii="inter" w:hAnsi="inter" w:eastAsia="inter" w:cs="inter"/>
          <w:color w:val="000000"/>
        </w:rPr>
        <w:t>“学生体质强健计划”与2小时体育活动目标，一般而言是落实《“健康中国2030”规划纲要》中“青少年体育活动促进计划”的关键抓手，是实现“学校体育场地设施与器材配置达标率100%，青少年学生每周参与体育活动达到中等强度3次以上，体质健康优秀率25%以上”等目标的核心路径。通过学校体育这一制度化平台，可以在儿童青少年阶段完成运动习惯和健康生活方式的“早期植入”，从而在生命周期视角下降低慢性病负担与卫生支出。</w:t>
      </w:r>
      <w:bookmarkStart w:id="301" w:name="fnref13_1"/>
      <w:bookmarkEnd w:id="30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302" w:name="fnref6_9"/>
      <w:bookmarkEnd w:id="30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303" w:name="fnref8_11"/>
      <w:bookmarkEnd w:id="30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304" w:name="fnref9_9"/>
      <w:bookmarkEnd w:id="30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185E37C">
      <w:pPr>
        <w:spacing w:before="315" w:after="105" w:line="360" w:lineRule="auto"/>
        <w:ind w:left="-30"/>
        <w:jc w:val="left"/>
      </w:pPr>
      <w:bookmarkStart w:id="305" w:name="二_与人口高质量发展和人力资本积累"/>
      <w:r>
        <w:rPr>
          <w:rFonts w:ascii="inter" w:hAnsi="inter" w:eastAsia="inter" w:cs="inter"/>
          <w:b/>
          <w:color w:val="000000"/>
          <w:sz w:val="24"/>
        </w:rPr>
        <w:t>（二）与人口高质量发展和人力资本积累</w:t>
      </w:r>
      <w:bookmarkEnd w:id="305"/>
    </w:p>
    <w:p w14:paraId="19E40002">
      <w:pPr>
        <w:spacing w:after="210" w:line="360" w:lineRule="auto"/>
      </w:pPr>
      <w:r>
        <w:rPr>
          <w:rFonts w:ascii="inter" w:hAnsi="inter" w:eastAsia="inter" w:cs="inter"/>
          <w:color w:val="000000"/>
        </w:rPr>
        <w:t>从人力资本理论与人口高质量发展战略视角看，体质健康资本是教育资本和技能资本的前提条件。大量国际与国内研究表明，适度体育活动有助于提升学生执行功能、自控力和心理韧性，对学业成就与未来劳动生产率具有间接正向效应。在我国劳动年龄人口规模进入“平台期甚至下降期”的背景下，通过系统实施学生体质强健计划提升人均健康水平，有助于在总量趋稳的前提下实现“质量红利”的最大化。</w:t>
      </w:r>
      <w:bookmarkStart w:id="306" w:name="fnref32_1"/>
      <w:bookmarkEnd w:id="30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307" w:name="fnref25_4"/>
      <w:bookmarkEnd w:id="30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308" w:name="fnref43_12"/>
      <w:bookmarkEnd w:id="308"/>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bookmarkStart w:id="309" w:name="fnref7_16"/>
      <w:bookmarkEnd w:id="30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310" w:name="fnref10_29"/>
      <w:bookmarkEnd w:id="31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1217388">
      <w:pPr>
        <w:spacing w:before="315" w:after="105" w:line="360" w:lineRule="auto"/>
        <w:ind w:left="-30"/>
        <w:jc w:val="left"/>
      </w:pPr>
      <w:bookmarkStart w:id="311" w:name="三_与韧性社会和国家安全的长周期关联"/>
      <w:r>
        <w:rPr>
          <w:rFonts w:ascii="inter" w:hAnsi="inter" w:eastAsia="inter" w:cs="inter"/>
          <w:b/>
          <w:color w:val="000000"/>
          <w:sz w:val="24"/>
        </w:rPr>
        <w:t>（三）与韧性社会和国家安全的长周期关联</w:t>
      </w:r>
      <w:bookmarkEnd w:id="311"/>
    </w:p>
    <w:p w14:paraId="64E58562">
      <w:pPr>
        <w:spacing w:after="210" w:line="360" w:lineRule="auto"/>
      </w:pPr>
      <w:r>
        <w:rPr>
          <w:rFonts w:ascii="inter" w:hAnsi="inter" w:eastAsia="inter" w:cs="inter"/>
          <w:color w:val="000000"/>
        </w:rPr>
        <w:t>从社会韧性和国家安全视角，“健康、体魄强健且心理韧性良好”的青年群体，是在面对自然灾害、公共卫生事件和各种突发风险时社会应对能力的关键资源。通过2小时体育活动制度化落实，培育学生的意志品质、团队协作与抗压能力，在长期内将转化为国家综合防灾减灾能力和社会心理韧性的重要组成部分。</w:t>
      </w:r>
      <w:bookmarkStart w:id="312" w:name="fnref2_37"/>
      <w:bookmarkEnd w:id="31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13" w:name="fnref6_10"/>
      <w:bookmarkEnd w:id="31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314" w:name="fnref10_30"/>
      <w:bookmarkEnd w:id="31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315" w:name="fnref9_10"/>
      <w:bookmarkEnd w:id="3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5FAA59D2">
      <w:pPr>
        <w:spacing w:before="315" w:after="105" w:line="360" w:lineRule="auto"/>
        <w:ind w:left="-30"/>
        <w:jc w:val="left"/>
      </w:pPr>
      <w:bookmarkStart w:id="316" w:name="四_与教育数字化战略和治理现代化的耦合"/>
      <w:r>
        <w:rPr>
          <w:rFonts w:ascii="inter" w:hAnsi="inter" w:eastAsia="inter" w:cs="inter"/>
          <w:b/>
          <w:color w:val="000000"/>
          <w:sz w:val="24"/>
        </w:rPr>
        <w:t>（四）与教育数字化战略和治理现代化的耦合</w:t>
      </w:r>
      <w:bookmarkEnd w:id="316"/>
    </w:p>
    <w:p w14:paraId="370107DC">
      <w:pPr>
        <w:spacing w:after="210" w:line="360" w:lineRule="auto"/>
      </w:pPr>
      <w:r>
        <w:rPr>
          <w:rFonts w:ascii="inter" w:hAnsi="inter" w:eastAsia="inter" w:cs="inter"/>
          <w:color w:val="000000"/>
        </w:rPr>
        <w:t>教育数字化战略行动强调利用数据驱动教育治理现代化。将学生体质强健计划与数字化平台相结合，一般可以在以下层面实现战略协同：</w:t>
      </w:r>
    </w:p>
    <w:p w14:paraId="13D67A8C">
      <w:pPr>
        <w:numPr>
          <w:ilvl w:val="0"/>
          <w:numId w:val="15"/>
        </w:numPr>
        <w:spacing w:before="105" w:after="105" w:line="360" w:lineRule="auto"/>
      </w:pPr>
      <w:r>
        <w:rPr>
          <w:rFonts w:ascii="inter" w:hAnsi="inter" w:eastAsia="inter" w:cs="inter"/>
          <w:color w:val="000000"/>
          <w:sz w:val="21"/>
        </w:rPr>
        <w:t>构建从个体到学校、从地区到国家的体质健康与体育活动数据库，为教育规划和公共卫生决策提供精细证据；</w:t>
      </w:r>
      <w:bookmarkStart w:id="317" w:name="fnref38_4"/>
      <w:bookmarkEnd w:id="317"/>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318" w:name="fnref37_25"/>
      <w:bookmarkEnd w:id="31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70075437">
      <w:pPr>
        <w:numPr>
          <w:ilvl w:val="0"/>
          <w:numId w:val="15"/>
        </w:numPr>
        <w:spacing w:before="105" w:after="105" w:line="360" w:lineRule="auto"/>
      </w:pPr>
      <w:r>
        <w:rPr>
          <w:rFonts w:ascii="inter" w:hAnsi="inter" w:eastAsia="inter" w:cs="inter"/>
          <w:color w:val="000000"/>
          <w:sz w:val="21"/>
        </w:rPr>
        <w:t>通过智能穿戴与在线课程平台，向偏远地区输送优质体育教学资源，缓解区域不均衡；</w:t>
      </w:r>
      <w:bookmarkStart w:id="319" w:name="fnref51_10"/>
      <w:bookmarkEnd w:id="319"/>
      <w:r>
        <w:fldChar w:fldCharType="begin"/>
      </w:r>
      <w:r>
        <w:instrText xml:space="preserve"> HYPERLINK \l "fn51" \h </w:instrText>
      </w:r>
      <w:r>
        <w:fldChar w:fldCharType="separate"/>
      </w:r>
      <w:r>
        <w:rPr>
          <w:rFonts w:ascii="inter" w:hAnsi="inter" w:eastAsia="inter" w:cs="inter"/>
          <w:color w:val="000000"/>
          <w:sz w:val="21"/>
          <w:u w:val="single"/>
          <w:vertAlign w:val="superscript"/>
        </w:rPr>
        <w:t>[51]</w:t>
      </w:r>
      <w:r>
        <w:rPr>
          <w:rFonts w:ascii="inter" w:hAnsi="inter" w:eastAsia="inter" w:cs="inter"/>
          <w:color w:val="000000"/>
          <w:sz w:val="21"/>
          <w:u w:val="single"/>
          <w:vertAlign w:val="superscript"/>
        </w:rPr>
        <w:fldChar w:fldCharType="end"/>
      </w:r>
      <w:bookmarkStart w:id="320" w:name="fnref8_12"/>
      <w:bookmarkEnd w:id="32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0B9385B6">
      <w:pPr>
        <w:numPr>
          <w:ilvl w:val="0"/>
          <w:numId w:val="15"/>
        </w:numPr>
        <w:spacing w:before="105" w:after="105" w:line="360" w:lineRule="auto"/>
      </w:pPr>
      <w:r>
        <w:rPr>
          <w:rFonts w:ascii="inter" w:hAnsi="inter" w:eastAsia="inter" w:cs="inter"/>
          <w:color w:val="000000"/>
          <w:sz w:val="21"/>
        </w:rPr>
        <w:t>在确保数据安全与隐私保护前提下，探索以数据要素为基础的公共服务新模式，推动教育治理从事后评估转向过程调控。</w:t>
      </w:r>
      <w:bookmarkStart w:id="321" w:name="fnref35_14"/>
      <w:bookmarkEnd w:id="321"/>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322" w:name="fnref37_26"/>
      <w:bookmarkEnd w:id="322"/>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4DF401B6">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0A51275C">
      <w:pPr>
        <w:spacing w:before="315" w:after="105" w:line="360" w:lineRule="auto"/>
        <w:ind w:left="-30"/>
        <w:jc w:val="left"/>
      </w:pPr>
      <w:bookmarkStart w:id="323" w:name="九_结论与政策优先序建议"/>
      <w:r>
        <w:rPr>
          <w:rFonts w:ascii="inter" w:hAnsi="inter" w:eastAsia="inter" w:cs="inter"/>
          <w:b/>
          <w:color w:val="000000"/>
          <w:sz w:val="24"/>
        </w:rPr>
        <w:t>九、结论与政策优先序建议</w:t>
      </w:r>
      <w:bookmarkEnd w:id="323"/>
    </w:p>
    <w:p w14:paraId="6A33D278">
      <w:pPr>
        <w:spacing w:after="210" w:line="360" w:lineRule="auto"/>
      </w:pPr>
      <w:r>
        <w:rPr>
          <w:rFonts w:ascii="inter" w:hAnsi="inter" w:eastAsia="inter" w:cs="inter"/>
          <w:color w:val="000000"/>
        </w:rPr>
        <w:t>综合上述分析，一般而言可以认为：落实《教育强国建设规划纲要》“学生体质强健计划”中“中小学生每天综合体育活动时间不低于2小时”的目标，是面向2035年教育强国、健康中国和人口高质量发展战略的关键系统工程，其成败取决于能否在时间资源结构重构、供给能力提升、多主体协同治理与制度文化生成等方面形成合力。</w:t>
      </w:r>
      <w:bookmarkStart w:id="324" w:name="fnref6_11"/>
      <w:bookmarkEnd w:id="32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325" w:name="fnref10_31"/>
      <w:bookmarkEnd w:id="32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326" w:name="fnref2_38"/>
      <w:bookmarkEnd w:id="32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A7B53B3">
      <w:pPr>
        <w:spacing w:after="210" w:line="360" w:lineRule="auto"/>
      </w:pPr>
      <w:r>
        <w:rPr>
          <w:rFonts w:ascii="inter" w:hAnsi="inter" w:eastAsia="inter" w:cs="inter"/>
          <w:color w:val="000000"/>
        </w:rPr>
        <w:t>为提升政策实施的战略效能，建议高层决策部门在下一阶段重点考量如下政策优先序：</w:t>
      </w:r>
    </w:p>
    <w:p w14:paraId="07012138">
      <w:pPr>
        <w:numPr>
          <w:ilvl w:val="0"/>
          <w:numId w:val="16"/>
        </w:numPr>
        <w:spacing w:after="210" w:line="360" w:lineRule="auto"/>
      </w:pPr>
      <w:r>
        <w:rPr>
          <w:rFonts w:ascii="inter" w:hAnsi="inter" w:eastAsia="inter" w:cs="inter"/>
          <w:b/>
          <w:color w:val="000000"/>
          <w:sz w:val="21"/>
        </w:rPr>
        <w:t>优先巩固“时间刚性+过程可视化”的底线机制</w:t>
      </w:r>
      <w:r>
        <w:rPr>
          <w:rFonts w:ascii="inter" w:hAnsi="inter" w:eastAsia="inter" w:cs="inter"/>
          <w:color w:val="000000"/>
          <w:sz w:val="21"/>
        </w:rPr>
        <w:br w:type="textWrapping"/>
      </w:r>
      <w:r>
        <w:rPr>
          <w:rFonts w:ascii="inter" w:hAnsi="inter" w:eastAsia="inter" w:cs="inter"/>
          <w:color w:val="000000"/>
          <w:sz w:val="21"/>
        </w:rPr>
        <w:t>在近期内，通过课表刚性管控、数字化打卡与专项督导，确保各地学校“把时间真正还给体育”，为后续质量提升创造必要前提。</w:t>
      </w:r>
      <w:bookmarkStart w:id="327" w:name="fnref1_5"/>
      <w:bookmarkEnd w:id="32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328" w:name="fnref37_27"/>
      <w:bookmarkEnd w:id="32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329" w:name="fnref17_11"/>
      <w:bookmarkEnd w:id="32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62499DD9">
      <w:pPr>
        <w:numPr>
          <w:ilvl w:val="0"/>
          <w:numId w:val="16"/>
        </w:numPr>
        <w:spacing w:after="210" w:line="360" w:lineRule="auto"/>
      </w:pPr>
      <w:r>
        <w:rPr>
          <w:rFonts w:ascii="inter" w:hAnsi="inter" w:eastAsia="inter" w:cs="inter"/>
          <w:b/>
          <w:color w:val="000000"/>
          <w:sz w:val="21"/>
        </w:rPr>
        <w:t>同步推进体育教师队伍建设与场地设施补短板</w:t>
      </w:r>
      <w:r>
        <w:rPr>
          <w:rFonts w:ascii="inter" w:hAnsi="inter" w:eastAsia="inter" w:cs="inter"/>
          <w:color w:val="000000"/>
          <w:sz w:val="21"/>
        </w:rPr>
        <w:br w:type="textWrapping"/>
      </w:r>
      <w:r>
        <w:rPr>
          <w:rFonts w:ascii="inter" w:hAnsi="inter" w:eastAsia="inter" w:cs="inter"/>
          <w:color w:val="000000"/>
          <w:sz w:val="21"/>
        </w:rPr>
        <w:t>将体育教师补短板计划与教育现代化工程统筹设计，以编制、待遇和职业发展为核心，逐步消除结构性供给瓶颈，并通过校园与社区场地联动为2小时目标提供“物质基础”。</w:t>
      </w:r>
      <w:bookmarkStart w:id="330" w:name="fnref44_12"/>
      <w:bookmarkEnd w:id="330"/>
      <w:r>
        <w:fldChar w:fldCharType="begin"/>
      </w:r>
      <w:r>
        <w:instrText xml:space="preserve"> HYPERLINK \l "fn44" \h </w:instrText>
      </w:r>
      <w:r>
        <w:fldChar w:fldCharType="separate"/>
      </w:r>
      <w:r>
        <w:rPr>
          <w:rFonts w:ascii="inter" w:hAnsi="inter" w:eastAsia="inter" w:cs="inter"/>
          <w:color w:val="000000"/>
          <w:sz w:val="21"/>
          <w:u w:val="single"/>
          <w:vertAlign w:val="superscript"/>
        </w:rPr>
        <w:t>[44]</w:t>
      </w:r>
      <w:r>
        <w:rPr>
          <w:rFonts w:ascii="inter" w:hAnsi="inter" w:eastAsia="inter" w:cs="inter"/>
          <w:color w:val="000000"/>
          <w:sz w:val="21"/>
          <w:u w:val="single"/>
          <w:vertAlign w:val="superscript"/>
        </w:rPr>
        <w:fldChar w:fldCharType="end"/>
      </w:r>
      <w:bookmarkStart w:id="331" w:name="fnref50_10"/>
      <w:bookmarkEnd w:id="331"/>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332" w:name="fnref6_12"/>
      <w:bookmarkEnd w:id="33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6F85295B">
      <w:pPr>
        <w:numPr>
          <w:ilvl w:val="0"/>
          <w:numId w:val="16"/>
        </w:numPr>
        <w:spacing w:after="210" w:line="360" w:lineRule="auto"/>
      </w:pPr>
      <w:r>
        <w:rPr>
          <w:rFonts w:ascii="inter" w:hAnsi="inter" w:eastAsia="inter" w:cs="inter"/>
          <w:b/>
          <w:color w:val="000000"/>
          <w:sz w:val="21"/>
        </w:rPr>
        <w:t>将体质健康结果与教育评价改革深度绑定</w:t>
      </w:r>
      <w:r>
        <w:rPr>
          <w:rFonts w:ascii="inter" w:hAnsi="inter" w:eastAsia="inter" w:cs="inter"/>
          <w:color w:val="000000"/>
          <w:sz w:val="21"/>
        </w:rPr>
        <w:br w:type="textWrapping"/>
      </w:r>
      <w:r>
        <w:rPr>
          <w:rFonts w:ascii="inter" w:hAnsi="inter" w:eastAsia="inter" w:cs="inter"/>
          <w:color w:val="000000"/>
          <w:sz w:val="21"/>
        </w:rPr>
        <w:t>在中长期内，通过在中高考、学校督导和教师考核中稳步提升体育权重，并纳入国家教育监测体系，使“健康第一”从价值口号转化为制度事实。</w:t>
      </w:r>
      <w:bookmarkStart w:id="333" w:name="fnref56"/>
      <w:bookmarkEnd w:id="333"/>
      <w:r>
        <w:fldChar w:fldCharType="begin"/>
      </w:r>
      <w:r>
        <w:instrText xml:space="preserve"> HYPERLINK \l "fn56" \h </w:instrText>
      </w:r>
      <w:r>
        <w:fldChar w:fldCharType="separate"/>
      </w:r>
      <w:r>
        <w:rPr>
          <w:rFonts w:ascii="inter" w:hAnsi="inter" w:eastAsia="inter" w:cs="inter"/>
          <w:color w:val="000000"/>
          <w:sz w:val="21"/>
          <w:u w:val="single"/>
          <w:vertAlign w:val="superscript"/>
        </w:rPr>
        <w:t>[56]</w:t>
      </w:r>
      <w:r>
        <w:rPr>
          <w:rFonts w:ascii="inter" w:hAnsi="inter" w:eastAsia="inter" w:cs="inter"/>
          <w:color w:val="000000"/>
          <w:sz w:val="21"/>
          <w:u w:val="single"/>
          <w:vertAlign w:val="superscript"/>
        </w:rPr>
        <w:fldChar w:fldCharType="end"/>
      </w:r>
      <w:bookmarkStart w:id="334" w:name="fnref42_6"/>
      <w:bookmarkEnd w:id="334"/>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335" w:name="fnref2_39"/>
      <w:bookmarkEnd w:id="335"/>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0CD251C">
      <w:pPr>
        <w:numPr>
          <w:ilvl w:val="0"/>
          <w:numId w:val="16"/>
        </w:numPr>
        <w:spacing w:after="210" w:line="360" w:lineRule="auto"/>
      </w:pPr>
      <w:r>
        <w:rPr>
          <w:rFonts w:ascii="inter" w:hAnsi="inter" w:eastAsia="inter" w:cs="inter"/>
          <w:b/>
          <w:color w:val="000000"/>
          <w:sz w:val="21"/>
        </w:rPr>
        <w:t>以数字化为抓手构建可持续治理能力</w:t>
      </w:r>
      <w:r>
        <w:rPr>
          <w:rFonts w:ascii="inter" w:hAnsi="inter" w:eastAsia="inter" w:cs="inter"/>
          <w:color w:val="000000"/>
          <w:sz w:val="21"/>
        </w:rPr>
        <w:br w:type="textWrapping"/>
      </w:r>
      <w:r>
        <w:rPr>
          <w:rFonts w:ascii="inter" w:hAnsi="inter" w:eastAsia="inter" w:cs="inter"/>
          <w:color w:val="000000"/>
          <w:sz w:val="21"/>
        </w:rPr>
        <w:t>建设国家学生体质健康与体育活动大数据平台，探索基于证据的政策工具组合与区域差异化路径，防止政策执行衰减，并以此支撑教育治理现代化。</w:t>
      </w:r>
      <w:bookmarkStart w:id="336" w:name="fnref38_5"/>
      <w:bookmarkEnd w:id="336"/>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337" w:name="fnref43_13"/>
      <w:bookmarkEnd w:id="337"/>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bookmarkStart w:id="338" w:name="fnref37_28"/>
      <w:bookmarkEnd w:id="33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94FD5AF">
      <w:pPr>
        <w:numPr>
          <w:ilvl w:val="0"/>
          <w:numId w:val="16"/>
        </w:numPr>
        <w:spacing w:after="210" w:line="360" w:lineRule="auto"/>
      </w:pPr>
      <w:r>
        <w:rPr>
          <w:rFonts w:ascii="inter" w:hAnsi="inter" w:eastAsia="inter" w:cs="inter"/>
          <w:b/>
          <w:color w:val="000000"/>
          <w:sz w:val="21"/>
        </w:rPr>
        <w:t>从“完成任务”走向“文化塑形”</w:t>
      </w:r>
      <w:r>
        <w:rPr>
          <w:rFonts w:ascii="inter" w:hAnsi="inter" w:eastAsia="inter" w:cs="inter"/>
          <w:color w:val="000000"/>
          <w:sz w:val="21"/>
        </w:rPr>
        <w:br w:type="textWrapping"/>
      </w:r>
      <w:r>
        <w:rPr>
          <w:rFonts w:ascii="inter" w:hAnsi="inter" w:eastAsia="inter" w:cs="inter"/>
          <w:color w:val="000000"/>
          <w:sz w:val="21"/>
        </w:rPr>
        <w:t>鼓励学校在完成“2小时”硬性指标的基础上，打造以体育为核心的校园文化，使体育活动成为学生日常生活方式和价值认同的组成部分，实现体质健康资本与人格发展、社会情感能力的同向共振。</w:t>
      </w:r>
      <w:bookmarkStart w:id="339" w:name="fnref10_32"/>
      <w:bookmarkEnd w:id="33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340" w:name="fnref39_12"/>
      <w:bookmarkEnd w:id="340"/>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341" w:name="fnref2_40"/>
      <w:bookmarkEnd w:id="34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3D2E6160">
      <w:pPr>
        <w:spacing w:after="210" w:line="360" w:lineRule="auto"/>
      </w:pPr>
      <w:r>
        <w:rPr>
          <w:rFonts w:ascii="inter" w:hAnsi="inter" w:eastAsia="inter" w:cs="inter"/>
          <w:color w:val="000000"/>
        </w:rPr>
        <w:t>在理想条件下，只要上述政策组合能够在“时间—供给—治理—文化”四个层面形成系统性合力，“学生体质强健计划”不仅有望在2027年前后实现高质量达标，更将成为支撑“健康中国2030”“教育强国建设”“人口高质量发展”和“韧性社会建设”的关键基础工程，为中国式现代化提供坚实的人力与健康支撑。</w:t>
      </w:r>
      <w:bookmarkStart w:id="342" w:name="fnref4_3"/>
      <w:bookmarkEnd w:id="34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343" w:name="fnref7_17"/>
      <w:bookmarkEnd w:id="34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344" w:name="fnref2_41"/>
      <w:bookmarkEnd w:id="34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45" w:name="fnref6_13"/>
      <w:bookmarkEnd w:id="34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F01AD25">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367262EB">
      <w:pPr>
        <w:spacing w:after="210" w:line="360" w:lineRule="auto"/>
      </w:pPr>
      <w:r>
        <w:rPr>
          <w:rFonts w:ascii="inter" w:hAnsi="inter" w:eastAsia="inter" w:cs="inter"/>
          <w:b/>
          <w:color w:val="000000"/>
        </w:rPr>
        <w:t>关于文档格式说明：</w:t>
      </w:r>
      <w:r>
        <w:rPr>
          <w:rFonts w:ascii="inter" w:hAnsi="inter" w:eastAsia="inter" w:cs="inter"/>
          <w:color w:val="000000"/>
        </w:rPr>
        <w:br w:type="textWrapping"/>
      </w:r>
      <w:r>
        <w:rPr>
          <w:rFonts w:ascii="inter" w:hAnsi="inter" w:eastAsia="inter" w:cs="inter"/>
          <w:color w:val="000000"/>
        </w:rPr>
        <w:t>本报告已按照国际通行政策研究报告结构与三级标题体系进行撰写，可直接复制至文字处理软件（如Microsoft Word）并另存为.docx格式，以满足正式报送和印发需求。</w:t>
      </w:r>
      <w:r>
        <w:rPr>
          <w:rFonts w:ascii="inter" w:hAnsi="inter" w:eastAsia="inter" w:cs="inter"/>
          <w:color w:val="000000"/>
        </w:rPr>
        <w:br w:type="textWrapping"/>
      </w:r>
    </w:p>
    <w:p w14:paraId="6078CDDD">
      <w:pPr>
        <w:spacing w:line="360" w:lineRule="auto"/>
      </w:pPr>
      <w:r>
        <w:rPr>
          <w:rFonts w:ascii="inter" w:hAnsi="inter" w:eastAsia="inter" w:cs="inter"/>
          <w:color w:val="000000"/>
        </w:rPr>
        <w:t>⁂</w:t>
      </w:r>
    </w:p>
    <w:p w14:paraId="239BDF42">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43AF7813">
      <w:pPr>
        <w:numPr>
          <w:ilvl w:val="0"/>
          <w:numId w:val="17"/>
        </w:numPr>
        <w:spacing w:after="210" w:line="360" w:lineRule="auto"/>
      </w:pPr>
      <w:bookmarkStart w:id="346" w:name="fn1"/>
      <w:bookmarkEnd w:id="346"/>
      <w:r>
        <w:fldChar w:fldCharType="begin"/>
      </w:r>
      <w:r>
        <w:instrText xml:space="preserve"> HYPERLINK "http://www.moe.gov.cn/srcsite/A17/moe_938/s3273/202511/t20251119_1420840.html" \h </w:instrText>
      </w:r>
      <w:r>
        <w:fldChar w:fldCharType="separate"/>
      </w:r>
      <w:r>
        <w:rPr>
          <w:rFonts w:ascii="inter" w:hAnsi="inter" w:eastAsia="inter" w:cs="inter"/>
          <w:color w:val="000000"/>
          <w:sz w:val="18"/>
          <w:u w:val="single"/>
        </w:rPr>
        <w:t>http://www.moe.gov.cn/srcsite/A17/moe_938/s3273/202511/t20251119_1420840.html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06A921">
      <w:pPr>
        <w:numPr>
          <w:ilvl w:val="0"/>
          <w:numId w:val="17"/>
        </w:numPr>
        <w:spacing w:after="210" w:line="360" w:lineRule="auto"/>
      </w:pPr>
      <w:bookmarkStart w:id="347" w:name="fn2"/>
      <w:bookmarkEnd w:id="347"/>
      <w:r>
        <w:fldChar w:fldCharType="begin"/>
      </w:r>
      <w:r>
        <w:instrText xml:space="preserve"> HYPERLINK "https://statics.scnu.edu.cn/pics/tyxk/2025/0529/1748492187562225.pdf" \h </w:instrText>
      </w:r>
      <w:r>
        <w:fldChar w:fldCharType="separate"/>
      </w:r>
      <w:r>
        <w:rPr>
          <w:rFonts w:ascii="inter" w:hAnsi="inter" w:eastAsia="inter" w:cs="inter"/>
          <w:color w:val="000000"/>
          <w:sz w:val="18"/>
          <w:u w:val="single"/>
        </w:rPr>
        <w:t>https://statics.scnu.edu.cn/pics/tyxk/2025/0529/1748492187562225.pdf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AC0723">
      <w:pPr>
        <w:numPr>
          <w:ilvl w:val="0"/>
          <w:numId w:val="17"/>
        </w:numPr>
        <w:spacing w:after="210" w:line="360" w:lineRule="auto"/>
      </w:pPr>
      <w:bookmarkStart w:id="348" w:name="fn3"/>
      <w:bookmarkEnd w:id="348"/>
      <w:r>
        <w:fldChar w:fldCharType="begin"/>
      </w:r>
      <w:r>
        <w:instrText xml:space="preserve"> HYPERLINK "https://www.chinazy.org/info/1014/20762.htm" \h </w:instrText>
      </w:r>
      <w:r>
        <w:fldChar w:fldCharType="separate"/>
      </w:r>
      <w:r>
        <w:rPr>
          <w:rFonts w:ascii="inter" w:hAnsi="inter" w:eastAsia="inter" w:cs="inter"/>
          <w:color w:val="000000"/>
          <w:sz w:val="18"/>
          <w:u w:val="single"/>
        </w:rPr>
        <w:t>https://www.chinazy.org/info/1014/20762.htm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5CB57A">
      <w:pPr>
        <w:numPr>
          <w:ilvl w:val="0"/>
          <w:numId w:val="17"/>
        </w:numPr>
        <w:spacing w:after="210" w:line="360" w:lineRule="auto"/>
      </w:pPr>
      <w:bookmarkStart w:id="349" w:name="fn4"/>
      <w:bookmarkEnd w:id="349"/>
      <w:r>
        <w:fldChar w:fldCharType="begin"/>
      </w:r>
      <w:r>
        <w:instrText xml:space="preserve"> HYPERLINK "http://www.jyb.cn/rmtzgjyb/202601/t20260116_2111438057.html" \h </w:instrText>
      </w:r>
      <w:r>
        <w:fldChar w:fldCharType="separate"/>
      </w:r>
      <w:r>
        <w:rPr>
          <w:rFonts w:ascii="inter" w:hAnsi="inter" w:eastAsia="inter" w:cs="inter"/>
          <w:color w:val="000000"/>
          <w:sz w:val="18"/>
          <w:u w:val="single"/>
        </w:rPr>
        <w:t>http://www.jyb.cn/rmtzgjyb/202601/t20260116_2111438057.html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715F79">
      <w:pPr>
        <w:numPr>
          <w:ilvl w:val="0"/>
          <w:numId w:val="17"/>
        </w:numPr>
        <w:spacing w:after="210" w:line="360" w:lineRule="auto"/>
      </w:pPr>
      <w:bookmarkStart w:id="350" w:name="fn5"/>
      <w:bookmarkEnd w:id="350"/>
      <w:r>
        <w:fldChar w:fldCharType="begin"/>
      </w:r>
      <w:r>
        <w:instrText xml:space="preserve"> HYPERLINK "https://www.huade.gov.cn/ywjy1/1909101.html" \h </w:instrText>
      </w:r>
      <w:r>
        <w:fldChar w:fldCharType="separate"/>
      </w:r>
      <w:r>
        <w:rPr>
          <w:rFonts w:ascii="inter" w:hAnsi="inter" w:eastAsia="inter" w:cs="inter"/>
          <w:color w:val="000000"/>
          <w:sz w:val="18"/>
          <w:u w:val="single"/>
        </w:rPr>
        <w:t>https://www.huade.gov.cn/ywjy1/1909101.html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C87319">
      <w:pPr>
        <w:numPr>
          <w:ilvl w:val="0"/>
          <w:numId w:val="17"/>
        </w:numPr>
        <w:spacing w:after="210" w:line="360" w:lineRule="auto"/>
      </w:pPr>
      <w:bookmarkStart w:id="351" w:name="fn6"/>
      <w:bookmarkEnd w:id="351"/>
      <w:r>
        <w:fldChar w:fldCharType="begin"/>
      </w:r>
      <w:r>
        <w:instrText xml:space="preserve"> HYPERLINK "https://extranet.who.int/fctcapps/sites/default/files/2023-04/china_2018_annex-8_healthy_china_2030_strategy_2015.pdf" \h </w:instrText>
      </w:r>
      <w:r>
        <w:fldChar w:fldCharType="separate"/>
      </w:r>
      <w:r>
        <w:rPr>
          <w:rFonts w:ascii="inter" w:hAnsi="inter" w:eastAsia="inter" w:cs="inter"/>
          <w:color w:val="000000"/>
          <w:sz w:val="18"/>
          <w:u w:val="single"/>
        </w:rPr>
        <w:t>https://extranet.who.int/fctcapps/sites/default/files/2023-04/china_2018_annex-8_healthy_china_2030_strategy_2015.pdf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632885">
      <w:pPr>
        <w:numPr>
          <w:ilvl w:val="0"/>
          <w:numId w:val="17"/>
        </w:numPr>
        <w:spacing w:after="210" w:line="360" w:lineRule="auto"/>
      </w:pPr>
      <w:bookmarkStart w:id="352" w:name="fn7"/>
      <w:bookmarkEnd w:id="352"/>
      <w:r>
        <w:fldChar w:fldCharType="begin"/>
      </w:r>
      <w:r>
        <w:instrText xml:space="preserve"> HYPERLINK "https://www.ndcpa.gov.cn/jbkzzx/c100014/common/content/content_2008338699206955008.html" \h </w:instrText>
      </w:r>
      <w:r>
        <w:fldChar w:fldCharType="separate"/>
      </w:r>
      <w:r>
        <w:rPr>
          <w:rFonts w:ascii="inter" w:hAnsi="inter" w:eastAsia="inter" w:cs="inter"/>
          <w:color w:val="000000"/>
          <w:sz w:val="18"/>
          <w:u w:val="single"/>
        </w:rPr>
        <w:t>https://www.ndcpa.gov.cn/jbkzzx/c100014/common/content/content_2008338699206955008.html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2FC11C">
      <w:pPr>
        <w:numPr>
          <w:ilvl w:val="0"/>
          <w:numId w:val="17"/>
        </w:numPr>
        <w:spacing w:after="210" w:line="360" w:lineRule="auto"/>
      </w:pPr>
      <w:bookmarkStart w:id="353" w:name="fn8"/>
      <w:bookmarkEnd w:id="353"/>
      <w:r>
        <w:fldChar w:fldCharType="begin"/>
      </w:r>
      <w:r>
        <w:instrText xml:space="preserve"> HYPERLINK "https://www.nccor.org/wp-content/uploads/2016/09/YouthCompendium_Chinese.pdf" \h </w:instrText>
      </w:r>
      <w:r>
        <w:fldChar w:fldCharType="separate"/>
      </w:r>
      <w:r>
        <w:rPr>
          <w:rFonts w:ascii="inter" w:hAnsi="inter" w:eastAsia="inter" w:cs="inter"/>
          <w:color w:val="000000"/>
          <w:sz w:val="18"/>
          <w:u w:val="single"/>
        </w:rPr>
        <w:t>https://www.nccor.org/wp-content/uploads/2016/09/YouthCompendium_Chinese.pdf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A35430">
      <w:pPr>
        <w:numPr>
          <w:ilvl w:val="0"/>
          <w:numId w:val="17"/>
        </w:numPr>
        <w:spacing w:after="210" w:line="360" w:lineRule="auto"/>
      </w:pPr>
      <w:bookmarkStart w:id="354" w:name="fn9"/>
      <w:bookmarkEnd w:id="354"/>
      <w:r>
        <w:fldChar w:fldCharType="begin"/>
      </w:r>
      <w:r>
        <w:instrText xml:space="preserve"> HYPERLINK "https://www.nhc.gov.cn/guihuaxxs/c100133/201907/2a6ed52f1c264203b5351bdbbadd2da8.shtml" \h </w:instrText>
      </w:r>
      <w:r>
        <w:fldChar w:fldCharType="separate"/>
      </w:r>
      <w:r>
        <w:rPr>
          <w:rFonts w:ascii="inter" w:hAnsi="inter" w:eastAsia="inter" w:cs="inter"/>
          <w:color w:val="000000"/>
          <w:sz w:val="18"/>
          <w:u w:val="single"/>
        </w:rPr>
        <w:t>https://www.nhc.gov.cn/guihuaxxs/c100133/201907/2a6ed52f1c264203b5351bdbbadd2da8.shtml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2041F8">
      <w:pPr>
        <w:numPr>
          <w:ilvl w:val="0"/>
          <w:numId w:val="17"/>
        </w:numPr>
        <w:spacing w:after="210" w:line="360" w:lineRule="auto"/>
      </w:pPr>
      <w:bookmarkStart w:id="355" w:name="fn10"/>
      <w:bookmarkEnd w:id="355"/>
      <w:r>
        <w:fldChar w:fldCharType="begin"/>
      </w:r>
      <w:r>
        <w:instrText xml:space="preserve"> HYPERLINK "http://tykx.xml-journal.net/cn/article/pdf/preview/10.16469/j.css.201802009.pdf" \h </w:instrText>
      </w:r>
      <w:r>
        <w:fldChar w:fldCharType="separate"/>
      </w:r>
      <w:r>
        <w:rPr>
          <w:rFonts w:ascii="inter" w:hAnsi="inter" w:eastAsia="inter" w:cs="inter"/>
          <w:color w:val="000000"/>
          <w:sz w:val="18"/>
          <w:u w:val="single"/>
        </w:rPr>
        <w:t>http://tykx.xml-journal.net/cn/article/pdf/preview/10.16469/j.css.201802009.pdf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E5FB70">
      <w:pPr>
        <w:numPr>
          <w:ilvl w:val="0"/>
          <w:numId w:val="17"/>
        </w:numPr>
        <w:spacing w:after="210" w:line="360" w:lineRule="auto"/>
      </w:pPr>
      <w:bookmarkStart w:id="356" w:name="fn11"/>
      <w:bookmarkEnd w:id="356"/>
      <w:r>
        <w:fldChar w:fldCharType="begin"/>
      </w:r>
      <w:r>
        <w:instrText xml:space="preserve"> HYPERLINK "https://www.chinanews.com/gn/2021/06-01/9489691.shtml" \h </w:instrText>
      </w:r>
      <w:r>
        <w:fldChar w:fldCharType="separate"/>
      </w:r>
      <w:r>
        <w:rPr>
          <w:rFonts w:ascii="inter" w:hAnsi="inter" w:eastAsia="inter" w:cs="inter"/>
          <w:color w:val="000000"/>
          <w:sz w:val="18"/>
          <w:u w:val="single"/>
        </w:rPr>
        <w:t>https://www.chinanews.com/gn/2021/06-01/9489691.shtml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310BAA">
      <w:pPr>
        <w:numPr>
          <w:ilvl w:val="0"/>
          <w:numId w:val="17"/>
        </w:numPr>
        <w:spacing w:after="210" w:line="360" w:lineRule="auto"/>
      </w:pPr>
      <w:bookmarkStart w:id="357" w:name="fn12"/>
      <w:bookmarkEnd w:id="357"/>
      <w:r>
        <w:fldChar w:fldCharType="begin"/>
      </w:r>
      <w:r>
        <w:instrText xml:space="preserve"> HYPERLINK "https://news.cctv.com/2025/08/08/ARTI5ZjVhTT77mSXOOdUCGAX250808.shtml" \h </w:instrText>
      </w:r>
      <w:r>
        <w:fldChar w:fldCharType="separate"/>
      </w:r>
      <w:r>
        <w:rPr>
          <w:rFonts w:ascii="inter" w:hAnsi="inter" w:eastAsia="inter" w:cs="inter"/>
          <w:color w:val="000000"/>
          <w:sz w:val="18"/>
          <w:u w:val="single"/>
        </w:rPr>
        <w:t>https://news.cctv.com/2025/08/08/ARTI5ZjVhTT77mSXOOdUCGAX250808.shtml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4141F7">
      <w:pPr>
        <w:numPr>
          <w:ilvl w:val="0"/>
          <w:numId w:val="17"/>
        </w:numPr>
        <w:spacing w:after="210" w:line="360" w:lineRule="auto"/>
      </w:pPr>
      <w:bookmarkStart w:id="358" w:name="fn13"/>
      <w:bookmarkEnd w:id="358"/>
      <w:r>
        <w:fldChar w:fldCharType="begin"/>
      </w:r>
      <w:r>
        <w:instrText xml:space="preserve"> HYPERLINK "https://www.chinacdc.cn/jkyj/yyyjk2/jswj13949/202006/t20200622_296953.html" \h </w:instrText>
      </w:r>
      <w:r>
        <w:fldChar w:fldCharType="separate"/>
      </w:r>
      <w:r>
        <w:rPr>
          <w:rFonts w:ascii="inter" w:hAnsi="inter" w:eastAsia="inter" w:cs="inter"/>
          <w:color w:val="000000"/>
          <w:sz w:val="18"/>
          <w:u w:val="single"/>
        </w:rPr>
        <w:t>https://www.chinacdc.cn/jkyj/yyyjk2/jswj13949/202006/t20200622_296953.html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FB04CA">
      <w:pPr>
        <w:numPr>
          <w:ilvl w:val="0"/>
          <w:numId w:val="17"/>
        </w:numPr>
        <w:spacing w:after="210" w:line="360" w:lineRule="auto"/>
      </w:pPr>
      <w:bookmarkStart w:id="359" w:name="fn14"/>
      <w:bookmarkEnd w:id="359"/>
      <w:r>
        <w:fldChar w:fldCharType="begin"/>
      </w:r>
      <w:r>
        <w:instrText xml:space="preserve"> HYPERLINK "https://jwc.cugb.edu.cn/c/2024-04-08/800810.shtml" \h </w:instrText>
      </w:r>
      <w:r>
        <w:fldChar w:fldCharType="separate"/>
      </w:r>
      <w:r>
        <w:rPr>
          <w:rFonts w:ascii="inter" w:hAnsi="inter" w:eastAsia="inter" w:cs="inter"/>
          <w:color w:val="000000"/>
          <w:sz w:val="18"/>
          <w:u w:val="single"/>
        </w:rPr>
        <w:t>https://jwc.cugb.edu.cn/c/2024-04-08/800810.shtml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C800D5">
      <w:pPr>
        <w:numPr>
          <w:ilvl w:val="0"/>
          <w:numId w:val="17"/>
        </w:numPr>
        <w:spacing w:after="210" w:line="360" w:lineRule="auto"/>
      </w:pPr>
      <w:bookmarkStart w:id="360" w:name="fn15"/>
      <w:bookmarkEnd w:id="360"/>
      <w:r>
        <w:fldChar w:fldCharType="begin"/>
      </w:r>
      <w:r>
        <w:instrText xml:space="preserve"> HYPERLINK "http://paper.people.com.cn/rmrbhwb/html/2021-06/01/content_3051360.htm" \h </w:instrText>
      </w:r>
      <w:r>
        <w:fldChar w:fldCharType="separate"/>
      </w:r>
      <w:r>
        <w:rPr>
          <w:rFonts w:ascii="inter" w:hAnsi="inter" w:eastAsia="inter" w:cs="inter"/>
          <w:color w:val="000000"/>
          <w:sz w:val="18"/>
          <w:u w:val="single"/>
        </w:rPr>
        <w:t>http://paper.people.com.cn/rmrbhwb/html/2021-06/01/content_3051360.htm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63F8EC">
      <w:pPr>
        <w:numPr>
          <w:ilvl w:val="0"/>
          <w:numId w:val="17"/>
        </w:numPr>
        <w:spacing w:after="210" w:line="360" w:lineRule="auto"/>
      </w:pPr>
      <w:bookmarkStart w:id="361" w:name="fn16"/>
      <w:bookmarkEnd w:id="361"/>
      <w:r>
        <w:fldChar w:fldCharType="begin"/>
      </w:r>
      <w:r>
        <w:instrText xml:space="preserve"> HYPERLINK "http://shtyxyxb.xml-journal.net/cn/article/pdf/preview/10.16099/j.sus.2024.08.01.0002.pdf" \h </w:instrText>
      </w:r>
      <w:r>
        <w:fldChar w:fldCharType="separate"/>
      </w:r>
      <w:r>
        <w:rPr>
          <w:rFonts w:ascii="inter" w:hAnsi="inter" w:eastAsia="inter" w:cs="inter"/>
          <w:color w:val="000000"/>
          <w:sz w:val="18"/>
          <w:u w:val="single"/>
        </w:rPr>
        <w:t>http://shtyxyxb.xml-journal.net/cn/article/pdf/preview/10.16099/j.sus.2024.08.01.0002.pdf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BB9278">
      <w:pPr>
        <w:numPr>
          <w:ilvl w:val="0"/>
          <w:numId w:val="17"/>
        </w:numPr>
        <w:spacing w:after="210" w:line="360" w:lineRule="auto"/>
      </w:pPr>
      <w:bookmarkStart w:id="362" w:name="fn17"/>
      <w:bookmarkEnd w:id="362"/>
      <w:r>
        <w:fldChar w:fldCharType="begin"/>
      </w:r>
      <w:r>
        <w:instrText xml:space="preserve"> HYPERLINK "https://edu.gmw.cn/2025-03/11/content_37898063.htm" \h </w:instrText>
      </w:r>
      <w:r>
        <w:fldChar w:fldCharType="separate"/>
      </w:r>
      <w:r>
        <w:rPr>
          <w:rFonts w:ascii="inter" w:hAnsi="inter" w:eastAsia="inter" w:cs="inter"/>
          <w:color w:val="000000"/>
          <w:sz w:val="18"/>
          <w:u w:val="single"/>
        </w:rPr>
        <w:t>https://edu.gmw.cn/2025-03/11/content_37898063.htm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86E028">
      <w:pPr>
        <w:numPr>
          <w:ilvl w:val="0"/>
          <w:numId w:val="17"/>
        </w:numPr>
        <w:spacing w:after="210" w:line="360" w:lineRule="auto"/>
      </w:pPr>
      <w:bookmarkStart w:id="363" w:name="fn18"/>
      <w:bookmarkEnd w:id="363"/>
      <w:r>
        <w:fldChar w:fldCharType="begin"/>
      </w:r>
      <w:r>
        <w:instrText xml:space="preserve"> HYPERLINK "https://statics.scnu.edu.cn/pics/tyxk/2025/0325/1742892388387237.pdf" \h </w:instrText>
      </w:r>
      <w:r>
        <w:fldChar w:fldCharType="separate"/>
      </w:r>
      <w:r>
        <w:rPr>
          <w:rFonts w:ascii="inter" w:hAnsi="inter" w:eastAsia="inter" w:cs="inter"/>
          <w:color w:val="000000"/>
          <w:sz w:val="18"/>
          <w:u w:val="single"/>
        </w:rPr>
        <w:t>https://statics.scnu.edu.cn/pics/tyxk/2025/0325/1742892388387237.pdf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7D6FE6">
      <w:pPr>
        <w:numPr>
          <w:ilvl w:val="0"/>
          <w:numId w:val="17"/>
        </w:numPr>
        <w:spacing w:after="210" w:line="360" w:lineRule="auto"/>
      </w:pPr>
      <w:bookmarkStart w:id="364" w:name="fn19"/>
      <w:bookmarkEnd w:id="364"/>
      <w:r>
        <w:fldChar w:fldCharType="begin"/>
      </w:r>
      <w:r>
        <w:instrText xml:space="preserve"> HYPERLINK "https://www.thepaper.cn/newsDetail_forward_2014612" \h </w:instrText>
      </w:r>
      <w:r>
        <w:fldChar w:fldCharType="separate"/>
      </w:r>
      <w:r>
        <w:rPr>
          <w:rFonts w:ascii="inter" w:hAnsi="inter" w:eastAsia="inter" w:cs="inter"/>
          <w:color w:val="000000"/>
          <w:sz w:val="18"/>
          <w:u w:val="single"/>
        </w:rPr>
        <w:t>https://www.thepaper.cn/newsDetail_forward_2014612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37AB24">
      <w:pPr>
        <w:numPr>
          <w:ilvl w:val="0"/>
          <w:numId w:val="17"/>
        </w:numPr>
        <w:spacing w:after="210" w:line="360" w:lineRule="auto"/>
      </w:pPr>
      <w:bookmarkStart w:id="365" w:name="fn20"/>
      <w:bookmarkEnd w:id="365"/>
      <w:r>
        <w:fldChar w:fldCharType="begin"/>
      </w:r>
      <w:r>
        <w:instrText xml:space="preserve"> HYPERLINK "https://www.chinanews.com.cn/m/sh/2018/03-02/8457880.shtml" \h </w:instrText>
      </w:r>
      <w:r>
        <w:fldChar w:fldCharType="separate"/>
      </w:r>
      <w:r>
        <w:rPr>
          <w:rFonts w:ascii="inter" w:hAnsi="inter" w:eastAsia="inter" w:cs="inter"/>
          <w:color w:val="000000"/>
          <w:sz w:val="18"/>
          <w:u w:val="single"/>
        </w:rPr>
        <w:t>https://www.chinanews.com.cn/m/sh/2018/03-02/8457880.shtml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66ED88">
      <w:pPr>
        <w:numPr>
          <w:ilvl w:val="0"/>
          <w:numId w:val="17"/>
        </w:numPr>
        <w:spacing w:after="210" w:line="360" w:lineRule="auto"/>
      </w:pPr>
      <w:bookmarkStart w:id="366" w:name="fn21"/>
      <w:bookmarkEnd w:id="366"/>
      <w:r>
        <w:fldChar w:fldCharType="begin"/>
      </w:r>
      <w:r>
        <w:instrText xml:space="preserve"> HYPERLINK "https://jyj.gmw.cn/2018-03/28/content_28132271.htm" \h </w:instrText>
      </w:r>
      <w:r>
        <w:fldChar w:fldCharType="separate"/>
      </w:r>
      <w:r>
        <w:rPr>
          <w:rFonts w:ascii="inter" w:hAnsi="inter" w:eastAsia="inter" w:cs="inter"/>
          <w:color w:val="000000"/>
          <w:sz w:val="18"/>
          <w:u w:val="single"/>
        </w:rPr>
        <w:t>https://jyj.gmw.cn/2018-03/28/content_28132271.htm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E0EEBF">
      <w:pPr>
        <w:numPr>
          <w:ilvl w:val="0"/>
          <w:numId w:val="17"/>
        </w:numPr>
        <w:spacing w:after="210" w:line="360" w:lineRule="auto"/>
      </w:pPr>
      <w:bookmarkStart w:id="367" w:name="fn22"/>
      <w:bookmarkEnd w:id="367"/>
      <w:r>
        <w:fldChar w:fldCharType="begin"/>
      </w:r>
      <w:r>
        <w:instrText xml:space="preserve"> HYPERLINK "https://m.huanqiu.com/article/9CaKrnK6P2q" \h </w:instrText>
      </w:r>
      <w:r>
        <w:fldChar w:fldCharType="separate"/>
      </w:r>
      <w:r>
        <w:rPr>
          <w:rFonts w:ascii="inter" w:hAnsi="inter" w:eastAsia="inter" w:cs="inter"/>
          <w:color w:val="000000"/>
          <w:sz w:val="18"/>
          <w:u w:val="single"/>
        </w:rPr>
        <w:t>https://m.huanqiu.com/article/9CaKrnK6P2q</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4E360E">
      <w:pPr>
        <w:numPr>
          <w:ilvl w:val="0"/>
          <w:numId w:val="17"/>
        </w:numPr>
        <w:spacing w:after="210" w:line="360" w:lineRule="auto"/>
      </w:pPr>
      <w:bookmarkStart w:id="368" w:name="fn23"/>
      <w:bookmarkEnd w:id="368"/>
      <w:r>
        <w:fldChar w:fldCharType="begin"/>
      </w:r>
      <w:r>
        <w:instrText xml:space="preserve"> HYPERLINK "https://pdf.hanspub.org/aps_3081310.pdf" \h </w:instrText>
      </w:r>
      <w:r>
        <w:fldChar w:fldCharType="separate"/>
      </w:r>
      <w:r>
        <w:rPr>
          <w:rFonts w:ascii="inter" w:hAnsi="inter" w:eastAsia="inter" w:cs="inter"/>
          <w:color w:val="000000"/>
          <w:sz w:val="18"/>
          <w:u w:val="single"/>
        </w:rPr>
        <w:t>https://pdf.hanspub.org/aps_3081310.pdf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6F4031">
      <w:pPr>
        <w:numPr>
          <w:ilvl w:val="0"/>
          <w:numId w:val="17"/>
        </w:numPr>
        <w:spacing w:after="210" w:line="360" w:lineRule="auto"/>
      </w:pPr>
      <w:bookmarkStart w:id="369" w:name="fn24"/>
      <w:bookmarkEnd w:id="369"/>
      <w:r>
        <w:fldChar w:fldCharType="begin"/>
      </w:r>
      <w:r>
        <w:instrText xml:space="preserve"> HYPERLINK "http://tykx.xml-journal.net/cn/article/pdf/preview/10.16469/j.css.201507004.pdf" \h </w:instrText>
      </w:r>
      <w:r>
        <w:fldChar w:fldCharType="separate"/>
      </w:r>
      <w:r>
        <w:rPr>
          <w:rFonts w:ascii="inter" w:hAnsi="inter" w:eastAsia="inter" w:cs="inter"/>
          <w:color w:val="000000"/>
          <w:sz w:val="18"/>
          <w:u w:val="single"/>
        </w:rPr>
        <w:t>http://tykx.xml-journal.net/cn/article/pdf/preview/10.16469/j.css.201507004.pdf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3F4FA2">
      <w:pPr>
        <w:numPr>
          <w:ilvl w:val="0"/>
          <w:numId w:val="17"/>
        </w:numPr>
        <w:spacing w:after="210" w:line="360" w:lineRule="auto"/>
      </w:pPr>
      <w:bookmarkStart w:id="370" w:name="fn25"/>
      <w:bookmarkEnd w:id="370"/>
      <w:r>
        <w:fldChar w:fldCharType="begin"/>
      </w:r>
      <w:r>
        <w:instrText xml:space="preserve"> HYPERLINK "https://www.oecd.org/content/dam/oecd/en/publications/reports/2018/07/how-is-participation-in-sports-related-to-students-performance-and-well-being_6374c1d2/e124db26-en.pdf" \h </w:instrText>
      </w:r>
      <w:r>
        <w:fldChar w:fldCharType="separate"/>
      </w:r>
      <w:r>
        <w:rPr>
          <w:rFonts w:ascii="inter" w:hAnsi="inter" w:eastAsia="inter" w:cs="inter"/>
          <w:color w:val="000000"/>
          <w:sz w:val="18"/>
          <w:u w:val="single"/>
        </w:rPr>
        <w:t>https://www.oecd.org/content/dam/oecd/en/publications/reports/2018/07/how-is-participation-in-sports-related-to-students-performance-and-well-being_6374c1d2/e124db26-en.pdf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72036F">
      <w:pPr>
        <w:numPr>
          <w:ilvl w:val="0"/>
          <w:numId w:val="17"/>
        </w:numPr>
        <w:spacing w:after="210" w:line="360" w:lineRule="auto"/>
      </w:pPr>
      <w:bookmarkStart w:id="371" w:name="fn26"/>
      <w:bookmarkEnd w:id="371"/>
      <w:r>
        <w:fldChar w:fldCharType="begin"/>
      </w:r>
      <w:r>
        <w:instrText xml:space="preserve"> HYPERLINK "https://www.frontiersin.org/journals/sports-and-active-living/articles/10.3389/fspor.2021.626282/full" \h </w:instrText>
      </w:r>
      <w:r>
        <w:fldChar w:fldCharType="separate"/>
      </w:r>
      <w:r>
        <w:rPr>
          <w:rFonts w:ascii="inter" w:hAnsi="inter" w:eastAsia="inter" w:cs="inter"/>
          <w:color w:val="000000"/>
          <w:sz w:val="18"/>
          <w:u w:val="single"/>
        </w:rPr>
        <w:t>https://www.frontiersin.org/journals/sports-and-active-living/articles/10.3389/fspor.2021.626282/full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ED91E8">
      <w:pPr>
        <w:numPr>
          <w:ilvl w:val="0"/>
          <w:numId w:val="17"/>
        </w:numPr>
        <w:spacing w:after="210" w:line="360" w:lineRule="auto"/>
      </w:pPr>
      <w:bookmarkStart w:id="372" w:name="fn27"/>
      <w:bookmarkEnd w:id="372"/>
      <w:r>
        <w:fldChar w:fldCharType="begin"/>
      </w:r>
      <w:r>
        <w:instrText xml:space="preserve"> HYPERLINK "https://www.who.int/zh/news/item/22-11-2019-new-who-led-study-says-majority-of-adolescents-worldwide-are-not-sufficiently-physically-active-putting-their-current-and-future-health-at-risk" \h </w:instrText>
      </w:r>
      <w:r>
        <w:fldChar w:fldCharType="separate"/>
      </w:r>
      <w:r>
        <w:rPr>
          <w:rFonts w:ascii="inter" w:hAnsi="inter" w:eastAsia="inter" w:cs="inter"/>
          <w:color w:val="000000"/>
          <w:sz w:val="18"/>
          <w:u w:val="single"/>
        </w:rPr>
        <w:t>https://www.who.int/zh/news/item/22-11-2019-new-who-led-study-says-majority-of-adolescents-worldwide-are-not-sufficiently-physically-active-putting-their-current-and-future-health-at-risk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0DBCF8">
      <w:pPr>
        <w:numPr>
          <w:ilvl w:val="0"/>
          <w:numId w:val="17"/>
        </w:numPr>
        <w:spacing w:after="210" w:line="360" w:lineRule="auto"/>
      </w:pPr>
      <w:bookmarkStart w:id="373" w:name="fn28"/>
      <w:bookmarkEnd w:id="373"/>
      <w:r>
        <w:fldChar w:fldCharType="begin"/>
      </w:r>
      <w:r>
        <w:instrText xml:space="preserve"> HYPERLINK "https://www.oecd.org/en/publications/2019/12/pisa-2018-results-volume-i_947e3529.html" \h </w:instrText>
      </w:r>
      <w:r>
        <w:fldChar w:fldCharType="separate"/>
      </w:r>
      <w:r>
        <w:rPr>
          <w:rFonts w:ascii="inter" w:hAnsi="inter" w:eastAsia="inter" w:cs="inter"/>
          <w:color w:val="000000"/>
          <w:sz w:val="18"/>
          <w:u w:val="single"/>
        </w:rPr>
        <w:t>https://www.oecd.org/en/publications/2019/12/pisa-2018-results-volume-i_947e3529.html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F644BE">
      <w:pPr>
        <w:numPr>
          <w:ilvl w:val="0"/>
          <w:numId w:val="17"/>
        </w:numPr>
        <w:spacing w:after="210" w:line="360" w:lineRule="auto"/>
      </w:pPr>
      <w:bookmarkStart w:id="374" w:name="fn29"/>
      <w:bookmarkEnd w:id="374"/>
      <w:r>
        <w:fldChar w:fldCharType="begin"/>
      </w:r>
      <w:r>
        <w:instrText xml:space="preserve"> HYPERLINK "https://pmc.ncbi.nlm.nih.gov/articles/PMC10559448/" \h </w:instrText>
      </w:r>
      <w:r>
        <w:fldChar w:fldCharType="separate"/>
      </w:r>
      <w:r>
        <w:rPr>
          <w:rFonts w:ascii="inter" w:hAnsi="inter" w:eastAsia="inter" w:cs="inter"/>
          <w:color w:val="000000"/>
          <w:sz w:val="18"/>
          <w:u w:val="single"/>
        </w:rPr>
        <w:t>https://pmc.ncbi.nlm.nih.gov/articles/PMC10559448/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A964AF">
      <w:pPr>
        <w:numPr>
          <w:ilvl w:val="0"/>
          <w:numId w:val="17"/>
        </w:numPr>
        <w:spacing w:after="210" w:line="360" w:lineRule="auto"/>
      </w:pPr>
      <w:bookmarkStart w:id="375" w:name="fn30"/>
      <w:bookmarkEnd w:id="375"/>
      <w:r>
        <w:fldChar w:fldCharType="begin"/>
      </w:r>
      <w:r>
        <w:instrText xml:space="preserve"> HYPERLINK "https://www.icsspe.org/sites/default/files/Kenneth%20Hardman%20update%20on%20physical%20education%20in%20schools%20worldwide.pdf" \h </w:instrText>
      </w:r>
      <w:r>
        <w:fldChar w:fldCharType="separate"/>
      </w:r>
      <w:r>
        <w:rPr>
          <w:rFonts w:ascii="inter" w:hAnsi="inter" w:eastAsia="inter" w:cs="inter"/>
          <w:color w:val="000000"/>
          <w:sz w:val="18"/>
          <w:u w:val="single"/>
        </w:rPr>
        <w:t>https://www.icsspe.org/sites/default/files/Kenneth Hardman update on physical education in schools worldwide.pdf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586B57">
      <w:pPr>
        <w:numPr>
          <w:ilvl w:val="0"/>
          <w:numId w:val="17"/>
        </w:numPr>
        <w:spacing w:after="210" w:line="360" w:lineRule="auto"/>
      </w:pPr>
      <w:bookmarkStart w:id="376" w:name="fn31"/>
      <w:bookmarkEnd w:id="376"/>
      <w:r>
        <w:fldChar w:fldCharType="begin"/>
      </w:r>
      <w:r>
        <w:instrText xml:space="preserve"> HYPERLINK "https://en.front-sci.com/index.php/rerr/article/view/565/747" \h </w:instrText>
      </w:r>
      <w:r>
        <w:fldChar w:fldCharType="separate"/>
      </w:r>
      <w:r>
        <w:rPr>
          <w:rFonts w:ascii="inter" w:hAnsi="inter" w:eastAsia="inter" w:cs="inter"/>
          <w:color w:val="000000"/>
          <w:sz w:val="18"/>
          <w:u w:val="single"/>
        </w:rPr>
        <w:t>https://en.front-sci.com/index.php/rerr/article/view/565/747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6EB2FD">
      <w:pPr>
        <w:numPr>
          <w:ilvl w:val="0"/>
          <w:numId w:val="17"/>
        </w:numPr>
        <w:spacing w:after="210" w:line="360" w:lineRule="auto"/>
      </w:pPr>
      <w:bookmarkStart w:id="377" w:name="fn32"/>
      <w:bookmarkEnd w:id="377"/>
      <w:r>
        <w:fldChar w:fldCharType="begin"/>
      </w:r>
      <w:r>
        <w:instrText xml:space="preserve"> HYPERLINK "https://pmc.ncbi.nlm.nih.gov/articles/PMC7028115/" \h </w:instrText>
      </w:r>
      <w:r>
        <w:fldChar w:fldCharType="separate"/>
      </w:r>
      <w:r>
        <w:rPr>
          <w:rFonts w:ascii="inter" w:hAnsi="inter" w:eastAsia="inter" w:cs="inter"/>
          <w:color w:val="000000"/>
          <w:sz w:val="18"/>
          <w:u w:val="single"/>
        </w:rPr>
        <w:t>https://pmc.ncbi.nlm.nih.gov/articles/PMC7028115/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0BD073">
      <w:pPr>
        <w:numPr>
          <w:ilvl w:val="0"/>
          <w:numId w:val="17"/>
        </w:numPr>
        <w:spacing w:after="210" w:line="360" w:lineRule="auto"/>
      </w:pPr>
      <w:bookmarkStart w:id="378" w:name="fn33"/>
      <w:bookmarkEnd w:id="378"/>
      <w:r>
        <w:fldChar w:fldCharType="begin"/>
      </w:r>
      <w:r>
        <w:instrText xml:space="preserve"> HYPERLINK "https://pmc.ncbi.nlm.nih.gov/articles/PMC11167545/" \h </w:instrText>
      </w:r>
      <w:r>
        <w:fldChar w:fldCharType="separate"/>
      </w:r>
      <w:r>
        <w:rPr>
          <w:rFonts w:ascii="inter" w:hAnsi="inter" w:eastAsia="inter" w:cs="inter"/>
          <w:color w:val="000000"/>
          <w:sz w:val="18"/>
          <w:u w:val="single"/>
        </w:rPr>
        <w:t>https://pmc.ncbi.nlm.nih.gov/articles/PMC11167545/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C38D47">
      <w:pPr>
        <w:numPr>
          <w:ilvl w:val="0"/>
          <w:numId w:val="17"/>
        </w:numPr>
        <w:spacing w:after="210" w:line="360" w:lineRule="auto"/>
      </w:pPr>
      <w:bookmarkStart w:id="379" w:name="fn34"/>
      <w:bookmarkEnd w:id="379"/>
      <w:r>
        <w:fldChar w:fldCharType="begin"/>
      </w:r>
      <w:r>
        <w:instrText xml:space="preserve"> HYPERLINK "https://stxb.magtech.com.cn/CN/10.12163/j.ssu.20221501" \h </w:instrText>
      </w:r>
      <w:r>
        <w:fldChar w:fldCharType="separate"/>
      </w:r>
      <w:r>
        <w:rPr>
          <w:rFonts w:ascii="inter" w:hAnsi="inter" w:eastAsia="inter" w:cs="inter"/>
          <w:color w:val="000000"/>
          <w:sz w:val="18"/>
          <w:u w:val="single"/>
        </w:rPr>
        <w:t>https://stxb.magtech.com.cn/CN/10.12163/j.ssu.20221501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1344F6">
      <w:pPr>
        <w:numPr>
          <w:ilvl w:val="0"/>
          <w:numId w:val="17"/>
        </w:numPr>
        <w:spacing w:after="210" w:line="360" w:lineRule="auto"/>
      </w:pPr>
      <w:bookmarkStart w:id="380" w:name="fn35"/>
      <w:bookmarkEnd w:id="380"/>
      <w:r>
        <w:fldChar w:fldCharType="begin"/>
      </w:r>
      <w:r>
        <w:instrText xml:space="preserve"> HYPERLINK "https://tyxk.scnu.edu.cn/editer/doc/202212515225169729.pdf" \h </w:instrText>
      </w:r>
      <w:r>
        <w:fldChar w:fldCharType="separate"/>
      </w:r>
      <w:r>
        <w:rPr>
          <w:rFonts w:ascii="inter" w:hAnsi="inter" w:eastAsia="inter" w:cs="inter"/>
          <w:color w:val="000000"/>
          <w:sz w:val="18"/>
          <w:u w:val="single"/>
        </w:rPr>
        <w:t>https://tyxk.scnu.edu.cn/editer/doc/202212515225169729.pdf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54D4FB">
      <w:pPr>
        <w:numPr>
          <w:ilvl w:val="0"/>
          <w:numId w:val="17"/>
        </w:numPr>
        <w:spacing w:after="210" w:line="360" w:lineRule="auto"/>
      </w:pPr>
      <w:bookmarkStart w:id="381" w:name="fn36"/>
      <w:bookmarkEnd w:id="381"/>
      <w:r>
        <w:fldChar w:fldCharType="begin"/>
      </w:r>
      <w:r>
        <w:instrText xml:space="preserve"> HYPERLINK "https://www.peopleapp.com/column/30050872609-500007231652" \h </w:instrText>
      </w:r>
      <w:r>
        <w:fldChar w:fldCharType="separate"/>
      </w:r>
      <w:r>
        <w:rPr>
          <w:rFonts w:ascii="inter" w:hAnsi="inter" w:eastAsia="inter" w:cs="inter"/>
          <w:color w:val="000000"/>
          <w:sz w:val="18"/>
          <w:u w:val="single"/>
        </w:rPr>
        <w:t>https://www.peopleapp.com/column/30050872609-500007231652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BAF181">
      <w:pPr>
        <w:numPr>
          <w:ilvl w:val="0"/>
          <w:numId w:val="17"/>
        </w:numPr>
        <w:spacing w:after="210" w:line="360" w:lineRule="auto"/>
      </w:pPr>
      <w:bookmarkStart w:id="382" w:name="fn37"/>
      <w:bookmarkEnd w:id="382"/>
      <w:r>
        <w:fldChar w:fldCharType="begin"/>
      </w:r>
      <w:r>
        <w:instrText xml:space="preserve"> HYPERLINK "https://www.frontiersin.org/journals/public-health/articles/10.3389/fpubh.2025.1625225/pdf" \h </w:instrText>
      </w:r>
      <w:r>
        <w:fldChar w:fldCharType="separate"/>
      </w:r>
      <w:r>
        <w:rPr>
          <w:rFonts w:ascii="inter" w:hAnsi="inter" w:eastAsia="inter" w:cs="inter"/>
          <w:color w:val="000000"/>
          <w:sz w:val="18"/>
          <w:u w:val="single"/>
        </w:rPr>
        <w:t>https://www.frontiersin.org/journals/public-health/articles/10.3389/fpubh.2025.1625225/pdf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7B725B">
      <w:pPr>
        <w:numPr>
          <w:ilvl w:val="0"/>
          <w:numId w:val="17"/>
        </w:numPr>
        <w:spacing w:after="210" w:line="360" w:lineRule="auto"/>
      </w:pPr>
      <w:bookmarkStart w:id="383" w:name="fn38"/>
      <w:bookmarkEnd w:id="383"/>
      <w:r>
        <w:fldChar w:fldCharType="begin"/>
      </w:r>
      <w:r>
        <w:instrText xml:space="preserve"> HYPERLINK "http://www.csh.moe.edu.cn" \h </w:instrText>
      </w:r>
      <w:r>
        <w:fldChar w:fldCharType="separate"/>
      </w:r>
      <w:r>
        <w:rPr>
          <w:rFonts w:ascii="inter" w:hAnsi="inter" w:eastAsia="inter" w:cs="inter"/>
          <w:color w:val="000000"/>
          <w:sz w:val="18"/>
          <w:u w:val="single"/>
        </w:rPr>
        <w:t>http://www.csh.moe.edu.cn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43F93C">
      <w:pPr>
        <w:numPr>
          <w:ilvl w:val="0"/>
          <w:numId w:val="17"/>
        </w:numPr>
        <w:spacing w:after="210" w:line="360" w:lineRule="auto"/>
      </w:pPr>
      <w:bookmarkStart w:id="384" w:name="fn39"/>
      <w:bookmarkEnd w:id="384"/>
      <w:r>
        <w:fldChar w:fldCharType="begin"/>
      </w:r>
      <w:r>
        <w:instrText xml:space="preserve"> HYPERLINK "http://www.news.cn/edu/20250413/e09fd338f06a4ea6afd8fe186b5c6582/c.html" \h </w:instrText>
      </w:r>
      <w:r>
        <w:fldChar w:fldCharType="separate"/>
      </w:r>
      <w:r>
        <w:rPr>
          <w:rFonts w:ascii="inter" w:hAnsi="inter" w:eastAsia="inter" w:cs="inter"/>
          <w:color w:val="000000"/>
          <w:sz w:val="18"/>
          <w:u w:val="single"/>
        </w:rPr>
        <w:t>http://www.news.cn/edu/20250413/e09fd338f06a4ea6afd8fe186b5c6582/c.html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2479C8">
      <w:pPr>
        <w:numPr>
          <w:ilvl w:val="0"/>
          <w:numId w:val="17"/>
        </w:numPr>
        <w:spacing w:after="210" w:line="360" w:lineRule="auto"/>
      </w:pPr>
      <w:bookmarkStart w:id="385" w:name="fn40"/>
      <w:bookmarkEnd w:id="385"/>
      <w:r>
        <w:fldChar w:fldCharType="begin"/>
      </w:r>
      <w:r>
        <w:instrText xml:space="preserve"> HYPERLINK "http://jyt.gansu.gov.cn/jyt/c020802/202502/174081169.shtml" \h </w:instrText>
      </w:r>
      <w:r>
        <w:fldChar w:fldCharType="separate"/>
      </w:r>
      <w:r>
        <w:rPr>
          <w:rFonts w:ascii="inter" w:hAnsi="inter" w:eastAsia="inter" w:cs="inter"/>
          <w:color w:val="000000"/>
          <w:sz w:val="18"/>
          <w:u w:val="single"/>
        </w:rPr>
        <w:t>http://jyt.gansu.gov.cn/jyt/c020802/202502/174081169.shtml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2DAC80">
      <w:pPr>
        <w:numPr>
          <w:ilvl w:val="0"/>
          <w:numId w:val="17"/>
        </w:numPr>
        <w:spacing w:after="210" w:line="360" w:lineRule="auto"/>
      </w:pPr>
      <w:bookmarkStart w:id="386" w:name="fn41"/>
      <w:bookmarkEnd w:id="386"/>
      <w:r>
        <w:fldChar w:fldCharType="begin"/>
      </w:r>
      <w:r>
        <w:instrText xml:space="preserve"> HYPERLINK "https://jyj.gz.gov.cn/gkmlpt/content/10/10105/post_10105073.html" \h </w:instrText>
      </w:r>
      <w:r>
        <w:fldChar w:fldCharType="separate"/>
      </w:r>
      <w:r>
        <w:rPr>
          <w:rFonts w:ascii="inter" w:hAnsi="inter" w:eastAsia="inter" w:cs="inter"/>
          <w:color w:val="000000"/>
          <w:sz w:val="18"/>
          <w:u w:val="single"/>
        </w:rPr>
        <w:t>https://jyj.gz.gov.cn/gkmlpt/content/10/10105/post_10105073.html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B26F73">
      <w:pPr>
        <w:numPr>
          <w:ilvl w:val="0"/>
          <w:numId w:val="17"/>
        </w:numPr>
        <w:spacing w:after="210" w:line="360" w:lineRule="auto"/>
      </w:pPr>
      <w:bookmarkStart w:id="387" w:name="fn42"/>
      <w:bookmarkEnd w:id="387"/>
      <w:r>
        <w:fldChar w:fldCharType="begin"/>
      </w:r>
      <w:r>
        <w:instrText xml:space="preserve"> HYPERLINK "https://www.chinagp.net/EN/abstract/abstract7979.shtml" \h </w:instrText>
      </w:r>
      <w:r>
        <w:fldChar w:fldCharType="separate"/>
      </w:r>
      <w:r>
        <w:rPr>
          <w:rFonts w:ascii="inter" w:hAnsi="inter" w:eastAsia="inter" w:cs="inter"/>
          <w:color w:val="000000"/>
          <w:sz w:val="18"/>
          <w:u w:val="single"/>
        </w:rPr>
        <w:t>https://www.chinagp.net/EN/abstract/abstract7979.shtml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D54251">
      <w:pPr>
        <w:numPr>
          <w:ilvl w:val="0"/>
          <w:numId w:val="17"/>
        </w:numPr>
        <w:spacing w:after="210" w:line="360" w:lineRule="auto"/>
      </w:pPr>
      <w:bookmarkStart w:id="388" w:name="fn43"/>
      <w:bookmarkEnd w:id="388"/>
      <w:r>
        <w:fldChar w:fldCharType="begin"/>
      </w:r>
      <w:r>
        <w:instrText xml:space="preserve"> HYPERLINK "https://pmc.ncbi.nlm.nih.gov/articles/PMC12659053/" \h </w:instrText>
      </w:r>
      <w:r>
        <w:fldChar w:fldCharType="separate"/>
      </w:r>
      <w:r>
        <w:rPr>
          <w:rFonts w:ascii="inter" w:hAnsi="inter" w:eastAsia="inter" w:cs="inter"/>
          <w:color w:val="000000"/>
          <w:sz w:val="18"/>
          <w:u w:val="single"/>
        </w:rPr>
        <w:t>https://pmc.ncbi.nlm.nih.gov/articles/PMC12659053/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540A45">
      <w:pPr>
        <w:numPr>
          <w:ilvl w:val="0"/>
          <w:numId w:val="17"/>
        </w:numPr>
        <w:spacing w:after="210" w:line="360" w:lineRule="auto"/>
      </w:pPr>
      <w:bookmarkStart w:id="389" w:name="fn44"/>
      <w:bookmarkEnd w:id="389"/>
      <w:r>
        <w:fldChar w:fldCharType="begin"/>
      </w:r>
      <w:r>
        <w:instrText xml:space="preserve"> HYPERLINK "https://tyxk.scnu.edu.cn/editer/doc/200952716252915659.pdf" \h </w:instrText>
      </w:r>
      <w:r>
        <w:fldChar w:fldCharType="separate"/>
      </w:r>
      <w:r>
        <w:rPr>
          <w:rFonts w:ascii="inter" w:hAnsi="inter" w:eastAsia="inter" w:cs="inter"/>
          <w:color w:val="000000"/>
          <w:sz w:val="18"/>
          <w:u w:val="single"/>
        </w:rPr>
        <w:t>https://tyxk.scnu.edu.cn/editer/doc/200952716252915659.pdf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3C69CC">
      <w:pPr>
        <w:numPr>
          <w:ilvl w:val="0"/>
          <w:numId w:val="17"/>
        </w:numPr>
        <w:spacing w:after="210" w:line="360" w:lineRule="auto"/>
      </w:pPr>
      <w:bookmarkStart w:id="390" w:name="fn45"/>
      <w:bookmarkEnd w:id="390"/>
      <w:r>
        <w:fldChar w:fldCharType="begin"/>
      </w:r>
      <w:r>
        <w:instrText xml:space="preserve"> HYPERLINK "http://paper.people.com.cn/jksb/html/2013-07/22/content_1272384.htm" \h </w:instrText>
      </w:r>
      <w:r>
        <w:fldChar w:fldCharType="separate"/>
      </w:r>
      <w:r>
        <w:rPr>
          <w:rFonts w:ascii="inter" w:hAnsi="inter" w:eastAsia="inter" w:cs="inter"/>
          <w:color w:val="000000"/>
          <w:sz w:val="18"/>
          <w:u w:val="single"/>
        </w:rPr>
        <w:t>http://paper.people.com.cn/jksb/html/2013-07/22/content_1272384.htm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9809A7">
      <w:pPr>
        <w:numPr>
          <w:ilvl w:val="0"/>
          <w:numId w:val="17"/>
        </w:numPr>
        <w:spacing w:after="210" w:line="360" w:lineRule="auto"/>
      </w:pPr>
      <w:bookmarkStart w:id="391" w:name="fn46"/>
      <w:bookmarkEnd w:id="391"/>
      <w:r>
        <w:fldChar w:fldCharType="begin"/>
      </w:r>
      <w:r>
        <w:instrText xml:space="preserve"> HYPERLINK "https://www.stdaily.com/web/gdxw/2025-11/19/content_434594.html" \h </w:instrText>
      </w:r>
      <w:r>
        <w:fldChar w:fldCharType="separate"/>
      </w:r>
      <w:r>
        <w:rPr>
          <w:rFonts w:ascii="inter" w:hAnsi="inter" w:eastAsia="inter" w:cs="inter"/>
          <w:color w:val="000000"/>
          <w:sz w:val="18"/>
          <w:u w:val="single"/>
        </w:rPr>
        <w:t>https://www.stdaily.com/web/gdxw/2025-11/19/content_434594.html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5B3655">
      <w:pPr>
        <w:numPr>
          <w:ilvl w:val="0"/>
          <w:numId w:val="17"/>
        </w:numPr>
        <w:spacing w:after="210" w:line="360" w:lineRule="auto"/>
      </w:pPr>
      <w:bookmarkStart w:id="392" w:name="fn47"/>
      <w:bookmarkEnd w:id="392"/>
      <w:r>
        <w:fldChar w:fldCharType="begin"/>
      </w:r>
      <w:r>
        <w:instrText xml:space="preserve"> HYPERLINK "http://dianda.cqvip.com/Qikan/Article/Detail?id=7108240779" \h </w:instrText>
      </w:r>
      <w:r>
        <w:fldChar w:fldCharType="separate"/>
      </w:r>
      <w:r>
        <w:rPr>
          <w:rFonts w:ascii="inter" w:hAnsi="inter" w:eastAsia="inter" w:cs="inter"/>
          <w:color w:val="000000"/>
          <w:sz w:val="18"/>
          <w:u w:val="single"/>
        </w:rPr>
        <w:t>http://dianda.cqvip.com/Qikan/Article/Detail?id=7108240779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6B1C2B">
      <w:pPr>
        <w:numPr>
          <w:ilvl w:val="0"/>
          <w:numId w:val="17"/>
        </w:numPr>
        <w:spacing w:after="210" w:line="360" w:lineRule="auto"/>
      </w:pPr>
      <w:bookmarkStart w:id="393" w:name="fn48"/>
      <w:bookmarkEnd w:id="393"/>
      <w:r>
        <w:fldChar w:fldCharType="begin"/>
      </w:r>
      <w:r>
        <w:instrText xml:space="preserve"> HYPERLINK "https://www.sport.gov.cn/gdnps/html/zhengce/content.jsp?id=25530470" \h </w:instrText>
      </w:r>
      <w:r>
        <w:fldChar w:fldCharType="separate"/>
      </w:r>
      <w:r>
        <w:rPr>
          <w:rFonts w:ascii="inter" w:hAnsi="inter" w:eastAsia="inter" w:cs="inter"/>
          <w:color w:val="000000"/>
          <w:sz w:val="18"/>
          <w:u w:val="single"/>
        </w:rPr>
        <w:t>https://www.sport.gov.cn/gdnps/html/zhengce/content.jsp?id=25530470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5198F3">
      <w:pPr>
        <w:numPr>
          <w:ilvl w:val="0"/>
          <w:numId w:val="17"/>
        </w:numPr>
        <w:spacing w:after="210" w:line="360" w:lineRule="auto"/>
      </w:pPr>
      <w:bookmarkStart w:id="394" w:name="fn49"/>
      <w:bookmarkEnd w:id="394"/>
      <w:r>
        <w:fldChar w:fldCharType="begin"/>
      </w:r>
      <w:r>
        <w:instrText xml:space="preserve"> HYPERLINK "https://www.thepaper.cn/newsDetail_forward_4387182" \h </w:instrText>
      </w:r>
      <w:r>
        <w:fldChar w:fldCharType="separate"/>
      </w:r>
      <w:r>
        <w:rPr>
          <w:rFonts w:ascii="inter" w:hAnsi="inter" w:eastAsia="inter" w:cs="inter"/>
          <w:color w:val="000000"/>
          <w:sz w:val="18"/>
          <w:u w:val="single"/>
        </w:rPr>
        <w:t>https://www.thepaper.cn/newsDetail_forward_4387182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C9869A">
      <w:pPr>
        <w:numPr>
          <w:ilvl w:val="0"/>
          <w:numId w:val="17"/>
        </w:numPr>
        <w:spacing w:after="210" w:line="360" w:lineRule="auto"/>
      </w:pPr>
      <w:bookmarkStart w:id="395" w:name="fn50"/>
      <w:bookmarkEnd w:id="395"/>
      <w:r>
        <w:fldChar w:fldCharType="begin"/>
      </w:r>
      <w:r>
        <w:instrText xml:space="preserve"> HYPERLINK "http://sdtyxyxb.magtechjournal.com/CN/10.14036/j.cnki.cn11-4513.2025.05.001" \h </w:instrText>
      </w:r>
      <w:r>
        <w:fldChar w:fldCharType="separate"/>
      </w:r>
      <w:r>
        <w:rPr>
          <w:rFonts w:ascii="inter" w:hAnsi="inter" w:eastAsia="inter" w:cs="inter"/>
          <w:color w:val="000000"/>
          <w:sz w:val="18"/>
          <w:u w:val="single"/>
        </w:rPr>
        <w:t>http://sdtyxyxb.magtechjournal.com/CN/10.14036/j.cnki.cn11-4513.2025.05.001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438BFE">
      <w:pPr>
        <w:numPr>
          <w:ilvl w:val="0"/>
          <w:numId w:val="17"/>
        </w:numPr>
        <w:spacing w:after="210" w:line="360" w:lineRule="auto"/>
      </w:pPr>
      <w:bookmarkStart w:id="396" w:name="fn51"/>
      <w:bookmarkEnd w:id="396"/>
      <w:r>
        <w:fldChar w:fldCharType="begin"/>
      </w:r>
      <w:r>
        <w:instrText xml:space="preserve"> HYPERLINK "https://pmc.ncbi.nlm.nih.gov/articles/PMC12052776/" \h </w:instrText>
      </w:r>
      <w:r>
        <w:fldChar w:fldCharType="separate"/>
      </w:r>
      <w:r>
        <w:rPr>
          <w:rFonts w:ascii="inter" w:hAnsi="inter" w:eastAsia="inter" w:cs="inter"/>
          <w:color w:val="000000"/>
          <w:sz w:val="18"/>
          <w:u w:val="single"/>
        </w:rPr>
        <w:t>https://pmc.ncbi.nlm.nih.gov/articles/PMC12052776/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EC43F0">
      <w:pPr>
        <w:numPr>
          <w:ilvl w:val="0"/>
          <w:numId w:val="17"/>
        </w:numPr>
        <w:spacing w:after="210" w:line="360" w:lineRule="auto"/>
      </w:pPr>
      <w:bookmarkStart w:id="397" w:name="fn52"/>
      <w:bookmarkEnd w:id="397"/>
      <w:r>
        <w:fldChar w:fldCharType="begin"/>
      </w:r>
      <w:r>
        <w:instrText xml:space="preserve"> HYPERLINK "https://www.tandfonline.com/doi/full/10.2147/RMHP.S497472" \h </w:instrText>
      </w:r>
      <w:r>
        <w:fldChar w:fldCharType="separate"/>
      </w:r>
      <w:r>
        <w:rPr>
          <w:rFonts w:ascii="inter" w:hAnsi="inter" w:eastAsia="inter" w:cs="inter"/>
          <w:color w:val="000000"/>
          <w:sz w:val="18"/>
          <w:u w:val="single"/>
        </w:rPr>
        <w:t>https://www.tandfonline.com/doi/full/10.2147/RMHP.S497472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94F087">
      <w:pPr>
        <w:numPr>
          <w:ilvl w:val="0"/>
          <w:numId w:val="17"/>
        </w:numPr>
        <w:spacing w:after="210" w:line="360" w:lineRule="auto"/>
      </w:pPr>
      <w:bookmarkStart w:id="398" w:name="fn53"/>
      <w:bookmarkEnd w:id="398"/>
      <w:r>
        <w:fldChar w:fldCharType="begin"/>
      </w:r>
      <w:r>
        <w:instrText xml:space="preserve"> HYPERLINK "https://www.semanticscholar.org/paper/Barriers-and-facilitators-to-physical-activity-a-Wang-Swain/cfb4b3dc0e3904ce2289f5eaf546e7da19366d1e" \h </w:instrText>
      </w:r>
      <w:r>
        <w:fldChar w:fldCharType="separate"/>
      </w:r>
      <w:r>
        <w:rPr>
          <w:rFonts w:ascii="inter" w:hAnsi="inter" w:eastAsia="inter" w:cs="inter"/>
          <w:color w:val="000000"/>
          <w:sz w:val="18"/>
          <w:u w:val="single"/>
        </w:rPr>
        <w:t>https://www.semanticscholar.org/paper/Barriers-and-facilitators-to-physical-activity-a-Wang-Swain/cfb4b3dc0e3904ce2289f5eaf546e7da19366d1e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577F1B">
      <w:pPr>
        <w:numPr>
          <w:ilvl w:val="0"/>
          <w:numId w:val="17"/>
        </w:numPr>
        <w:spacing w:after="210" w:line="360" w:lineRule="auto"/>
      </w:pPr>
      <w:bookmarkStart w:id="399" w:name="fn54"/>
      <w:bookmarkEnd w:id="399"/>
      <w:r>
        <w:fldChar w:fldCharType="begin"/>
      </w:r>
      <w:r>
        <w:instrText xml:space="preserve"> HYPERLINK "http://jw.beijing.gov.cn/jyzx/jyxw/202101/t20210119_2225823.html" \h </w:instrText>
      </w:r>
      <w:r>
        <w:fldChar w:fldCharType="separate"/>
      </w:r>
      <w:r>
        <w:rPr>
          <w:rFonts w:ascii="inter" w:hAnsi="inter" w:eastAsia="inter" w:cs="inter"/>
          <w:color w:val="000000"/>
          <w:sz w:val="18"/>
          <w:u w:val="single"/>
        </w:rPr>
        <w:t>http://jw.beijing.gov.cn/jyzx/jyxw/202101/t20210119_2225823.html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A42786">
      <w:pPr>
        <w:numPr>
          <w:ilvl w:val="0"/>
          <w:numId w:val="17"/>
        </w:numPr>
        <w:spacing w:after="210" w:line="360" w:lineRule="auto"/>
      </w:pPr>
      <w:bookmarkStart w:id="400" w:name="fn55"/>
      <w:bookmarkEnd w:id="400"/>
      <w:r>
        <w:fldChar w:fldCharType="begin"/>
      </w:r>
      <w:r>
        <w:instrText xml:space="preserve"> HYPERLINK "https://www.hanspub.org/journal/paperinformation?paperid=67040" \h </w:instrText>
      </w:r>
      <w:r>
        <w:fldChar w:fldCharType="separate"/>
      </w:r>
      <w:r>
        <w:rPr>
          <w:rFonts w:ascii="inter" w:hAnsi="inter" w:eastAsia="inter" w:cs="inter"/>
          <w:color w:val="000000"/>
          <w:sz w:val="18"/>
          <w:u w:val="single"/>
        </w:rPr>
        <w:t>https://www.hanspub.org/journal/paperinformation?paperid=67040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86B5C5">
      <w:pPr>
        <w:numPr>
          <w:ilvl w:val="0"/>
          <w:numId w:val="17"/>
        </w:numPr>
        <w:spacing w:after="210" w:line="360" w:lineRule="auto"/>
      </w:pPr>
      <w:bookmarkStart w:id="401" w:name="fn56"/>
      <w:bookmarkEnd w:id="401"/>
      <w:r>
        <w:fldChar w:fldCharType="begin"/>
      </w:r>
      <w:r>
        <w:instrText xml:space="preserve"> HYPERLINK "http://www.moe.gov.cn/srcsite/A03/s182/202101/W020210113546624017867.docx" \h </w:instrText>
      </w:r>
      <w:r>
        <w:fldChar w:fldCharType="separate"/>
      </w:r>
      <w:r>
        <w:rPr>
          <w:rFonts w:ascii="inter" w:hAnsi="inter" w:eastAsia="inter" w:cs="inter"/>
          <w:color w:val="000000"/>
          <w:sz w:val="18"/>
          <w:u w:val="single"/>
        </w:rPr>
        <w:t>http://www.moe.gov.cn/srcsite/A03/s182/202101/W020210113546624017867.docx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B5758E">
      <w:pPr>
        <w:numPr>
          <w:ilvl w:val="0"/>
          <w:numId w:val="17"/>
        </w:numPr>
        <w:spacing w:after="210" w:line="360" w:lineRule="auto"/>
      </w:pPr>
      <w:bookmarkStart w:id="402" w:name="fn57"/>
      <w:bookmarkEnd w:id="402"/>
      <w:r>
        <w:fldChar w:fldCharType="begin"/>
      </w:r>
      <w:r>
        <w:instrText xml:space="preserve"> HYPERLINK "https://ggjcb.hzvtc.edu.cn/info/1006/1567.htm" \h </w:instrText>
      </w:r>
      <w:r>
        <w:fldChar w:fldCharType="separate"/>
      </w:r>
      <w:r>
        <w:rPr>
          <w:rFonts w:ascii="inter" w:hAnsi="inter" w:eastAsia="inter" w:cs="inter"/>
          <w:color w:val="000000"/>
          <w:sz w:val="18"/>
          <w:u w:val="single"/>
        </w:rPr>
        <w:t>https://ggjcb.hzvtc.edu.cn/info/1006/1567.htm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8918D4">
      <w:pPr>
        <w:numPr>
          <w:ilvl w:val="0"/>
          <w:numId w:val="17"/>
        </w:numPr>
        <w:spacing w:after="210" w:line="360" w:lineRule="auto"/>
      </w:pPr>
      <w:bookmarkStart w:id="403" w:name="fn58"/>
      <w:bookmarkEnd w:id="403"/>
      <w:r>
        <w:fldChar w:fldCharType="begin"/>
      </w:r>
      <w:r>
        <w:instrText xml:space="preserve"> HYPERLINK "http://m.cyol.com/gb/articles/2025-11/19/content_KaRZbLCBA3.html" \h </w:instrText>
      </w:r>
      <w:r>
        <w:fldChar w:fldCharType="separate"/>
      </w:r>
      <w:r>
        <w:rPr>
          <w:rFonts w:ascii="inter" w:hAnsi="inter" w:eastAsia="inter" w:cs="inter"/>
          <w:color w:val="000000"/>
          <w:sz w:val="18"/>
          <w:u w:val="single"/>
        </w:rPr>
        <w:t>http://m.cyol.com/gb/articles/2025-11/19/content_KaRZbLCBA3.html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145349">
      <w:pPr>
        <w:numPr>
          <w:ilvl w:val="0"/>
          <w:numId w:val="17"/>
        </w:numPr>
        <w:spacing w:after="210" w:line="360" w:lineRule="auto"/>
      </w:pPr>
      <w:bookmarkStart w:id="404" w:name="fn59"/>
      <w:bookmarkEnd w:id="404"/>
      <w:r>
        <w:fldChar w:fldCharType="begin"/>
      </w:r>
      <w:r>
        <w:instrText xml:space="preserve"> HYPERLINK "https://www.crepe-boy.com/jwc/c/2024-04-08/800810.shtml" \h </w:instrText>
      </w:r>
      <w:r>
        <w:fldChar w:fldCharType="separate"/>
      </w:r>
      <w:r>
        <w:rPr>
          <w:rFonts w:ascii="inter" w:hAnsi="inter" w:eastAsia="inter" w:cs="inter"/>
          <w:color w:val="000000"/>
          <w:sz w:val="18"/>
          <w:u w:val="single"/>
        </w:rPr>
        <w:t>https://www.crepe-boy.com/jwc/c/2024-04-08/800810.shtml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338EBF">
      <w:pPr>
        <w:numPr>
          <w:ilvl w:val="0"/>
          <w:numId w:val="17"/>
        </w:numPr>
        <w:spacing w:after="210" w:line="360" w:lineRule="auto"/>
      </w:pPr>
      <w:bookmarkStart w:id="405" w:name="fn60"/>
      <w:bookmarkEnd w:id="405"/>
      <w:r>
        <w:fldChar w:fldCharType="begin"/>
      </w:r>
      <w:r>
        <w:instrText xml:space="preserve"> HYPERLINK "http://live2.cnconf.com/uploads/news/file/2024/09/1726365631965618.pdf" \h </w:instrText>
      </w:r>
      <w:r>
        <w:fldChar w:fldCharType="separate"/>
      </w:r>
      <w:r>
        <w:rPr>
          <w:rFonts w:ascii="inter" w:hAnsi="inter" w:eastAsia="inter" w:cs="inter"/>
          <w:color w:val="000000"/>
          <w:sz w:val="18"/>
          <w:u w:val="single"/>
        </w:rPr>
        <w:t>http://live2.cnconf.com/uploads/news/file/2024/09/1726365631965618.pdf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EE4AD5">
      <w:pPr>
        <w:numPr>
          <w:ilvl w:val="0"/>
          <w:numId w:val="17"/>
        </w:numPr>
        <w:spacing w:after="210" w:line="360" w:lineRule="auto"/>
      </w:pPr>
      <w:bookmarkStart w:id="406" w:name="fn61"/>
      <w:bookmarkEnd w:id="406"/>
      <w:r>
        <w:fldChar w:fldCharType="begin"/>
      </w:r>
      <w:r>
        <w:instrText xml:space="preserve"> HYPERLINK "https://www.sport.gov.cn/n4/n15223/n15225/c23512722/content.html" \h </w:instrText>
      </w:r>
      <w:r>
        <w:fldChar w:fldCharType="separate"/>
      </w:r>
      <w:r>
        <w:rPr>
          <w:rFonts w:ascii="inter" w:hAnsi="inter" w:eastAsia="inter" w:cs="inter"/>
          <w:color w:val="000000"/>
          <w:sz w:val="18"/>
          <w:u w:val="single"/>
        </w:rPr>
        <w:t>https://www.sport.gov.cn/n4/n15223/n15225/c23512722/content.html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1E2DC0">
      <w:pPr>
        <w:numPr>
          <w:ilvl w:val="0"/>
          <w:numId w:val="17"/>
        </w:numPr>
        <w:spacing w:after="210" w:line="360" w:lineRule="auto"/>
      </w:pPr>
      <w:bookmarkStart w:id="407" w:name="fn62"/>
      <w:bookmarkEnd w:id="407"/>
      <w:r>
        <w:fldChar w:fldCharType="begin"/>
      </w:r>
      <w:r>
        <w:instrText xml:space="preserve"> HYPERLINK "https://www.oalib.com/journal/12363/5" \h </w:instrText>
      </w:r>
      <w:r>
        <w:fldChar w:fldCharType="separate"/>
      </w:r>
      <w:r>
        <w:rPr>
          <w:rFonts w:ascii="inter" w:hAnsi="inter" w:eastAsia="inter" w:cs="inter"/>
          <w:color w:val="000000"/>
          <w:sz w:val="18"/>
          <w:u w:val="single"/>
        </w:rPr>
        <w:t>https://www.oalib.com/journal/12363/5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7C9A90">
      <w:pPr>
        <w:numPr>
          <w:ilvl w:val="0"/>
          <w:numId w:val="17"/>
        </w:numPr>
        <w:spacing w:after="210" w:line="360" w:lineRule="auto"/>
      </w:pPr>
      <w:bookmarkStart w:id="408" w:name="fn63"/>
      <w:bookmarkEnd w:id="408"/>
      <w:r>
        <w:fldChar w:fldCharType="begin"/>
      </w:r>
      <w:r>
        <w:instrText xml:space="preserve"> HYPERLINK "https://tjty.cbpt.cnki.net/WKG/WebPublication/wkTextContent.aspx?colType=4&amp;yt=2024&amp;st=01" \h </w:instrText>
      </w:r>
      <w:r>
        <w:fldChar w:fldCharType="separate"/>
      </w:r>
      <w:r>
        <w:rPr>
          <w:rFonts w:ascii="inter" w:hAnsi="inter" w:eastAsia="inter" w:cs="inter"/>
          <w:color w:val="000000"/>
          <w:sz w:val="18"/>
          <w:u w:val="single"/>
        </w:rPr>
        <w:t>https://tjty.cbpt.cnki.net/WKG/WebPublication/wkTextContent.aspx?colType=4&amp;yt=2024&amp;st=01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4B8979">
      <w:pPr>
        <w:numPr>
          <w:ilvl w:val="0"/>
          <w:numId w:val="17"/>
        </w:numPr>
        <w:spacing w:after="210" w:line="360" w:lineRule="auto"/>
      </w:pPr>
      <w:bookmarkStart w:id="409" w:name="fn64"/>
      <w:bookmarkEnd w:id="409"/>
      <w:r>
        <w:fldChar w:fldCharType="begin"/>
      </w:r>
      <w:r>
        <w:instrText xml:space="preserve"> HYPERLINK "https://pmc.ncbi.nlm.nih.gov/articles/PMC12125533/" \h </w:instrText>
      </w:r>
      <w:r>
        <w:fldChar w:fldCharType="separate"/>
      </w:r>
      <w:r>
        <w:rPr>
          <w:rFonts w:ascii="inter" w:hAnsi="inter" w:eastAsia="inter" w:cs="inter"/>
          <w:color w:val="000000"/>
          <w:sz w:val="18"/>
          <w:u w:val="single"/>
        </w:rPr>
        <w:t>https://pmc.ncbi.nlm.nih.gov/articles/PMC12125533/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AE2A36">
      <w:pPr>
        <w:numPr>
          <w:ilvl w:val="0"/>
          <w:numId w:val="17"/>
        </w:numPr>
        <w:spacing w:after="210" w:line="360" w:lineRule="auto"/>
      </w:pPr>
      <w:bookmarkStart w:id="410" w:name="fn65"/>
      <w:bookmarkEnd w:id="410"/>
      <w:r>
        <w:fldChar w:fldCharType="begin"/>
      </w:r>
      <w:r>
        <w:instrText xml:space="preserve"> HYPERLINK "https://www.oecd.org/en/data/datasets/pisa-2018-database.html" \h </w:instrText>
      </w:r>
      <w:r>
        <w:fldChar w:fldCharType="separate"/>
      </w:r>
      <w:r>
        <w:rPr>
          <w:rFonts w:ascii="inter" w:hAnsi="inter" w:eastAsia="inter" w:cs="inter"/>
          <w:color w:val="000000"/>
          <w:sz w:val="18"/>
          <w:u w:val="single"/>
        </w:rPr>
        <w:t>https://www.oecd.org/en/data/datasets/pisa-2018-database.html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BF8F0E">
      <w:pPr>
        <w:numPr>
          <w:ilvl w:val="0"/>
          <w:numId w:val="17"/>
        </w:numPr>
        <w:spacing w:after="210" w:line="360" w:lineRule="auto"/>
      </w:pPr>
      <w:bookmarkStart w:id="411" w:name="fn66"/>
      <w:bookmarkEnd w:id="411"/>
      <w:r>
        <w:fldChar w:fldCharType="begin"/>
      </w:r>
      <w:r>
        <w:instrText xml:space="preserve"> HYPERLINK "https://www.oecd.org/content/dam/oecd/en/about/programmes/edu/pisa/publications/national-reports/pisa-2015/country-snapshots/PISA-2015-china.pdf" \h </w:instrText>
      </w:r>
      <w:r>
        <w:fldChar w:fldCharType="separate"/>
      </w:r>
      <w:r>
        <w:rPr>
          <w:rFonts w:ascii="inter" w:hAnsi="inter" w:eastAsia="inter" w:cs="inter"/>
          <w:color w:val="000000"/>
          <w:sz w:val="18"/>
          <w:u w:val="single"/>
        </w:rPr>
        <w:t>https://www.oecd.org/content/dam/oecd/en/about/programmes/edu/pisa/publications/national-reports/pisa-2015/country-snapshots/PISA-2015-china.pdf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47AFC7">
      <w:pPr>
        <w:numPr>
          <w:ilvl w:val="0"/>
          <w:numId w:val="17"/>
        </w:numPr>
        <w:spacing w:after="210" w:line="360" w:lineRule="auto"/>
      </w:pPr>
      <w:bookmarkStart w:id="412" w:name="fn67"/>
      <w:bookmarkEnd w:id="412"/>
      <w:r>
        <w:fldChar w:fldCharType="begin"/>
      </w:r>
      <w:r>
        <w:instrText xml:space="preserve"> HYPERLINK "https://infoguides.gmu.edu/az.php?q=Incoin+Exchange+APP+Review" \h </w:instrText>
      </w:r>
      <w:r>
        <w:fldChar w:fldCharType="separate"/>
      </w:r>
      <w:r>
        <w:rPr>
          <w:rFonts w:ascii="inter" w:hAnsi="inter" w:eastAsia="inter" w:cs="inter"/>
          <w:color w:val="000000"/>
          <w:sz w:val="18"/>
          <w:u w:val="single"/>
        </w:rPr>
        <w:t>https://infoguides.gmu.edu/az.php?q=Incoin+Exchange+APP+Review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15CF74">
      <w:pPr>
        <w:numPr>
          <w:ilvl w:val="0"/>
          <w:numId w:val="17"/>
        </w:numPr>
        <w:spacing w:after="210" w:line="360" w:lineRule="auto"/>
      </w:pPr>
      <w:bookmarkStart w:id="413" w:name="fn68"/>
      <w:bookmarkEnd w:id="413"/>
      <w:r>
        <w:fldChar w:fldCharType="begin"/>
      </w:r>
      <w:r>
        <w:instrText xml:space="preserve"> HYPERLINK "https://guides.lib.utexas.edu/az.php?q=Intelligent+Trading+System7.0" \h </w:instrText>
      </w:r>
      <w:r>
        <w:fldChar w:fldCharType="separate"/>
      </w:r>
      <w:r>
        <w:rPr>
          <w:rFonts w:ascii="inter" w:hAnsi="inter" w:eastAsia="inter" w:cs="inter"/>
          <w:color w:val="000000"/>
          <w:sz w:val="18"/>
          <w:u w:val="single"/>
        </w:rPr>
        <w:t>https://guides.lib.utexas.edu/az.php?q=Intelligent+Trading+System7.0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BEFFD7">
      <w:pPr>
        <w:numPr>
          <w:ilvl w:val="0"/>
          <w:numId w:val="17"/>
        </w:numPr>
        <w:spacing w:after="210" w:line="360" w:lineRule="auto"/>
      </w:pPr>
      <w:bookmarkStart w:id="414" w:name="fn69"/>
      <w:bookmarkEnd w:id="414"/>
      <w:r>
        <w:fldChar w:fldCharType="begin"/>
      </w:r>
      <w:r>
        <w:instrText xml:space="preserve"> HYPERLINK "https://libguides.gc.cuny.edu/az/databases?q=Just+Win+Crypto+Journey%EF%BC%88JWCJ%EF%BC%89+Review" \h </w:instrText>
      </w:r>
      <w:r>
        <w:fldChar w:fldCharType="separate"/>
      </w:r>
      <w:r>
        <w:rPr>
          <w:rFonts w:ascii="inter" w:hAnsi="inter" w:eastAsia="inter" w:cs="inter"/>
          <w:color w:val="000000"/>
          <w:sz w:val="18"/>
          <w:u w:val="single"/>
        </w:rPr>
        <w:t>https://libguides.gc.cuny.edu/az/databases?q=Just+Win+Crypto+Journey（JWCJ）+Review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82FB4D">
      <w:pPr>
        <w:numPr>
          <w:ilvl w:val="0"/>
          <w:numId w:val="17"/>
        </w:numPr>
        <w:spacing w:after="210" w:line="360" w:lineRule="auto"/>
      </w:pPr>
      <w:bookmarkStart w:id="415" w:name="fn70"/>
      <w:bookmarkEnd w:id="415"/>
      <w:r>
        <w:fldChar w:fldCharType="begin"/>
      </w:r>
      <w:r>
        <w:instrText xml:space="preserve"> HYPERLINK "https://www.jiemodui.com/N/130846.html" \h </w:instrText>
      </w:r>
      <w:r>
        <w:fldChar w:fldCharType="separate"/>
      </w:r>
      <w:r>
        <w:rPr>
          <w:rFonts w:ascii="inter" w:hAnsi="inter" w:eastAsia="inter" w:cs="inter"/>
          <w:color w:val="000000"/>
          <w:sz w:val="18"/>
          <w:u w:val="single"/>
        </w:rPr>
        <w:t>https://www.jiemodui.com/N/130846.html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3DD6C1">
      <w:pPr>
        <w:numPr>
          <w:ilvl w:val="0"/>
          <w:numId w:val="17"/>
        </w:numPr>
        <w:spacing w:after="210" w:line="360" w:lineRule="auto"/>
      </w:pPr>
      <w:bookmarkStart w:id="416" w:name="fn71"/>
      <w:bookmarkEnd w:id="416"/>
      <w:r>
        <w:fldChar w:fldCharType="begin"/>
      </w:r>
      <w:r>
        <w:instrText xml:space="preserve"> HYPERLINK "http://www.jiangmen.gov.cn/jmjyj/gkmlpt/content/2/2537/post_2537709.html" \h </w:instrText>
      </w:r>
      <w:r>
        <w:fldChar w:fldCharType="separate"/>
      </w:r>
      <w:r>
        <w:rPr>
          <w:rFonts w:ascii="inter" w:hAnsi="inter" w:eastAsia="inter" w:cs="inter"/>
          <w:color w:val="000000"/>
          <w:sz w:val="18"/>
          <w:u w:val="single"/>
        </w:rPr>
        <w:t>http://www.jiangmen.gov.cn/jmjyj/gkmlpt/content/2/2537/post_2537709.html</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900"/>
        </w:tabs>
        <w:ind w:left="540" w:hanging="360"/>
      </w:pPr>
    </w:lvl>
  </w:abstractNum>
  <w:abstractNum w:abstractNumId="1">
    <w:nsid w:val="B5E306ED"/>
    <w:multiLevelType w:val="singleLevel"/>
    <w:tmpl w:val="B5E306ED"/>
    <w:lvl w:ilvl="0" w:tentative="0">
      <w:start w:val="1"/>
      <w:numFmt w:val="decimal"/>
      <w:lvlText w:val="%1."/>
      <w:lvlJc w:val="left"/>
      <w:pPr>
        <w:tabs>
          <w:tab w:val="left" w:pos="900"/>
        </w:tabs>
        <w:ind w:left="540" w:hanging="360"/>
      </w:pPr>
    </w:lvl>
  </w:abstractNum>
  <w:abstractNum w:abstractNumId="2">
    <w:nsid w:val="BF205925"/>
    <w:multiLevelType w:val="singleLevel"/>
    <w:tmpl w:val="BF205925"/>
    <w:lvl w:ilvl="0" w:tentative="0">
      <w:start w:val="2"/>
      <w:numFmt w:val="decimal"/>
      <w:lvlText w:val="%1."/>
      <w:lvlJc w:val="left"/>
      <w:pPr>
        <w:tabs>
          <w:tab w:val="left" w:pos="900"/>
        </w:tabs>
        <w:ind w:left="540" w:hanging="360"/>
      </w:pPr>
    </w:lvl>
  </w:abstractNum>
  <w:abstractNum w:abstractNumId="3">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4">
    <w:nsid w:val="CF092B84"/>
    <w:multiLevelType w:val="singleLevel"/>
    <w:tmpl w:val="CF092B84"/>
    <w:lvl w:ilvl="0" w:tentative="0">
      <w:start w:val="2"/>
      <w:numFmt w:val="decimal"/>
      <w:lvlText w:val="%1."/>
      <w:lvlJc w:val="left"/>
      <w:pPr>
        <w:tabs>
          <w:tab w:val="left" w:pos="900"/>
        </w:tabs>
        <w:ind w:left="540" w:hanging="360"/>
      </w:pPr>
    </w:lvl>
  </w:abstractNum>
  <w:abstractNum w:abstractNumId="5">
    <w:nsid w:val="DCBA6B53"/>
    <w:multiLevelType w:val="singleLevel"/>
    <w:tmpl w:val="DCBA6B53"/>
    <w:lvl w:ilvl="0" w:tentative="0">
      <w:start w:val="1"/>
      <w:numFmt w:val="decimal"/>
      <w:lvlText w:val="%1."/>
      <w:lvlJc w:val="left"/>
      <w:pPr>
        <w:tabs>
          <w:tab w:val="left" w:pos="900"/>
        </w:tabs>
        <w:ind w:left="540" w:hanging="360"/>
      </w:pPr>
    </w:lvl>
  </w:abstractNum>
  <w:abstractNum w:abstractNumId="6">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900"/>
        </w:tabs>
        <w:ind w:left="540" w:hanging="360"/>
      </w:pPr>
    </w:lvl>
  </w:abstractNum>
  <w:abstractNum w:abstractNumId="8">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9">
    <w:nsid w:val="03D62ECE"/>
    <w:multiLevelType w:val="singleLevel"/>
    <w:tmpl w:val="03D62ECE"/>
    <w:lvl w:ilvl="0" w:tentative="0">
      <w:start w:val="2"/>
      <w:numFmt w:val="decimal"/>
      <w:lvlText w:val="%1."/>
      <w:lvlJc w:val="left"/>
      <w:pPr>
        <w:tabs>
          <w:tab w:val="left" w:pos="900"/>
        </w:tabs>
        <w:ind w:left="540" w:hanging="360"/>
      </w:pPr>
    </w:lvl>
  </w:abstractNum>
  <w:abstractNum w:abstractNumId="10">
    <w:nsid w:val="2470EC97"/>
    <w:multiLevelType w:val="singleLevel"/>
    <w:tmpl w:val="2470EC97"/>
    <w:lvl w:ilvl="0" w:tentative="0">
      <w:start w:val="1"/>
      <w:numFmt w:val="decimal"/>
      <w:lvlText w:val="%1."/>
      <w:lvlJc w:val="left"/>
      <w:pPr>
        <w:tabs>
          <w:tab w:val="left" w:pos="900"/>
        </w:tabs>
        <w:ind w:left="540" w:hanging="360"/>
      </w:pPr>
    </w:lvl>
  </w:abstractNum>
  <w:abstractNum w:abstractNumId="11">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2">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3">
    <w:nsid w:val="4D4DC07F"/>
    <w:multiLevelType w:val="singleLevel"/>
    <w:tmpl w:val="4D4DC07F"/>
    <w:lvl w:ilvl="0" w:tentative="0">
      <w:start w:val="1"/>
      <w:numFmt w:val="decimal"/>
      <w:lvlText w:val="%1."/>
      <w:lvlJc w:val="left"/>
      <w:pPr>
        <w:tabs>
          <w:tab w:val="left" w:pos="900"/>
        </w:tabs>
        <w:ind w:left="540" w:hanging="360"/>
      </w:pPr>
    </w:lvl>
  </w:abstractNum>
  <w:abstractNum w:abstractNumId="14">
    <w:nsid w:val="59ADCABA"/>
    <w:multiLevelType w:val="singleLevel"/>
    <w:tmpl w:val="59ADCABA"/>
    <w:lvl w:ilvl="0" w:tentative="0">
      <w:start w:val="1"/>
      <w:numFmt w:val="decimal"/>
      <w:lvlText w:val="%1."/>
      <w:lvlJc w:val="left"/>
      <w:pPr>
        <w:tabs>
          <w:tab w:val="left" w:pos="900"/>
        </w:tabs>
        <w:ind w:left="540" w:hanging="360"/>
      </w:pPr>
    </w:lvl>
  </w:abstractNum>
  <w:abstractNum w:abstractNumId="15">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16">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7"/>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BD67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3489</Words>
  <Characters>3899</Characters>
  <TotalTime>0</TotalTime>
  <ScaleCrop>false</ScaleCrop>
  <LinksUpToDate>false</LinksUpToDate>
  <CharactersWithSpaces>3901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2026-01-17T19:26:00Z</dcterms:created>
  <dc:creator>html-to-docx</dc:creator>
  <cp:keywords>html-to-docx</cp:keywords>
  <cp:lastModifiedBy>dyx</cp:lastModifiedBy>
  <dcterms:modified xsi:type="dcterms:W3CDTF">2026-01-18T03:45:24Z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0573E6AF6E5F4DBFB2A41A9390DAE5EF_12</vt:lpwstr>
  </property>
</Properties>
</file>