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F55E3">
      <w:pPr>
        <w:spacing w:after="400" w:line="400" w:lineRule="atLeast"/>
      </w:pPr>
      <w:bookmarkStart w:id="0" w:name="_GoBack"/>
      <w:bookmarkEnd w:id="0"/>
      <w:r>
        <w:rPr>
          <w:b/>
          <w:sz w:val="30"/>
        </w:rPr>
        <w:t>关于中国房地产行业未来十年（2026-2035）走向可持续发展与有序良性的研究报告</w:t>
      </w:r>
    </w:p>
    <w:p w14:paraId="082A0EC9">
      <w:pPr>
        <w:spacing w:after="400" w:line="400" w:lineRule="atLeast"/>
      </w:pPr>
      <w:r>
        <w:rPr>
          <w:b/>
        </w:rPr>
        <w:t>报告日期：2025年12月22日</w:t>
      </w:r>
    </w:p>
    <w:p w14:paraId="7893A372">
      <w:pPr>
        <w:spacing w:after="400" w:line="400" w:lineRule="atLeast"/>
      </w:pPr>
      <w:r>
        <w:rPr>
          <w:b/>
          <w:sz w:val="26"/>
        </w:rPr>
        <w:t>摘要</w:t>
      </w:r>
    </w:p>
    <w:p w14:paraId="1A735E58">
      <w:pPr>
        <w:spacing w:after="400" w:line="400" w:lineRule="atLeast"/>
      </w:pPr>
      <w:r>
        <w:t>本报告旨在系统性地审视中国房地产行业未来十年发展的核心脉络。报告首先界定了房地产行业“可持续发展”与“有序良性”发展的多维内涵，即追求经济稳健、社会公平与环境友好的协同统一。在此基础上，报告的第一部分深入梳理了驱动行业走向可持续发展的六大核心力量：政策法规的刚性约束与引导、市场与资本的价值重塑、技术创新的根本赋能、行业自身的范式转型、社会文化价值观的深刻变迁，以及宏观经济与人口结构的底层牵引。这些力量相互交织，共同构成了行业变革的基本面。</w:t>
      </w:r>
    </w:p>
    <w:p w14:paraId="72FB6BFC">
      <w:pPr>
        <w:spacing w:after="400" w:line="400" w:lineRule="atLeast"/>
      </w:pPr>
      <w:r>
        <w:t>报告的第二部分，着眼于国家层面，前瞻性地构建了未来十年支撑行业“走得稳、走得好”的宏观支持体系框架。该体系以“政策工具箱”、“资金安排机制”和“战略方向引导”为三大支柱：在政策层面，预计将通过精细化、差异化的土地、税收与监管政策，实现市场的动态平衡与风险化解；在资金层面，将构建以公共财政为基础、以市场化绿色金融为主干、以多元社会资本为补充的可持续融资生态，精准滴灌行业转型关键领域；在战略导向上，将推动房地产发展与国家“双碳”目标、新型城镇化、数字中国及民生保障等重大战略深度融合，使其从经济增长的单一引擎，转变为服务国家长远战略的综合平台。</w:t>
      </w:r>
    </w:p>
    <w:p w14:paraId="4910B6F4">
      <w:pPr>
        <w:spacing w:after="400" w:line="400" w:lineRule="atLeast"/>
      </w:pPr>
      <w:r>
        <w:t>本报告认为，未来十年将是中国房地产行业告别粗放增长、深刻重塑内核的“提质换挡”期。行业的健康不再依赖于规模的无限扩张，而取决于其能否在多重推动力的作用下，成功嵌入国家可持续发展的宏大叙事，并通过系统性的国家支持体系，最终实现经济效益、社会价值与环境责任的高水平平衡。</w:t>
      </w:r>
    </w:p>
    <w:p w14:paraId="06B21470">
      <w:pPr>
        <w:spacing w:after="400" w:line="400" w:lineRule="atLeast"/>
      </w:pPr>
      <w:r>
        <w:rPr>
          <w:b/>
          <w:sz w:val="26"/>
        </w:rPr>
        <w:t>一、 引言：理解房地产行业的“可持续发展”与“有序良性”</w:t>
      </w:r>
    </w:p>
    <w:p w14:paraId="63048D1E">
      <w:pPr>
        <w:spacing w:after="400" w:line="400" w:lineRule="atLeast"/>
      </w:pPr>
      <w:r>
        <w:t>在探讨中国房地产行业的未来之前，必须首先明确其发展的理想状态与目标。本报告所关注的“可持续发展”，是一个融合了经济、社会与环境三重维度的综合性概念。具体到房地产行业：</w:t>
      </w:r>
    </w:p>
    <w:p w14:paraId="2BD33A26">
      <w:pPr>
        <w:numPr>
          <w:ilvl w:val="-1"/>
          <w:numId w:val="1"/>
        </w:numPr>
        <w:spacing w:after="400" w:line="400" w:lineRule="atLeast"/>
      </w:pPr>
      <w:r>
        <w:rPr>
          <w:b/>
        </w:rPr>
        <w:t>经济可持续</w:t>
      </w:r>
      <w:r>
        <w:t>：指行业能够保持长期稳定的增长动力，避免大起大落，形成健康的供需关系和价格体系，为宏观经济提供稳定支撑，同时行业内的企业具备持续的盈利能力和抗风险能力。</w:t>
      </w:r>
    </w:p>
    <w:p w14:paraId="3962A37E">
      <w:pPr>
        <w:numPr>
          <w:ilvl w:val="-1"/>
          <w:numId w:val="1"/>
        </w:numPr>
        <w:spacing w:after="400" w:line="400" w:lineRule="atLeast"/>
      </w:pPr>
      <w:r>
        <w:rPr>
          <w:b/>
        </w:rPr>
        <w:t>社会可持续</w:t>
      </w:r>
      <w:r>
        <w:t>：指行业的发展要促进社会公平与福祉。这包括保障不同收入群体的居住权利（如加强保障性住房供给）、提升建筑空间的健康性与宜居性、创造包容性的社区环境，以及确保房地产财富增长与社会整体福利提升相协调。</w:t>
      </w:r>
    </w:p>
    <w:p w14:paraId="7275F3BC">
      <w:pPr>
        <w:numPr>
          <w:ilvl w:val="-1"/>
          <w:numId w:val="1"/>
        </w:numPr>
        <w:spacing w:after="400" w:line="400" w:lineRule="atLeast"/>
      </w:pPr>
      <w:r>
        <w:rPr>
          <w:b/>
        </w:rPr>
        <w:t>环境可持续</w:t>
      </w:r>
      <w:r>
        <w:t>：指行业的发展必须将资源消耗和环境影响降至最低。这涵盖从土地集约利用、建筑材料绿色低碳、建筑过程节能减废，到建筑全生命周期运营中的能源高效利用、水资源节约、废弃物循环处理等各个环节，积极应对气候变化挑战。</w:t>
      </w:r>
    </w:p>
    <w:p w14:paraId="08405502">
      <w:pPr>
        <w:spacing w:after="400" w:line="400" w:lineRule="atLeast"/>
      </w:pPr>
      <w:r>
        <w:t>而“有序良性”，则是实现上述可持续发展目标的过程与状态描述。它强调行业运行机制的健康、市场秩序的规范、竞争格局的优化以及风险防控的有效。“有序”意味着发展有节奏、调控有章法、市场有预期；“良性”则意味着增长有质量、创新有活力、生态有韧性。二者共同指向一个摆脱“高负债、高杠杆、高周转”旧模式，转向“精细化、绿色化、数字化、服务化”新范式的行业未来。</w:t>
      </w:r>
    </w:p>
    <w:p w14:paraId="26FC6671">
      <w:pPr>
        <w:spacing w:after="400" w:line="400" w:lineRule="atLeast"/>
      </w:pPr>
      <w:r>
        <w:t>当前，中国房地产行业正站在一个历史性的转折点上。过去以解决“有没有”为核心的增量开发时代渐近尾声，以满足“好不好”为核心的存量提质时代正在开启。展望未来十年（2026-2035年），行业将在一系列复杂而强大的推动力量作用下转型，同时也将在一个更加成熟、系统的国家支持体系框架内演进。本报告将就此展开详细论述。</w:t>
      </w:r>
    </w:p>
    <w:p w14:paraId="288A6956">
      <w:pPr>
        <w:spacing w:after="400" w:line="400" w:lineRule="atLeast"/>
      </w:pPr>
      <w:r>
        <w:rPr>
          <w:b/>
          <w:sz w:val="26"/>
        </w:rPr>
        <w:t>二、 驱动房地产行业走向可持续发展的核心力量</w:t>
      </w:r>
    </w:p>
    <w:p w14:paraId="5A992951">
      <w:pPr>
        <w:spacing w:after="400" w:line="400" w:lineRule="atLeast"/>
      </w:pPr>
      <w:r>
        <w:t>行业的变革并非无源之水，其背后是多重力量共同作用的结果。这些力量来自政策、市场、技术、行业自身以及更广阔的社会经济背景，它们相互关联、彼此强化，构成了推动房地产可持续发展的基本动力系统。</w:t>
      </w:r>
    </w:p>
    <w:p w14:paraId="15377A53">
      <w:pPr>
        <w:spacing w:after="400" w:line="400" w:lineRule="atLeast"/>
      </w:pPr>
      <w:r>
        <w:rPr>
          <w:b/>
        </w:rPr>
        <w:t>1. 政策与法规的刚性约束与战略引导力</w:t>
      </w:r>
    </w:p>
    <w:p w14:paraId="1982FE33">
      <w:pPr>
        <w:spacing w:after="400" w:line="400" w:lineRule="atLeast"/>
      </w:pPr>
      <w:r>
        <w:t>政策始终是塑造中国房地产行业面貌最直接、最强大的力量。未来，这种力量将从单纯的周期性调控，更多转向构建促进行业长期健康发展的基础性制度框架。</w:t>
      </w:r>
    </w:p>
    <w:p w14:paraId="57C61933">
      <w:pPr>
        <w:numPr>
          <w:ilvl w:val="-1"/>
          <w:numId w:val="1"/>
        </w:numPr>
        <w:spacing w:after="400" w:line="400" w:lineRule="atLeast"/>
      </w:pPr>
      <w:r>
        <w:rPr>
          <w:b/>
        </w:rPr>
        <w:t>应对气候变化的全球共识与国内“双碳”目标</w:t>
      </w:r>
      <w:r>
        <w:t>：房地产建筑业是全球能源消耗和碳排放的重点领域。据研究，全球约40%的温室气体排放来自建筑环境 [[1]][[2]][[3]]。中国“2030年前碳达峰、2060年前碳中和”的庄严承诺，必然转化为对建筑行业碳排放的硬性约束。未来，类似纽约市《本地法97》那样要求建筑报告并强制减排的法规可能会在中国重点城市探索实施。国家将通过不断提高新建建筑节能标准、推行既有建筑节能改造、发展超低能耗和近零能耗建筑等政策“棍棒”，内部化建筑的环境负外部性，倒逼行业绿色转型 [[4]]。</w:t>
      </w:r>
    </w:p>
    <w:p w14:paraId="2CC84AD5">
      <w:pPr>
        <w:numPr>
          <w:ilvl w:val="-1"/>
          <w:numId w:val="1"/>
        </w:numPr>
        <w:spacing w:after="400" w:line="400" w:lineRule="atLeast"/>
      </w:pPr>
      <w:r>
        <w:rPr>
          <w:b/>
        </w:rPr>
        <w:t>ESG（环境、社会和治理）监管与信息披露要求的深化</w:t>
      </w:r>
      <w:r>
        <w:t>：随着中国资本市场改革深入和与国际接轨，ESG理念从自愿选择逐步走向强制披露与合规要求。监管机构、证券交易所以及像GRESB这样的国际ESG评级机构，正推动房地产企业将可持续发展纳入公司治理核心 [[5]][[6]][[7]]。企业需要定期、透明地披露其在节能减排、员工权益、社区关系、公司治理等方面的表现，这些信息将直接影响其融资成本、市场声誉和投资价值，形成强大的市场约束力。</w:t>
      </w:r>
    </w:p>
    <w:p w14:paraId="1A07A03D">
      <w:pPr>
        <w:numPr>
          <w:ilvl w:val="-1"/>
          <w:numId w:val="1"/>
        </w:numPr>
        <w:spacing w:after="400" w:line="400" w:lineRule="atLeast"/>
      </w:pPr>
      <w:r>
        <w:rPr>
          <w:b/>
        </w:rPr>
        <w:t>“胡萝卜加大棒”的政策组合拳</w:t>
      </w:r>
      <w:r>
        <w:t>：除了强制性的“棍棒”政策，激励性的“胡萝卜”政策也将是关键推动力。这包括对绿色建筑、装配式建筑、可再生能源建筑应用的财政补贴、税收减免、容积率奖励等 [[8]]。例如，未来税收政策可能明确向绿色建筑倾斜，对获得高星级绿色建筑标识的项目给予土地增值税、增值税等方面的优惠 [[9]][[10]][[11]]。这种奖惩分明的政策体系，旨在引导市场资源自发流向可持续领域。</w:t>
      </w:r>
    </w:p>
    <w:p w14:paraId="28DC8D21">
      <w:pPr>
        <w:spacing w:after="400" w:line="400" w:lineRule="atLeast"/>
      </w:pPr>
      <w:r>
        <w:rPr>
          <w:b/>
        </w:rPr>
        <w:t>2. 市场与资本的价值重塑力</w:t>
      </w:r>
    </w:p>
    <w:p w14:paraId="6D62A418">
      <w:pPr>
        <w:spacing w:after="400" w:line="400" w:lineRule="atLeast"/>
      </w:pPr>
      <w:r>
        <w:t>资本是逐利的，而资本的流向最终决定了行业的形态。可持续性正日益成为资本评估房地产价值的核心维度。</w:t>
      </w:r>
    </w:p>
    <w:p w14:paraId="6A4F6FE7">
      <w:pPr>
        <w:numPr>
          <w:ilvl w:val="-1"/>
          <w:numId w:val="1"/>
        </w:numPr>
        <w:spacing w:after="400" w:line="400" w:lineRule="atLeast"/>
      </w:pPr>
      <w:r>
        <w:rPr>
          <w:b/>
        </w:rPr>
        <w:t>“绿色溢价”的市场验证与资产价值重估</w:t>
      </w:r>
      <w:r>
        <w:t>：全球及国内市场的实践已经证明，获得LEED、WELL、中国绿色建筑三星等认证的物业，因其更低的运营成本（能耗、水耗）、更高的租户满意度和健康状况、更好的品牌形象，通常能获得更高的租金水平、出租率和资产估值，即所谓的“绿色溢价” [[12]][[13]][[14]]。这种溢价效应将促使开发商和资产持有者主动投资于绿色性能提升，因为这在财务上是划算的。</w:t>
      </w:r>
    </w:p>
    <w:p w14:paraId="26D50E0B">
      <w:pPr>
        <w:numPr>
          <w:ilvl w:val="-1"/>
          <w:numId w:val="1"/>
        </w:numPr>
        <w:spacing w:after="400" w:line="400" w:lineRule="atLeast"/>
      </w:pPr>
      <w:r>
        <w:rPr>
          <w:b/>
        </w:rPr>
        <w:t>投资者偏好的根本性转向</w:t>
      </w:r>
      <w:r>
        <w:t>：全球范围内，专注于可持续房地产的投资资本正呈指数级增长 [[15]]。养老金、主权财富基金、保险资金等长期资本，将ESG风险视为重要的投资风险，并积极寻求符合可持续发展主题的资产。在中国，保险资金、社保基金等对长周期、稳定收益资产的需求，也将与运营良好的绿色商业地产、租赁住房资产相匹配。资本市场的这种偏好，将迫使房地产企业调整发展战略以吸引投资。</w:t>
      </w:r>
    </w:p>
    <w:p w14:paraId="08C01C50">
      <w:pPr>
        <w:numPr>
          <w:ilvl w:val="-1"/>
          <w:numId w:val="1"/>
        </w:numPr>
        <w:spacing w:after="400" w:line="400" w:lineRule="atLeast"/>
      </w:pPr>
      <w:r>
        <w:rPr>
          <w:b/>
        </w:rPr>
        <w:t>终端用户需求的升级与分化</w:t>
      </w:r>
      <w:r>
        <w:t>：租户和购房者的需求正在发生变化。企业租户越来越关注其办公场所的绿色认证，以兑现自身的ESG承诺并吸引人才；个人租户和业主则更加关注室内空气质量、自然采光、热舒适度、健康建材等关乎切身健康与福祉的要素 [[16]]。同时，对于“好房子”的定义，从单纯的面积、地段，扩展到智能、绿色、健康、适老等多元功能。需求端的变化是驱动供给端变革最持久的力量。</w:t>
      </w:r>
    </w:p>
    <w:p w14:paraId="7D2E7CA9">
      <w:pPr>
        <w:spacing w:after="400" w:line="400" w:lineRule="atLeast"/>
      </w:pPr>
      <w:r>
        <w:rPr>
          <w:b/>
        </w:rPr>
        <w:t>3. 技术创新的根本赋能力</w:t>
      </w:r>
    </w:p>
    <w:p w14:paraId="173A6A8B">
      <w:pPr>
        <w:spacing w:after="400" w:line="400" w:lineRule="atLeast"/>
      </w:pPr>
      <w:r>
        <w:t>科技是解决可持续发展难题、提升行业效率与品质的关键工具。一系列前沿技术的融合应用，正在重塑房地产的设计、建造、运营和管理全链条。</w:t>
      </w:r>
    </w:p>
    <w:p w14:paraId="694A7959">
      <w:pPr>
        <w:numPr>
          <w:ilvl w:val="-1"/>
          <w:numId w:val="1"/>
        </w:numPr>
        <w:spacing w:after="400" w:line="400" w:lineRule="atLeast"/>
      </w:pPr>
      <w:r>
        <w:rPr>
          <w:b/>
        </w:rPr>
        <w:t>数字化设计与建造（BIM、数字孪生）</w:t>
      </w:r>
      <w:r>
        <w:t>：建筑信息模型（BIM）等技术实现了从设计、施工到运维的全过程数字化管理，能在虚拟环境中优化设计、减少材料浪费、预防工程冲突，从源头提升效率和可持续性。数字孪生技术则能够创建物理建筑的虚拟副本，用于实时模拟、分析和优化建筑性能。</w:t>
      </w:r>
    </w:p>
    <w:p w14:paraId="79E70B65">
      <w:pPr>
        <w:numPr>
          <w:ilvl w:val="-1"/>
          <w:numId w:val="1"/>
        </w:numPr>
        <w:spacing w:after="400" w:line="400" w:lineRule="atLeast"/>
      </w:pPr>
      <w:r>
        <w:rPr>
          <w:b/>
        </w:rPr>
        <w:t>智能运营与物联网（IoT）管理</w:t>
      </w:r>
      <w:r>
        <w:t>：通过部署大量的传感器（IoT），建筑可以实时收集能耗、水耗、 occupancy（使用率）、室内环境质量等海量数据。结合大数据分析和人工智能（AI）算法，能够实现建筑的智能化、精细化运营，例如动态调节空调照明系统、预测性维护设备，从而大幅降低运营阶段的能耗和成本 [[17]][[18]]。</w:t>
      </w:r>
    </w:p>
    <w:p w14:paraId="45C14EAE">
      <w:pPr>
        <w:numPr>
          <w:ilvl w:val="-1"/>
          <w:numId w:val="1"/>
        </w:numPr>
        <w:spacing w:after="400" w:line="400" w:lineRule="atLeast"/>
      </w:pPr>
      <w:r>
        <w:rPr>
          <w:b/>
        </w:rPr>
        <w:t>绿色建材与清洁能源技术</w:t>
      </w:r>
      <w:r>
        <w:t>：新型保温材料、低碳水泥、光伏建筑一体化（BIPV）、高效热泵、储能系统等技术的成熟与成本下降，使得建造和运行近零能耗建筑成为可能。这些技术的规模化应用，是房地产行业实现深度脱碳的物理基础 [[19]]。</w:t>
      </w:r>
    </w:p>
    <w:p w14:paraId="5F6C4E76">
      <w:pPr>
        <w:numPr>
          <w:ilvl w:val="-1"/>
          <w:numId w:val="1"/>
        </w:numPr>
        <w:spacing w:after="400" w:line="400" w:lineRule="atLeast"/>
      </w:pPr>
      <w:r>
        <w:rPr>
          <w:b/>
        </w:rPr>
        <w:t>数据驱动的透明度与决策</w:t>
      </w:r>
      <w:r>
        <w:t>：正如资料所指出的，全面、准确的数据收集和分析，对于跟踪减排目标、优化资产表现、向投资者和监管机构证明ESG绩效至关重要 [[20]]。技术使得这种透明度成为可能，并支撑更科学的投资和管理决策。</w:t>
      </w:r>
    </w:p>
    <w:p w14:paraId="335DDB33">
      <w:pPr>
        <w:spacing w:after="400" w:line="400" w:lineRule="atLeast"/>
      </w:pPr>
      <w:r>
        <w:rPr>
          <w:b/>
        </w:rPr>
        <w:t>4. 行业自身的范式转型内生力</w:t>
      </w:r>
    </w:p>
    <w:p w14:paraId="1F3B68CE">
      <w:pPr>
        <w:spacing w:after="400" w:line="400" w:lineRule="atLeast"/>
      </w:pPr>
      <w:r>
        <w:t>行业内部的发展逻辑和竞争焦点正在发生深刻变化，这种内生的转型需求是可持续发展的直接动力。</w:t>
      </w:r>
    </w:p>
    <w:p w14:paraId="4B5EA704">
      <w:pPr>
        <w:numPr>
          <w:ilvl w:val="-1"/>
          <w:numId w:val="1"/>
        </w:numPr>
        <w:spacing w:after="400" w:line="400" w:lineRule="atLeast"/>
      </w:pPr>
      <w:r>
        <w:rPr>
          <w:b/>
        </w:rPr>
        <w:t>从“增量开发”到“存量焕新”与“高质量发展”</w:t>
      </w:r>
      <w:r>
        <w:t>：中国城镇化进入中后期，部分城市新增住房需求放缓，行业的主战场必然从大规模新城建设，转向对存量建筑的改造、更新、运营和服务。这包括老旧小区改造、商业物业升级、工业厂房活化等。这种转型本身就要求更精细化的操作、更关注长期持有价值而非短期销售回款，与可持续发展的理念高度契合 [[21]][[22]][[23]]。</w:t>
      </w:r>
    </w:p>
    <w:p w14:paraId="081133B3">
      <w:pPr>
        <w:numPr>
          <w:ilvl w:val="-1"/>
          <w:numId w:val="1"/>
        </w:numPr>
        <w:spacing w:after="400" w:line="400" w:lineRule="atLeast"/>
      </w:pPr>
      <w:r>
        <w:rPr>
          <w:b/>
        </w:rPr>
        <w:t>从“开发商”到“运营商”与“服务商”的角色转变</w:t>
      </w:r>
      <w:r>
        <w:t>：企业的核心竞争力将从获取土地和快速销售，逐渐转向资产管理和客户服务能力。能否通过专业的运营提升资产回报率、能否通过优质的服务留住租户和业主，将成为企业生存的关键。而可持续的运营（节能降本、提升满意度）正是优秀运营能力的体现。</w:t>
      </w:r>
    </w:p>
    <w:p w14:paraId="15533CE3">
      <w:pPr>
        <w:numPr>
          <w:ilvl w:val="-1"/>
          <w:numId w:val="1"/>
        </w:numPr>
        <w:spacing w:after="400" w:line="400" w:lineRule="atLeast"/>
      </w:pPr>
      <w:r>
        <w:rPr>
          <w:b/>
        </w:rPr>
        <w:t>企业战略的主动调整与目标设定</w:t>
      </w:r>
      <w:r>
        <w:t>：领先的房地产企业已不再将可持续发展视为负担或公关宣传，而是纳入核心战略。它们通过加入“科学碳目标倡议（SBTi）”、发行绿色债券和可持续发展挂钩贷款（SLL）等方式，公开承诺并实践减排目标，将ESG表现与融资成本、管理层绩效直接挂钩 [[24]][[25]][[26]]。这种行业龙头企业的示范效应，将带动整个行业的标准提升。</w:t>
      </w:r>
    </w:p>
    <w:p w14:paraId="7351CB02">
      <w:pPr>
        <w:spacing w:after="400" w:line="400" w:lineRule="atLeast"/>
      </w:pPr>
      <w:r>
        <w:rPr>
          <w:b/>
        </w:rPr>
        <w:t>5. 社会文化价值观的深远影响力</w:t>
      </w:r>
    </w:p>
    <w:p w14:paraId="5B10675D">
      <w:pPr>
        <w:spacing w:after="400" w:line="400" w:lineRule="atLeast"/>
      </w:pPr>
      <w:r>
        <w:t>社会观念和公众意识的变迁，为行业变革提供了土壤和舆论压力。</w:t>
      </w:r>
    </w:p>
    <w:p w14:paraId="7D2939E5">
      <w:pPr>
        <w:numPr>
          <w:ilvl w:val="-1"/>
          <w:numId w:val="1"/>
        </w:numPr>
        <w:spacing w:after="400" w:line="400" w:lineRule="atLeast"/>
      </w:pPr>
      <w:r>
        <w:rPr>
          <w:b/>
        </w:rPr>
        <w:t>对健康、福祉与包容性的普遍追求</w:t>
      </w:r>
      <w:r>
        <w:t>：后疫情时代，公众对居住和工作环境的健康安全空前关注。同时，社会对多样性、公平性和包容性（DEI）的重视，也反映在对无障碍设施、混合用途社区、普惠性住房的需求上。房地产作为承载生活的容器，必须回应这些社会期待 [[27]][[28]]。</w:t>
      </w:r>
    </w:p>
    <w:p w14:paraId="49969558">
      <w:pPr>
        <w:numPr>
          <w:ilvl w:val="-1"/>
          <w:numId w:val="1"/>
        </w:numPr>
        <w:spacing w:after="400" w:line="400" w:lineRule="atLeast"/>
      </w:pPr>
      <w:r>
        <w:rPr>
          <w:b/>
        </w:rPr>
        <w:t>公众信心与行业声誉</w:t>
      </w:r>
      <w:r>
        <w:t>：房地产行业的健康发展，最终依赖于公众对其长期价值的信心。这种信心不仅关乎房价预期，更关乎对房屋质量、社区环境、开发商信誉的整体信任 [[29]]。践行可持续发展、承担社会责任，是重建和维持公众信心、塑造良好行业声誉的重要途径。</w:t>
      </w:r>
    </w:p>
    <w:p w14:paraId="4F55EA8F">
      <w:pPr>
        <w:spacing w:after="400" w:line="400" w:lineRule="atLeast"/>
      </w:pPr>
      <w:r>
        <w:rPr>
          <w:b/>
        </w:rPr>
        <w:t>6. 宏观经济与人口结构的底层牵引力</w:t>
      </w:r>
    </w:p>
    <w:p w14:paraId="4436DDC0">
      <w:pPr>
        <w:spacing w:after="400" w:line="400" w:lineRule="atLeast"/>
      </w:pPr>
      <w:r>
        <w:t>宏观经济环境和人口结构变化是决定房地产长期需求的根本性、慢变量。</w:t>
      </w:r>
    </w:p>
    <w:p w14:paraId="7495A327">
      <w:pPr>
        <w:numPr>
          <w:ilvl w:val="-1"/>
          <w:numId w:val="1"/>
        </w:numPr>
        <w:spacing w:after="400" w:line="400" w:lineRule="atLeast"/>
      </w:pPr>
      <w:r>
        <w:rPr>
          <w:b/>
        </w:rPr>
        <w:t>经济增长模式转型</w:t>
      </w:r>
      <w:r>
        <w:t>：中国经济从高速增长转向高质量发展，要求各行业提升全要素生产率。房地产作为重要组成部分，必须摆脱对金融杠杆的依赖，通过提升产品品质、运营效率和服务价值来创造利润，这与可持续发展内涵中的“经济可持续”完全一致。</w:t>
      </w:r>
    </w:p>
    <w:p w14:paraId="3C8F3EE2">
      <w:pPr>
        <w:numPr>
          <w:ilvl w:val="-1"/>
          <w:numId w:val="1"/>
        </w:numPr>
        <w:spacing w:after="400" w:line="400" w:lineRule="atLeast"/>
      </w:pPr>
      <w:r>
        <w:rPr>
          <w:b/>
        </w:rPr>
        <w:t>人口总量达峰与结构变化</w:t>
      </w:r>
      <w:r>
        <w:t>：人口总量见顶、老龄化加速、家庭小型化等趋势，将改变住房需求的规模和结构。未来对适老化住宅、多代同堂住宅、小型化高品质公寓、租赁住房的需求将更加突出。这要求行业提供更加多样化、人性化、与全生命周期相匹配的产品，推动产品创新和服务细化。</w:t>
      </w:r>
    </w:p>
    <w:p w14:paraId="38C6E576">
      <w:pPr>
        <w:spacing w:after="400" w:line="400" w:lineRule="atLeast"/>
      </w:pPr>
      <w:r>
        <w:t>综上所述，这六大推动力量并非孤立存在。例如，政策（如“双碳”目标）催生了市场对绿色建筑的需求，市场需求又激励了企业进行技术创新和应用，而技术进步则使得企业能以更低的成本达成政策要求，并进一步获得市场青睐。它们构成了一个动态增强的循环，共同将房地产行业推向可持续发展的轨道。</w:t>
      </w:r>
    </w:p>
    <w:p w14:paraId="7868EBC5">
      <w:pPr>
        <w:spacing w:after="400" w:line="400" w:lineRule="atLeast"/>
      </w:pPr>
      <w:r>
        <w:rPr>
          <w:b/>
          <w:sz w:val="26"/>
        </w:rPr>
        <w:t>三、 未来十年（2026-2035）国家支持行业稳健发展的宏观体系展望</w:t>
      </w:r>
    </w:p>
    <w:p w14:paraId="03FFF870">
      <w:pPr>
        <w:spacing w:after="400" w:line="400" w:lineRule="atLeast"/>
      </w:pPr>
      <w:r>
        <w:t>面对上述深刻而复杂的行业变革推动力，国家的角色至关重要。未来十年，国家层面的支持将不再是简单的“刺激”或“打压”，而是构建一个系统性的“支撑-引导”体系，旨在帮助行业平稳渡过转型阵痛，迈向“有序良性”的新阶段。这一体系主要体现在政策工具箱、资金安排机制和战略方向引导三个相互协同的维度。</w:t>
      </w:r>
    </w:p>
    <w:p w14:paraId="4ECCF29A">
      <w:pPr>
        <w:spacing w:after="400" w:line="400" w:lineRule="atLeast"/>
      </w:pPr>
      <w:r>
        <w:rPr>
          <w:b/>
        </w:rPr>
        <w:t>（一） 政策工具箱：精细化、差异化与长效化</w:t>
      </w:r>
    </w:p>
    <w:p w14:paraId="379523D2">
      <w:pPr>
        <w:spacing w:after="400" w:line="400" w:lineRule="atLeast"/>
      </w:pPr>
      <w:r>
        <w:t>未来的房地产政策将更加注重精准施策，针对不同城市、不同企业、不同物业类型采取差异化措施，并致力于建立长期稳定的制度环境。</w:t>
      </w:r>
    </w:p>
    <w:p w14:paraId="1AE695E3">
      <w:pPr>
        <w:spacing w:after="400" w:line="400" w:lineRule="atLeast"/>
      </w:pPr>
      <w:r>
        <w:rPr>
          <w:b/>
        </w:rPr>
        <w:t>1. 土地政策：从增量扩张到存量盘活与结构优化</w:t>
      </w:r>
    </w:p>
    <w:p w14:paraId="1AECB10C">
      <w:pPr>
        <w:spacing w:after="400" w:line="400" w:lineRule="atLeast"/>
      </w:pPr>
      <w:r>
        <w:t>土地是房地产的源头，土地政策的转变最能体现国家引导行业转型的决心。</w:t>
      </w:r>
    </w:p>
    <w:p w14:paraId="6DE4A083">
      <w:pPr>
        <w:numPr>
          <w:ilvl w:val="-1"/>
          <w:numId w:val="1"/>
        </w:numPr>
        <w:spacing w:after="400" w:line="400" w:lineRule="atLeast"/>
      </w:pPr>
      <w:r>
        <w:rPr>
          <w:b/>
        </w:rPr>
        <w:t>强化存量土地盘活，严控新增规模</w:t>
      </w:r>
      <w:r>
        <w:t>：未来十年，新增建设用地指标将更加稀缺和珍贵。政策重点将转向“盘活存量”，通过创新土地管理机制，大力激活闲置土地、低效用地和批而未供土地 [[30]][[31]][[32]]。具体措施可能包括：支持地方政府或国有企业回购尚未开发或已开工未竣工的土地，用于重新规划或建设保障性住房等 [[33]]；鼓励“工改工”、“工改商”、“工改租”等城市更新模式，提升土地利用效率。</w:t>
      </w:r>
    </w:p>
    <w:p w14:paraId="48F8DC5D">
      <w:pPr>
        <w:numPr>
          <w:ilvl w:val="-1"/>
          <w:numId w:val="1"/>
        </w:numPr>
        <w:spacing w:after="400" w:line="400" w:lineRule="atLeast"/>
      </w:pPr>
      <w:r>
        <w:rPr>
          <w:b/>
        </w:rPr>
        <w:t>优化供应结构，保障重点领域</w:t>
      </w:r>
      <w:r>
        <w:t>：土地供应将实行明显的“倾斜”和“保障”。新增用地将优先、足额保障保障性住房（特别是保障性租赁住房）、城市公共服务设施（学校、医院、养老）、重大产业项目配套用房等民生和发展用地的需求 [[34]][[35]]。对于普通商品住宅用地，供应节奏将与人口流入、库存去化周期紧密挂钩，实现“人地挂钩”，避免土地市场大起大落。</w:t>
      </w:r>
    </w:p>
    <w:p w14:paraId="1F4715F2">
      <w:pPr>
        <w:numPr>
          <w:ilvl w:val="-1"/>
          <w:numId w:val="1"/>
        </w:numPr>
        <w:spacing w:after="400" w:line="400" w:lineRule="atLeast"/>
      </w:pPr>
      <w:r>
        <w:rPr>
          <w:b/>
        </w:rPr>
        <w:t>深化土地制度改革，探索多元供给</w:t>
      </w:r>
      <w:r>
        <w:t>：将继续稳妥推进农村集体经营性建设用地入市，在租赁住房等领域扩大试点，增加租赁房源供给渠道 [[36]]。同时，完善国有土地有偿使用制度，探索长期租赁、租让结合、弹性年期等更加灵活的土地供应方式，降低企业初始用地成本，适应租赁住房等长周期运营业务的特点。</w:t>
      </w:r>
    </w:p>
    <w:p w14:paraId="1CBF3A33">
      <w:pPr>
        <w:spacing w:after="400" w:line="400" w:lineRule="atLeast"/>
      </w:pPr>
      <w:r>
        <w:rPr>
          <w:b/>
        </w:rPr>
        <w:t>2. 税收政策：从粗放普征到精准调节与激励相容</w:t>
      </w:r>
    </w:p>
    <w:p w14:paraId="40F3A105">
      <w:pPr>
        <w:spacing w:after="400" w:line="400" w:lineRule="atLeast"/>
      </w:pPr>
      <w:r>
        <w:t>税收政策是调节市场、引导行为的重要杠杆。未来税收体系将更加复杂和精细。</w:t>
      </w:r>
    </w:p>
    <w:p w14:paraId="02B00E9A">
      <w:pPr>
        <w:numPr>
          <w:ilvl w:val="-1"/>
          <w:numId w:val="1"/>
        </w:numPr>
        <w:spacing w:after="400" w:line="400" w:lineRule="atLeast"/>
      </w:pPr>
      <w:r>
        <w:rPr>
          <w:b/>
        </w:rPr>
        <w:t>优化交易环节税收，降低合理负担</w:t>
      </w:r>
      <w:r>
        <w:t>：为支持居民刚性和改善性住房需求，降低交易成本，未来可能进一步优化现有税种。例如，延续或扩大购房个人所得税专项附加扣除的额度与范围；统一并可能降低住房交易契税税率；简化土地增值税预征与清算流程，降低企业资金占用 [[37]][[38]][[39]]。这些措施旨在让市场交易更加顺畅。</w:t>
      </w:r>
    </w:p>
    <w:p w14:paraId="5DFF5D6D">
      <w:pPr>
        <w:numPr>
          <w:ilvl w:val="-1"/>
          <w:numId w:val="1"/>
        </w:numPr>
        <w:spacing w:after="400" w:line="400" w:lineRule="atLeast"/>
      </w:pPr>
      <w:r>
        <w:rPr>
          <w:b/>
        </w:rPr>
        <w:t>推进房地产税立法与试点，构建地方财政稳定器</w:t>
      </w:r>
      <w:r>
        <w:t>：尽管进程审慎，但建立完善的不动产持有环节税收制度，是房地产长效机制不可或缺的一环。未来十年，预计将在总结前期试点经验的基础上，稳步推进房地产税立法工作 [[40]][[41]]。其设计将充分考虑居民基本住房需求免税、采用差别化税率、给予地方一定自主权等原则，旨在调节财富分配、引导合理住房消费，并为地方政府提供稳定税源，减少对土地出让金的过度依赖。</w:t>
      </w:r>
    </w:p>
    <w:p w14:paraId="1F7AED49">
      <w:pPr>
        <w:numPr>
          <w:ilvl w:val="-1"/>
          <w:numId w:val="1"/>
        </w:numPr>
        <w:spacing w:after="400" w:line="400" w:lineRule="atLeast"/>
      </w:pPr>
      <w:r>
        <w:rPr>
          <w:b/>
        </w:rPr>
        <w:t>强化税收的绿色导向与产业激励</w:t>
      </w:r>
      <w:r>
        <w:t>：税收政策将与国家可持续发展战略紧密联动。对取得高星级绿色建筑标识、超低能耗建筑认证、大规模使用装配式技术的开发项目，可能给予明确的土地增值税、企业所得税或增值税优惠 [[42]][[43]][[44]]。对将存量商业、办公物业改造为租赁住房或养老设施的行为，也可能给予税收减免，鼓励存量资源优化利用。</w:t>
      </w:r>
    </w:p>
    <w:p w14:paraId="27EA2C29">
      <w:pPr>
        <w:spacing w:after="400" w:line="400" w:lineRule="atLeast"/>
      </w:pPr>
      <w:r>
        <w:rPr>
          <w:b/>
        </w:rPr>
        <w:t>3. 监管政策：从行政干预到规则治理与风险防控</w:t>
      </w:r>
    </w:p>
    <w:p w14:paraId="63D9CE7E">
      <w:pPr>
        <w:spacing w:after="400" w:line="400" w:lineRule="atLeast"/>
      </w:pPr>
      <w:r>
        <w:t>监管的核心目标是维护市场公平秩序、保护消费者权益、防范系统性金融风险。</w:t>
      </w:r>
    </w:p>
    <w:p w14:paraId="7731C1DF">
      <w:pPr>
        <w:numPr>
          <w:ilvl w:val="-1"/>
          <w:numId w:val="1"/>
        </w:numPr>
        <w:spacing w:after="400" w:line="400" w:lineRule="atLeast"/>
      </w:pPr>
      <w:r>
        <w:rPr>
          <w:b/>
        </w:rPr>
        <w:t>坚守“房住不炒”定位，完善预期管理机制</w:t>
      </w:r>
      <w:r>
        <w:t>：“房住不炒”将成为长期坚持的底线原则。监管将更多通过金融、税收等市场化手段进行调节，减少直接的行政限购、限价，但会保留并在必要时使用这些工具，以抑制投机炒作，稳定市场预期 [[45]][[46]][[47]]。</w:t>
      </w:r>
    </w:p>
    <w:p w14:paraId="66B591BF">
      <w:pPr>
        <w:numPr>
          <w:ilvl w:val="-1"/>
          <w:numId w:val="1"/>
        </w:numPr>
        <w:spacing w:after="400" w:line="400" w:lineRule="atLeast"/>
      </w:pPr>
      <w:r>
        <w:rPr>
          <w:b/>
        </w:rPr>
        <w:t>构建金融审慎管理制度，实施穿透式监管</w:t>
      </w:r>
      <w:r>
        <w:t>：将建立并完善房地产融资的全流程、穿透式监管体系。对房地产开发企业，将继续实施“三道红线”等资产负债约束规则的优化版本，并加强对预售资金的全链条闭环监管，全力保障项目竣工交付，维护购房者权益 [[48]][[49]]。对金融机构，则要求其房地产贷款集中度管理更加精细化，区别对待优质房企与困难房企，区别对待保障性住房项目与普通商品住宅项目。</w:t>
      </w:r>
    </w:p>
    <w:p w14:paraId="51C37D2B">
      <w:pPr>
        <w:numPr>
          <w:ilvl w:val="-1"/>
          <w:numId w:val="1"/>
        </w:numPr>
        <w:spacing w:after="400" w:line="400" w:lineRule="atLeast"/>
      </w:pPr>
      <w:r>
        <w:rPr>
          <w:b/>
        </w:rPr>
        <w:t>建立风险化解与处置长效机制</w:t>
      </w:r>
      <w:r>
        <w:t>：针对当前及未来可能出现的个别房企债务风险，国家将推动建立市场化和法治化的风险处置机制。这包括设立房地产纾困基金、鼓励优质企业并购出险项目、推动债务重组等。同时，</w:t>
      </w:r>
      <w:r>
        <w:rPr>
          <w:b/>
        </w:rPr>
        <w:t>“白名单”项目融资协调机制</w:t>
      </w:r>
      <w:r>
        <w:t>可能会常态化、制度化，确保那些资金暂时困难但资产优质、项目正常的住宅项目能够获得融资，完成建设，这是“保交楼”和稳定市场的关键举措 [[50]][[51]][[52]]。</w:t>
      </w:r>
    </w:p>
    <w:p w14:paraId="130C2B5D">
      <w:pPr>
        <w:numPr>
          <w:ilvl w:val="-1"/>
          <w:numId w:val="1"/>
        </w:numPr>
        <w:spacing w:after="400" w:line="400" w:lineRule="atLeast"/>
      </w:pPr>
      <w:r>
        <w:rPr>
          <w:b/>
        </w:rPr>
        <w:t>强化产品品质与绿色标准监管</w:t>
      </w:r>
      <w:r>
        <w:t>：监管范围将从交易市场延伸到产品本身。国家及行业标准（如绿色建筑评价标准、住宅性能认定标准）的强制性与执行力度将加强。对建筑材料环保性、建筑节能性能、住宅全装修质量等方面的监管将更加严格，倒逼企业提升产品力。</w:t>
      </w:r>
    </w:p>
    <w:p w14:paraId="09C30057">
      <w:pPr>
        <w:spacing w:after="400" w:line="400" w:lineRule="atLeast"/>
      </w:pPr>
      <w:r>
        <w:rPr>
          <w:b/>
        </w:rPr>
        <w:t>（二） 资金安排机制：构建多层次、可持续的融资生态</w:t>
      </w:r>
    </w:p>
    <w:p w14:paraId="429DEAB8">
      <w:pPr>
        <w:spacing w:after="400" w:line="400" w:lineRule="atLeast"/>
      </w:pPr>
      <w:r>
        <w:t>行业的转型需要巨额资金支持，尤其是从开发销售模式转向持有运营模式，对长期、低成本资金的需求急剧上升。国家将通过“财政+金融”的组合拳，引导社会资本形成支持行业可持续发展的资金池。</w:t>
      </w:r>
    </w:p>
    <w:p w14:paraId="6A43CB8D">
      <w:pPr>
        <w:spacing w:after="400" w:line="400" w:lineRule="atLeast"/>
      </w:pPr>
      <w:r>
        <w:rPr>
          <w:b/>
        </w:rPr>
        <w:t>1. 财政资金的引导与托底作用</w:t>
      </w:r>
    </w:p>
    <w:p w14:paraId="05CED39A">
      <w:pPr>
        <w:spacing w:after="400" w:line="400" w:lineRule="atLeast"/>
      </w:pPr>
      <w:r>
        <w:t>公共财政将在市场失灵或社会效益显著的领域发挥关键作用。</w:t>
      </w:r>
    </w:p>
    <w:p w14:paraId="611392A2">
      <w:pPr>
        <w:numPr>
          <w:ilvl w:val="-1"/>
          <w:numId w:val="1"/>
        </w:numPr>
        <w:spacing w:after="400" w:line="400" w:lineRule="atLeast"/>
      </w:pPr>
      <w:r>
        <w:rPr>
          <w:b/>
        </w:rPr>
        <w:t>直接投资与补贴</w:t>
      </w:r>
      <w:r>
        <w:t>：中央和地方财政将继续设立专项资金，用于支持城镇老旧小区改造、保障性住房（尤其是保障性租赁住房和公租房）的建设与运营补贴、城市更新中的基础设施配套等。这些投资不仅直接改善民生，也为市场释放了明确信号，带动社会资本跟进。</w:t>
      </w:r>
    </w:p>
    <w:p w14:paraId="686D6468">
      <w:pPr>
        <w:numPr>
          <w:ilvl w:val="-1"/>
          <w:numId w:val="1"/>
        </w:numPr>
        <w:spacing w:after="400" w:line="400" w:lineRule="atLeast"/>
      </w:pPr>
      <w:r>
        <w:rPr>
          <w:b/>
        </w:rPr>
        <w:t>政府投资平台与引导基金</w:t>
      </w:r>
      <w:r>
        <w:t>：各地政府可能会组建或强化专门的住房保障投资公司、城市更新基金等平台，以资本金注入、股权投资、委托代建等方式，撬动和整合社会资源，参与保障性住房和城市更新项目。</w:t>
      </w:r>
    </w:p>
    <w:p w14:paraId="02288D41">
      <w:pPr>
        <w:numPr>
          <w:ilvl w:val="-1"/>
          <w:numId w:val="1"/>
        </w:numPr>
        <w:spacing w:after="400" w:line="400" w:lineRule="atLeast"/>
      </w:pPr>
      <w:r>
        <w:rPr>
          <w:b/>
        </w:rPr>
        <w:t>政府采购与服务</w:t>
      </w:r>
      <w:r>
        <w:t>：在租赁住房领域，政府可通过“统租统管”、购买服务等方式，将市场房源转化为保障性租赁住房房源，既快速增加供给，也为市场化租赁企业提供了稳定的现金流预期。</w:t>
      </w:r>
    </w:p>
    <w:p w14:paraId="6E76F164">
      <w:pPr>
        <w:spacing w:after="400" w:line="400" w:lineRule="atLeast"/>
      </w:pPr>
      <w:r>
        <w:rPr>
          <w:b/>
        </w:rPr>
        <w:t>2. 绿色金融体系的主干支撑作用</w:t>
      </w:r>
    </w:p>
    <w:p w14:paraId="7821C7E3">
      <w:pPr>
        <w:spacing w:after="400" w:line="400" w:lineRule="atLeast"/>
      </w:pPr>
      <w:r>
        <w:t>绿色金融将是未来十年支持房地产可持续发展最核心的融资渠道。其工具多样，应用场景具体：</w:t>
      </w:r>
    </w:p>
    <w:p w14:paraId="4166897A">
      <w:pPr>
        <w:numPr>
          <w:ilvl w:val="-1"/>
          <w:numId w:val="1"/>
        </w:numPr>
        <w:spacing w:after="400" w:line="400" w:lineRule="atLeast"/>
      </w:pPr>
      <w:r>
        <w:rPr>
          <w:b/>
        </w:rPr>
        <w:t>绿色债券</w:t>
      </w:r>
      <w:r>
        <w:t>：房地产企业或相关平台可以发行绿色债券，募集资金专门用于符合规定标准的绿色建筑项目的开发建设、既有建筑的绿色节能改造、可再生能源建筑应用等 [[53]][[54]][[55]]。债券的“绿色”属性往往能吸引特定的负责任投资者，并可能获得更优惠的利率。</w:t>
      </w:r>
    </w:p>
    <w:p w14:paraId="2AFEEE75">
      <w:pPr>
        <w:numPr>
          <w:ilvl w:val="-1"/>
          <w:numId w:val="1"/>
        </w:numPr>
        <w:spacing w:after="400" w:line="400" w:lineRule="atLeast"/>
      </w:pPr>
      <w:r>
        <w:rPr>
          <w:b/>
        </w:rPr>
        <w:t>绿色贷款与可持续发展挂钩贷款（SLL）</w:t>
      </w:r>
      <w:r>
        <w:t>：商业银行可向开发或持有绿色建筑的房企提供</w:t>
      </w:r>
      <w:r>
        <w:rPr>
          <w:b/>
        </w:rPr>
        <w:t>绿色贷款</w:t>
      </w:r>
      <w:r>
        <w:t>，给予较低的利率 [[56]][[57]][[58]]。更具创新性的是</w:t>
      </w:r>
      <w:r>
        <w:rPr>
          <w:b/>
        </w:rPr>
        <w:t>可持续发展挂钩贷款（SLL）</w:t>
      </w:r>
      <w:r>
        <w:t>，其贷款利率与借款人约定的ESG绩效目标（如单位面积碳排放降低率、绿色建筑认证面积占比）直接挂钩。达成目标则利率下调，反之则可能上升，从而将企业的可持续发展努力与其融资成本紧密关联，形成强大激励 [[59]][[60]][[61]]。</w:t>
      </w:r>
    </w:p>
    <w:p w14:paraId="6461140D">
      <w:pPr>
        <w:numPr>
          <w:ilvl w:val="-1"/>
          <w:numId w:val="1"/>
        </w:numPr>
        <w:spacing w:after="400" w:line="400" w:lineRule="atLeast"/>
      </w:pPr>
      <w:r>
        <w:rPr>
          <w:b/>
        </w:rPr>
        <w:t>绿色资产证券化（ABS/REITs）</w:t>
      </w:r>
      <w:r>
        <w:t>：以持有型绿色物业（如绿色写字楼、购物中心、租赁社区）产生的稳定租金现金流为基础资产，发行</w:t>
      </w:r>
      <w:r>
        <w:rPr>
          <w:b/>
        </w:rPr>
        <w:t>绿色资产支持证券（ABS）</w:t>
      </w:r>
      <w:r>
        <w:t xml:space="preserve"> 或推动其在基础设施</w:t>
      </w:r>
      <w:r>
        <w:rPr>
          <w:b/>
        </w:rPr>
        <w:t>公募REITs</w:t>
      </w:r>
      <w:r>
        <w:t>市场上市 [[62]]。这为持有大量优质运营资产的企业提供了重要的退出渠道和盘活存量的工具，能极大鼓励企业从“开发销售”转向“开发-持有-运营”模式。未来，保障性租赁住房REITs的扩围将是重要看点。</w:t>
      </w:r>
    </w:p>
    <w:p w14:paraId="7EE6CCB9">
      <w:pPr>
        <w:numPr>
          <w:ilvl w:val="-1"/>
          <w:numId w:val="1"/>
        </w:numPr>
        <w:spacing w:after="400" w:line="400" w:lineRule="atLeast"/>
      </w:pPr>
      <w:r>
        <w:rPr>
          <w:b/>
        </w:rPr>
        <w:t>绿色保险与碳金融</w:t>
      </w:r>
      <w:r>
        <w:t>：保险公司可开发针对绿色建筑性能保证、节能效果保障的保险产品。同时，随着全国碳市场的完善，建筑领域若被纳入或通过创新方法学产生</w:t>
      </w:r>
      <w:r>
        <w:rPr>
          <w:b/>
        </w:rPr>
        <w:t>碳信用</w:t>
      </w:r>
      <w:r>
        <w:t>，其减排收益可成为项目额外的现金流，进一步改善项目经济模型 [[63]]。</w:t>
      </w:r>
    </w:p>
    <w:p w14:paraId="2CDB3E79">
      <w:pPr>
        <w:spacing w:after="400" w:line="400" w:lineRule="atLeast"/>
      </w:pPr>
      <w:r>
        <w:rPr>
          <w:b/>
        </w:rPr>
        <w:t>3. 多元化社会资本的广泛参与</w:t>
      </w:r>
    </w:p>
    <w:p w14:paraId="1EF06118">
      <w:pPr>
        <w:spacing w:after="400" w:line="400" w:lineRule="atLeast"/>
      </w:pPr>
      <w:r>
        <w:t>在政策和绿色金融的引导下，各类社会资本将找到参与房地产可持续发展的路径。</w:t>
      </w:r>
    </w:p>
    <w:p w14:paraId="0F4F075E">
      <w:pPr>
        <w:numPr>
          <w:ilvl w:val="-1"/>
          <w:numId w:val="1"/>
        </w:numPr>
        <w:spacing w:after="400" w:line="400" w:lineRule="atLeast"/>
      </w:pPr>
      <w:r>
        <w:rPr>
          <w:b/>
        </w:rPr>
        <w:t>保险、养老金等长期资本</w:t>
      </w:r>
      <w:r>
        <w:t>：其对长久期、稳定收益资产的需求，与运营良好的租赁住房、养老地产、产业园区等资产特性高度匹配。政策将鼓励这类资本通过股权投资、债权投资、参与REITs等多种方式进入市场。</w:t>
      </w:r>
    </w:p>
    <w:p w14:paraId="3AF77E1A">
      <w:pPr>
        <w:numPr>
          <w:ilvl w:val="-1"/>
          <w:numId w:val="1"/>
        </w:numPr>
        <w:spacing w:after="400" w:line="400" w:lineRule="atLeast"/>
      </w:pPr>
      <w:r>
        <w:rPr>
          <w:b/>
        </w:rPr>
        <w:t>私募股权与产业资本</w:t>
      </w:r>
      <w:r>
        <w:t>：将专注于城市更新、存量资产改造、租赁社区运营等细分领域，通过专业的资产管理能力创造价值。</w:t>
      </w:r>
    </w:p>
    <w:p w14:paraId="3424E039">
      <w:pPr>
        <w:numPr>
          <w:ilvl w:val="-1"/>
          <w:numId w:val="1"/>
        </w:numPr>
        <w:spacing w:after="400" w:line="400" w:lineRule="atLeast"/>
      </w:pPr>
      <w:r>
        <w:rPr>
          <w:b/>
        </w:rPr>
        <w:t>居民部门的理性配置</w:t>
      </w:r>
      <w:r>
        <w:t>：通过REITs等金融产品，普通投资者也能间接分享优质不动产的运营收益，使房地产投资从“炒房”转向金融产品投资，促进社会财富的健康发展。</w:t>
      </w:r>
    </w:p>
    <w:p w14:paraId="0A6D297C">
      <w:pPr>
        <w:spacing w:after="400" w:line="400" w:lineRule="atLeast"/>
      </w:pPr>
      <w:r>
        <w:rPr>
          <w:b/>
        </w:rPr>
        <w:t>（三） 战略方向引导：与国家宏观战略深度融合</w:t>
      </w:r>
    </w:p>
    <w:p w14:paraId="223DCDEB">
      <w:pPr>
        <w:spacing w:after="400" w:line="400" w:lineRule="atLeast"/>
      </w:pPr>
      <w:r>
        <w:t>国家将不再孤立地看待房地产行业，而是将其发展深度融入国家整体现代化建设的蓝图之中，使其成为服务重大战略的基础性平台。</w:t>
      </w:r>
    </w:p>
    <w:p w14:paraId="19AF872B">
      <w:pPr>
        <w:spacing w:after="400" w:line="400" w:lineRule="atLeast"/>
      </w:pPr>
      <w:r>
        <w:rPr>
          <w:b/>
        </w:rPr>
        <w:t>1. 深度融入“双碳”战略，成为减排主力军</w:t>
      </w:r>
    </w:p>
    <w:p w14:paraId="404CB030">
      <w:pPr>
        <w:spacing w:after="400" w:line="400" w:lineRule="atLeast"/>
      </w:pPr>
      <w:r>
        <w:t>房地产建筑业的减排成效，直接关系到国家“双碳”目标的实现。未来，国家将出台建筑领域碳达峰专项行动方案，设定分阶段、分类型的碳排放强度下降目标。通过强制标准、激励政策、碳市场机制等，引导行业全面拥抱绿色建造和绿色运营，使“绿色”从加分项变为必选项。房地产行业将从过去的“耗能大户”，转型为通过节能改造、分布式能源应用、智慧管理等手段的“产能单元”或“灵活负荷”，助力新型能源体系建设。</w:t>
      </w:r>
    </w:p>
    <w:p w14:paraId="4C4E1D4A">
      <w:pPr>
        <w:spacing w:after="400" w:line="400" w:lineRule="atLeast"/>
      </w:pPr>
      <w:r>
        <w:rPr>
          <w:b/>
        </w:rPr>
        <w:t>2. 服务“以人为核心”的新型城镇化，提供高品质空间载体</w:t>
      </w:r>
    </w:p>
    <w:p w14:paraId="649E5681">
      <w:pPr>
        <w:spacing w:after="400" w:line="400" w:lineRule="atLeast"/>
      </w:pPr>
      <w:r>
        <w:t>中国城镇化仍处于深化期，但重点从速度转向质量。房地产行业需适应这一变化：</w:t>
      </w:r>
    </w:p>
    <w:p w14:paraId="06B8A782">
      <w:pPr>
        <w:numPr>
          <w:ilvl w:val="-1"/>
          <w:numId w:val="1"/>
        </w:numPr>
        <w:spacing w:after="400" w:line="400" w:lineRule="atLeast"/>
      </w:pPr>
      <w:r>
        <w:rPr>
          <w:b/>
        </w:rPr>
        <w:t>支撑城市群与都市圈建设</w:t>
      </w:r>
      <w:r>
        <w:t>：在京津冀、长三角、粤港澳大湾区等核心城市群，房地产发展需与轨道交通、产业布局、公共服务网络同步规划，开发TOD（以公共交通为导向的开发）模式项目，建设职住平衡、功能复合的综合性社区。</w:t>
      </w:r>
    </w:p>
    <w:p w14:paraId="09E725C8">
      <w:pPr>
        <w:numPr>
          <w:ilvl w:val="-1"/>
          <w:numId w:val="1"/>
        </w:numPr>
        <w:spacing w:after="400" w:line="400" w:lineRule="atLeast"/>
      </w:pPr>
      <w:r>
        <w:rPr>
          <w:b/>
        </w:rPr>
        <w:t>助力县城提质与乡村振兴</w:t>
      </w:r>
      <w:r>
        <w:t>：在县域层面，房地产发展需与县城基础设施补短板、公共服务提升相结合，建设适宜本地居民改善需求和返乡人口安居的住宅产品，并探索与乡村旅游、康养、特色产业结合的特色地产模式。</w:t>
      </w:r>
    </w:p>
    <w:p w14:paraId="170EB4BE">
      <w:pPr>
        <w:numPr>
          <w:ilvl w:val="-1"/>
          <w:numId w:val="1"/>
        </w:numPr>
        <w:spacing w:after="400" w:line="400" w:lineRule="atLeast"/>
      </w:pPr>
      <w:r>
        <w:rPr>
          <w:b/>
        </w:rPr>
        <w:t>聚焦“一老一小”，完善社区功能</w:t>
      </w:r>
      <w:r>
        <w:t>：响应人口结构变化，国家将引导房地产与养老服务、托育服务深度融合。鼓励开发建设适老化住宅、养老社区，在普通住宅小区配建养老、托育设施，使房地产项目成为全龄友好型社会的基础单元。</w:t>
      </w:r>
    </w:p>
    <w:p w14:paraId="7257A2D1">
      <w:pPr>
        <w:spacing w:after="400" w:line="400" w:lineRule="atLeast"/>
      </w:pPr>
      <w:r>
        <w:rPr>
          <w:b/>
        </w:rPr>
        <w:t>3. 拥抱“数字中国”战略，打造智慧建筑与智慧社区</w:t>
      </w:r>
    </w:p>
    <w:p w14:paraId="64F6B989">
      <w:pPr>
        <w:spacing w:after="400" w:line="400" w:lineRule="atLeast"/>
      </w:pPr>
      <w:r>
        <w:t>房地产是数字技术落地应用的重要场景。国家将鼓励智慧建筑标准体系建设，推动BIM、物联网、人工智能、5G等技术在建筑设计、施工、运维全过程的集成应用。未来的建筑不仅是物理空间，更是数据生成端和智慧服务节点。智慧社区的建设将提升基层治理效能，增强居民的安全感、便利感和归属感。</w:t>
      </w:r>
    </w:p>
    <w:p w14:paraId="62662F0C">
      <w:pPr>
        <w:spacing w:after="400" w:line="400" w:lineRule="atLeast"/>
      </w:pPr>
      <w:r>
        <w:rPr>
          <w:b/>
        </w:rPr>
        <w:t>4. 夯实“民生保障”底线，构建住房供应新体系</w:t>
      </w:r>
    </w:p>
    <w:p w14:paraId="66BB9D9E">
      <w:pPr>
        <w:spacing w:after="400" w:line="400" w:lineRule="atLeast"/>
      </w:pPr>
      <w:r>
        <w:t>这是房地产行业回归居住属性、体现社会价值的核心。国家将推动建立“多主体供给、多渠道保障、租购并举”的住房制度。在这一体系中，市场化商品住房满足多样化、改善性需求；保障性租赁住房重点解决新市民、青年人的阶段性住房困难；公租房面向城镇户籍低收入住房困难家庭；共有产权住房则提供一种介于二者之间的选择。房地产企业将被鼓励和引导参与保障性住房的建设与运营，这不仅是一项社会责任，也是一个规模巨大、现金流稳定的新业务赛道。</w:t>
      </w:r>
    </w:p>
    <w:p w14:paraId="14553E15">
      <w:pPr>
        <w:spacing w:after="400" w:line="400" w:lineRule="atLeast"/>
      </w:pPr>
      <w:r>
        <w:rPr>
          <w:b/>
          <w:sz w:val="26"/>
        </w:rPr>
        <w:t>四、 总结与展望</w:t>
      </w:r>
    </w:p>
    <w:p w14:paraId="26DBF257">
      <w:pPr>
        <w:spacing w:after="400" w:line="400" w:lineRule="atLeast"/>
      </w:pPr>
      <w:r>
        <w:t>展望2026至2035年这关键的十年，中国房地产行业将经历一场从发展理念、商业模式到产品形态的全面深刻变革。驱动这场变革的力量是多元且强大的：它源于全球与国家对气候变化严峻挑战的回应，源于资本市场对长期价值与风险的重估，源于技术创新带来的效率革命与可能性拓展，源于行业自身从青春期步入成熟期的内生调整需求，也源于社会公众对更健康、更公平、更美好生活空间的普遍向往。</w:t>
      </w:r>
    </w:p>
    <w:p w14:paraId="34153DA5">
      <w:pPr>
        <w:spacing w:after="400" w:line="400" w:lineRule="atLeast"/>
      </w:pPr>
      <w:r>
        <w:t>面对这场必然的转型，国家的角色并非替代市场，而是通过构建一个更加成熟、稳定、富有远见的宏观支持体系，为行业的平稳过渡和高质量发展“铺路架桥”、“疏浚航道”。这个体系以</w:t>
      </w:r>
      <w:r>
        <w:rPr>
          <w:b/>
        </w:rPr>
        <w:t>精细化、差异化的长效政策</w:t>
      </w:r>
      <w:r>
        <w:t>为基础，旨在建立明确、稳定的市场规则，防范系统性风险；以</w:t>
      </w:r>
      <w:r>
        <w:rPr>
          <w:b/>
        </w:rPr>
        <w:t>多层次、导向明确的资金安排</w:t>
      </w:r>
      <w:r>
        <w:t>为血脉，通过财政引导和绿色金融创新，将社会资本精准引向可持续发展的关键领域；以</w:t>
      </w:r>
      <w:r>
        <w:rPr>
          <w:b/>
        </w:rPr>
        <w:t>与国家重大战略的深度融合</w:t>
      </w:r>
      <w:r>
        <w:t>为方向，使房地产行业的发展与“双碳”目标、新型城镇化、数字中国、民生保障等国家长远蓝图同频共振。</w:t>
      </w:r>
    </w:p>
    <w:p w14:paraId="79B9DCDE">
      <w:pPr>
        <w:spacing w:after="400" w:line="400" w:lineRule="atLeast"/>
      </w:pPr>
      <w:r>
        <w:t>因此，未来十年房地产行业的“稳”与“好”，将不再简单体现为销售面积和金额的持续增长，而将更多体现为：</w:t>
      </w:r>
    </w:p>
    <w:p w14:paraId="2C36B54C">
      <w:pPr>
        <w:numPr>
          <w:ilvl w:val="-1"/>
          <w:numId w:val="1"/>
        </w:numPr>
        <w:spacing w:after="400" w:line="400" w:lineRule="atLeast"/>
      </w:pPr>
      <w:r>
        <w:rPr>
          <w:b/>
        </w:rPr>
        <w:t>结构的均衡</w:t>
      </w:r>
      <w:r>
        <w:t>：销售市场与租赁市场并重，商品住房与保障性住房协同发展。</w:t>
      </w:r>
    </w:p>
    <w:p w14:paraId="555AB72A">
      <w:pPr>
        <w:numPr>
          <w:ilvl w:val="-1"/>
          <w:numId w:val="1"/>
        </w:numPr>
        <w:spacing w:after="400" w:line="400" w:lineRule="atLeast"/>
      </w:pPr>
      <w:r>
        <w:rPr>
          <w:b/>
        </w:rPr>
        <w:t>模式的健康</w:t>
      </w:r>
      <w:r>
        <w:t>：企业财务杠杆回归理性，依赖专业运营和服务创造真实价值。</w:t>
      </w:r>
    </w:p>
    <w:p w14:paraId="5030AFA1">
      <w:pPr>
        <w:numPr>
          <w:ilvl w:val="-1"/>
          <w:numId w:val="1"/>
        </w:numPr>
        <w:spacing w:after="400" w:line="400" w:lineRule="atLeast"/>
      </w:pPr>
      <w:r>
        <w:rPr>
          <w:b/>
        </w:rPr>
        <w:t>产品的优质</w:t>
      </w:r>
      <w:r>
        <w:t>：绿色、智能、健康、适老成为住宅和商业空间的标配。</w:t>
      </w:r>
    </w:p>
    <w:p w14:paraId="2381D73D">
      <w:pPr>
        <w:numPr>
          <w:ilvl w:val="-1"/>
          <w:numId w:val="1"/>
        </w:numPr>
        <w:spacing w:after="400" w:line="400" w:lineRule="atLeast"/>
      </w:pPr>
      <w:r>
        <w:rPr>
          <w:b/>
        </w:rPr>
        <w:t>贡献的多元</w:t>
      </w:r>
      <w:r>
        <w:t>：行业在创造经济价值的同时，显著贡献于节能减排、社会融合与城市活力。</w:t>
      </w:r>
    </w:p>
    <w:p w14:paraId="2EACAA4C">
      <w:pPr>
        <w:spacing w:after="400" w:line="400" w:lineRule="atLeast"/>
      </w:pPr>
      <w:r>
        <w:t>这是一个充满挑战但也孕育着巨大机遇的十年。那些能够深刻理解并主动顺应可持续发展浪潮，积极拥抱国家战略引导，并苦练内功、提升产品力与运营力的企业，将在这场行业大洗牌中脱颖而出，引领中国房地产行业走向一个更加有序、良性、可持续的新时代。对于国家而言，成功引导并实现这一转型，不仅是经济结构优化升级的重要一环，更是兑现对人民美好生活承诺、建设人与自然和谐共生现代化的关键一步。</w:t>
      </w:r>
    </w:p>
    <w:p w14:paraId="22DC2F55">
      <w:pPr>
        <w:pStyle w:val="3"/>
        <w:spacing w:after="400" w:line="400" w:lineRule="atLeast"/>
      </w:pPr>
      <w:r>
        <w:t>文献来源</w:t>
      </w:r>
    </w:p>
    <w:p w14:paraId="1431E8E6">
      <w:pPr>
        <w:spacing w:after="400" w:line="400" w:lineRule="atLeast"/>
      </w:pPr>
      <w:r>
        <w:rPr>
          <w:i/>
        </w:rPr>
        <w:t>以下来源未被直接引用</w:t>
      </w:r>
    </w:p>
    <w:p w14:paraId="43B2F9A4">
      <w:pPr>
        <w:spacing w:after="200" w:line="400" w:lineRule="atLeast"/>
      </w:pPr>
      <w:r>
        <w:fldChar w:fldCharType="begin"/>
      </w:r>
      <w:r>
        <w:instrText xml:space="preserve"> HYPERLINK "https://doi.org/10.4135/9781071878781" \h </w:instrText>
      </w:r>
      <w:r>
        <w:fldChar w:fldCharType="separate"/>
      </w:r>
      <w:r>
        <w:rPr>
          <w:rStyle w:val="13"/>
          <w:color w:val="0563C1"/>
        </w:rPr>
        <w:t>Content Analysis: An Introduction to Its Methodology</w:t>
      </w:r>
      <w:r>
        <w:rPr>
          <w:rStyle w:val="13"/>
          <w:color w:val="0563C1"/>
        </w:rPr>
        <w:fldChar w:fldCharType="end"/>
      </w:r>
    </w:p>
    <w:p w14:paraId="0CDC6717">
      <w:pPr>
        <w:spacing w:after="200" w:line="400" w:lineRule="atLeast"/>
      </w:pPr>
      <w:r>
        <w:fldChar w:fldCharType="begin"/>
      </w:r>
      <w:r>
        <w:instrText xml:space="preserve"> HYPERLINK "https://doi.org/10.1177/1049732305276687" \h </w:instrText>
      </w:r>
      <w:r>
        <w:fldChar w:fldCharType="separate"/>
      </w:r>
      <w:r>
        <w:rPr>
          <w:rStyle w:val="13"/>
          <w:color w:val="0563C1"/>
        </w:rPr>
        <w:t>Three Approaches to Qualitative Content Analysis</w:t>
      </w:r>
      <w:r>
        <w:rPr>
          <w:rStyle w:val="13"/>
          <w:color w:val="0563C1"/>
        </w:rPr>
        <w:fldChar w:fldCharType="end"/>
      </w:r>
    </w:p>
    <w:p w14:paraId="7E73D6D7">
      <w:pPr>
        <w:pStyle w:val="3"/>
        <w:spacing w:after="400" w:line="400" w:lineRule="atLeast"/>
      </w:pPr>
      <w:r>
        <w:t>其他来源</w:t>
      </w:r>
    </w:p>
    <w:p w14:paraId="6848312A">
      <w:pPr>
        <w:spacing w:after="200" w:line="400" w:lineRule="atLeast"/>
      </w:pPr>
      <w:r>
        <w:fldChar w:fldCharType="begin"/>
      </w:r>
      <w:r>
        <w:instrText xml:space="preserve"> HYPERLINK "https://www.wellsfargo.com/assets/pdf/cib/sustainability-vs-esg.pdf" \h </w:instrText>
      </w:r>
      <w:r>
        <w:fldChar w:fldCharType="separate"/>
      </w:r>
      <w:r>
        <w:rPr>
          <w:rStyle w:val="13"/>
          <w:color w:val="0563C1"/>
        </w:rPr>
        <w:t>[1,5,8,22,87,92,98,113]. Top 10 Sustainability Trends for 2023</w:t>
      </w:r>
      <w:r>
        <w:rPr>
          <w:rStyle w:val="13"/>
          <w:color w:val="0563C1"/>
        </w:rPr>
        <w:fldChar w:fldCharType="end"/>
      </w:r>
    </w:p>
    <w:p w14:paraId="6B26B749">
      <w:pPr>
        <w:spacing w:after="200" w:line="400" w:lineRule="atLeast"/>
      </w:pPr>
      <w:r>
        <w:fldChar w:fldCharType="begin"/>
      </w:r>
      <w:r>
        <w:instrText xml:space="preserve"> HYPERLINK "https://instituteofsustainabilitystudies.com/insights/guides/real-estate-sustainability-how-the-industry-can-go-green/" \h </w:instrText>
      </w:r>
      <w:r>
        <w:fldChar w:fldCharType="separate"/>
      </w:r>
      <w:r>
        <w:rPr>
          <w:rStyle w:val="13"/>
          <w:color w:val="0563C1"/>
        </w:rPr>
        <w:t>[2,6,9,23,88,93,99,114]. The real estate industry is at the forefront of global sustainability efforts</w:t>
      </w:r>
      <w:r>
        <w:rPr>
          <w:rStyle w:val="13"/>
          <w:color w:val="0563C1"/>
        </w:rPr>
        <w:fldChar w:fldCharType="end"/>
      </w:r>
    </w:p>
    <w:p w14:paraId="2E731872">
      <w:pPr>
        <w:spacing w:after="200" w:line="400" w:lineRule="atLeast"/>
      </w:pPr>
      <w:r>
        <w:fldChar w:fldCharType="begin"/>
      </w:r>
      <w:r>
        <w:instrText xml:space="preserve"> HYPERLINK "http://finance.sina.com.cn/tech/2021-07-19/doc-ikqcfnca7693641.shtml" \h </w:instrText>
      </w:r>
      <w:r>
        <w:fldChar w:fldCharType="separate"/>
      </w:r>
      <w:r>
        <w:rPr>
          <w:rStyle w:val="13"/>
          <w:color w:val="0563C1"/>
        </w:rPr>
        <w:t>[3,89]. 首钢园六工汇助力2021碳达峰碳中和国际论坛圆满落幕</w:t>
      </w:r>
      <w:r>
        <w:rPr>
          <w:rStyle w:val="13"/>
          <w:color w:val="0563C1"/>
        </w:rPr>
        <w:fldChar w:fldCharType="end"/>
      </w:r>
    </w:p>
    <w:p w14:paraId="4F12881E">
      <w:pPr>
        <w:spacing w:after="200" w:line="400" w:lineRule="atLeast"/>
      </w:pPr>
      <w:r>
        <w:fldChar w:fldCharType="begin"/>
      </w:r>
      <w:r>
        <w:instrText xml:space="preserve"> HYPERLINK "https://www.inrev.org/news/inrev-news/esg-action-four-new-case-studies" \h </w:instrText>
      </w:r>
      <w:r>
        <w:fldChar w:fldCharType="separate"/>
      </w:r>
      <w:r>
        <w:rPr>
          <w:rStyle w:val="13"/>
          <w:color w:val="0563C1"/>
        </w:rPr>
        <w:t>[4,91]. Sustainability and social responsibility are becoming core drivers of real estate investment</w:t>
      </w:r>
      <w:r>
        <w:rPr>
          <w:rStyle w:val="13"/>
          <w:color w:val="0563C1"/>
        </w:rPr>
        <w:fldChar w:fldCharType="end"/>
      </w:r>
    </w:p>
    <w:p w14:paraId="1B5526A6">
      <w:pPr>
        <w:spacing w:after="200" w:line="400" w:lineRule="atLeast"/>
      </w:pPr>
      <w:r>
        <w:fldChar w:fldCharType="begin"/>
      </w:r>
      <w:r>
        <w:instrText xml:space="preserve"> HYPERLINK "https://files.metaso.cn/api/public-file/preview?fileName=8673591366788587520.pdf" \h </w:instrText>
      </w:r>
      <w:r>
        <w:fldChar w:fldCharType="separate"/>
      </w:r>
      <w:r>
        <w:rPr>
          <w:rStyle w:val="13"/>
          <w:color w:val="0563C1"/>
        </w:rPr>
        <w:t>[7,90,94]. [240725] 11.350 Lecture 11_ Policy as a Game Changer for Sustainable Real Estate.md</w:t>
      </w:r>
      <w:r>
        <w:rPr>
          <w:rStyle w:val="13"/>
          <w:color w:val="0563C1"/>
        </w:rPr>
        <w:fldChar w:fldCharType="end"/>
      </w:r>
    </w:p>
    <w:p w14:paraId="23B8F748">
      <w:pPr>
        <w:spacing w:after="200" w:line="400" w:lineRule="atLeast"/>
      </w:pPr>
      <w:r>
        <w:fldChar w:fldCharType="begin"/>
      </w:r>
      <w:r>
        <w:instrText xml:space="preserve"> HYPERLINK "https://www.morganstanley.com/im/publication/insights/articles/article_climatechangeishere_a4.pdf" \h </w:instrText>
      </w:r>
      <w:r>
        <w:fldChar w:fldCharType="separate"/>
      </w:r>
      <w:r>
        <w:rPr>
          <w:rStyle w:val="13"/>
          <w:color w:val="0563C1"/>
        </w:rPr>
        <w:t>[10,11,12,100,101,102]. Climate Change Is Here... And So Is the Need to Embrace Sustainability in Real Estate</w:t>
      </w:r>
      <w:r>
        <w:rPr>
          <w:rStyle w:val="13"/>
          <w:color w:val="0563C1"/>
        </w:rPr>
        <w:fldChar w:fldCharType="end"/>
      </w:r>
    </w:p>
    <w:p w14:paraId="4F971301">
      <w:pPr>
        <w:spacing w:after="200" w:line="400" w:lineRule="atLeast"/>
      </w:pPr>
      <w:r>
        <w:fldChar w:fldCharType="begin"/>
      </w:r>
      <w:r>
        <w:instrText xml:space="preserve"> HYPERLINK "https://new.qq.com/rain/a/20230612A01GLE00.html" \h </w:instrText>
      </w:r>
      <w:r>
        <w:fldChar w:fldCharType="separate"/>
      </w:r>
      <w:r>
        <w:rPr>
          <w:rStyle w:val="13"/>
          <w:color w:val="0563C1"/>
        </w:rPr>
        <w:t>[13,110]. 房企布局可持续成趋势</w:t>
      </w:r>
      <w:r>
        <w:rPr>
          <w:rStyle w:val="13"/>
          <w:color w:val="0563C1"/>
        </w:rPr>
        <w:fldChar w:fldCharType="end"/>
      </w:r>
    </w:p>
    <w:p w14:paraId="58A25187">
      <w:pPr>
        <w:spacing w:after="200" w:line="400" w:lineRule="atLeast"/>
      </w:pPr>
      <w:r>
        <w:fldChar w:fldCharType="begin"/>
      </w:r>
      <w:r>
        <w:instrText xml:space="preserve"> HYPERLINK "https://files.metaso.cn/api/public-file/preview?fileName=8682693544762699776.pdf" \h </w:instrText>
      </w:r>
      <w:r>
        <w:fldChar w:fldCharType="separate"/>
      </w:r>
      <w:r>
        <w:rPr>
          <w:rStyle w:val="13"/>
          <w:color w:val="0563C1"/>
        </w:rPr>
        <w:t>[14,111]. 房地产企业 应对气候变化行动指南</w:t>
      </w:r>
      <w:r>
        <w:rPr>
          <w:rStyle w:val="13"/>
          <w:color w:val="0563C1"/>
        </w:rPr>
        <w:fldChar w:fldCharType="end"/>
      </w:r>
    </w:p>
    <w:p w14:paraId="06E38164">
      <w:pPr>
        <w:spacing w:after="200" w:line="400" w:lineRule="atLeast"/>
      </w:pPr>
      <w:r>
        <w:fldChar w:fldCharType="begin"/>
      </w:r>
      <w:r>
        <w:instrText xml:space="preserve"> HYPERLINK "https://finance.sina.cn/2023-08-21/detail-imzhxswf2676118.d.html" \h </w:instrText>
      </w:r>
      <w:r>
        <w:fldChar w:fldCharType="separate"/>
      </w:r>
      <w:r>
        <w:rPr>
          <w:rStyle w:val="13"/>
          <w:color w:val="0563C1"/>
        </w:rPr>
        <w:t>[15,17,104,105,112]. 房地产业如何低碳可持续发展？科技这样赋能</w:t>
      </w:r>
      <w:r>
        <w:rPr>
          <w:rStyle w:val="13"/>
          <w:color w:val="0563C1"/>
        </w:rPr>
        <w:fldChar w:fldCharType="end"/>
      </w:r>
    </w:p>
    <w:p w14:paraId="39B19985">
      <w:pPr>
        <w:spacing w:after="200" w:line="400" w:lineRule="atLeast"/>
      </w:pPr>
      <w:r>
        <w:fldChar w:fldCharType="begin"/>
      </w:r>
      <w:r>
        <w:instrText xml:space="preserve"> HYPERLINK "https://www.163.com/dy/article/JAGQ85SE05352LE9.html" \h </w:instrText>
      </w:r>
      <w:r>
        <w:fldChar w:fldCharType="separate"/>
      </w:r>
      <w:r>
        <w:rPr>
          <w:rStyle w:val="13"/>
          <w:color w:val="0563C1"/>
        </w:rPr>
        <w:t>[16,103]. 这场变革对企业而言已非选择题，而是关乎生存与发展的必答题。</w:t>
      </w:r>
      <w:r>
        <w:rPr>
          <w:rStyle w:val="13"/>
          <w:color w:val="0563C1"/>
        </w:rPr>
        <w:fldChar w:fldCharType="end"/>
      </w:r>
    </w:p>
    <w:p w14:paraId="410431B2">
      <w:pPr>
        <w:spacing w:after="200" w:line="400" w:lineRule="atLeast"/>
      </w:pPr>
      <w:r>
        <w:fldChar w:fldCharType="begin"/>
      </w:r>
      <w:r>
        <w:instrText xml:space="preserve"> HYPERLINK "https://xueqiu.com/6678388456/347942529" \h </w:instrText>
      </w:r>
      <w:r>
        <w:fldChar w:fldCharType="separate"/>
      </w:r>
      <w:r>
        <w:rPr>
          <w:rStyle w:val="13"/>
          <w:color w:val="0563C1"/>
        </w:rPr>
        <w:t>[18,24,107,115]. 信心是推动房地产行业持续向前的核心力量</w:t>
      </w:r>
      <w:r>
        <w:rPr>
          <w:rStyle w:val="13"/>
          <w:color w:val="0563C1"/>
        </w:rPr>
        <w:fldChar w:fldCharType="end"/>
      </w:r>
    </w:p>
    <w:p w14:paraId="7EEB92AF">
      <w:pPr>
        <w:spacing w:after="200" w:line="400" w:lineRule="atLeast"/>
      </w:pPr>
      <w:r>
        <w:fldChar w:fldCharType="begin"/>
      </w:r>
      <w:r>
        <w:instrText xml:space="preserve"> HYPERLINK "https://files.metaso.cn/api/public-file/preview?fileName=8682693667372167168.pdf" \h </w:instrText>
      </w:r>
      <w:r>
        <w:fldChar w:fldCharType="separate"/>
      </w:r>
      <w:r>
        <w:rPr>
          <w:rStyle w:val="13"/>
          <w:color w:val="0563C1"/>
        </w:rPr>
        <w:t>[19,20,108,109]. 房地产行业专题报告：如何理解四中全会“推动地产高质量发展”表述？</w:t>
      </w:r>
      <w:r>
        <w:rPr>
          <w:rStyle w:val="13"/>
          <w:color w:val="0563C1"/>
        </w:rPr>
        <w:fldChar w:fldCharType="end"/>
      </w:r>
    </w:p>
    <w:p w14:paraId="7479921A">
      <w:pPr>
        <w:spacing w:after="200" w:line="400" w:lineRule="atLeast"/>
      </w:pPr>
      <w:r>
        <w:fldChar w:fldCharType="begin"/>
      </w:r>
      <w:r>
        <w:instrText xml:space="preserve"> HYPERLINK "https://2050.se/wp-content/uploads/2025/10/2050_Fastighetsbranschens-affarsnytta_sep2025-1.pdf" \h </w:instrText>
      </w:r>
      <w:r>
        <w:fldChar w:fldCharType="separate"/>
      </w:r>
      <w:r>
        <w:rPr>
          <w:rStyle w:val="13"/>
          <w:color w:val="0563C1"/>
        </w:rPr>
        <w:t>[21,106]. Hållbarhet i fastighetsbranschen – nödvändigt ont eller strategisk affärsnytta?</w:t>
      </w:r>
      <w:r>
        <w:rPr>
          <w:rStyle w:val="13"/>
          <w:color w:val="0563C1"/>
        </w:rPr>
        <w:fldChar w:fldCharType="end"/>
      </w:r>
    </w:p>
    <w:p w14:paraId="5CA0169F">
      <w:pPr>
        <w:spacing w:after="200" w:line="400" w:lineRule="atLeast"/>
      </w:pPr>
      <w:r>
        <w:fldChar w:fldCharType="begin"/>
      </w:r>
      <w:r>
        <w:instrText xml:space="preserve"> HYPERLINK "https://files.metaso.cn/api/public-file/preview?fileName=8682693857555279872.pdf" \h </w:instrText>
      </w:r>
      <w:r>
        <w:fldChar w:fldCharType="separate"/>
      </w:r>
      <w:r>
        <w:rPr>
          <w:rStyle w:val="13"/>
          <w:color w:val="0563C1"/>
        </w:rPr>
        <w:t>[25,29,32,33,43,95,116,120,128,131]. 2025 年 中国房地产开发行业 市场洞察报告</w:t>
      </w:r>
      <w:r>
        <w:rPr>
          <w:rStyle w:val="13"/>
          <w:color w:val="0563C1"/>
        </w:rPr>
        <w:fldChar w:fldCharType="end"/>
      </w:r>
    </w:p>
    <w:p w14:paraId="383FBDCE">
      <w:pPr>
        <w:spacing w:after="200" w:line="400" w:lineRule="atLeast"/>
      </w:pPr>
      <w:r>
        <w:fldChar w:fldCharType="begin"/>
      </w:r>
      <w:r>
        <w:instrText xml:space="preserve"> HYPERLINK "https://files.metaso.cn/api/public-file/preview?fileName=8688817334442016768.pdf" \h </w:instrText>
      </w:r>
      <w:r>
        <w:fldChar w:fldCharType="separate"/>
      </w:r>
      <w:r>
        <w:rPr>
          <w:rStyle w:val="13"/>
          <w:color w:val="0563C1"/>
        </w:rPr>
        <w:t>[26,46,49,117,121,136]. 调结构待转型，提质量新发展 —— 房地产开发 2026 年度策略</w:t>
      </w:r>
      <w:r>
        <w:rPr>
          <w:rStyle w:val="13"/>
          <w:color w:val="0563C1"/>
        </w:rPr>
        <w:fldChar w:fldCharType="end"/>
      </w:r>
    </w:p>
    <w:p w14:paraId="3D9CBCFB">
      <w:pPr>
        <w:spacing w:after="200" w:line="400" w:lineRule="atLeast"/>
      </w:pPr>
      <w:r>
        <w:fldChar w:fldCharType="begin"/>
      </w:r>
      <w:r>
        <w:instrText xml:space="preserve"> HYPERLINK "https://files.metaso.cn/api/public-file/preview?fileName=8688749440060887040.pdf" \h </w:instrText>
      </w:r>
      <w:r>
        <w:fldChar w:fldCharType="separate"/>
      </w:r>
      <w:r>
        <w:rPr>
          <w:rStyle w:val="13"/>
          <w:color w:val="0563C1"/>
        </w:rPr>
        <w:t>[27,40,48,50,52,118,125,134,138]. 地产止跌企稳，估值修复可期——地产行业2025年度投资策略</w:t>
      </w:r>
      <w:r>
        <w:rPr>
          <w:rStyle w:val="13"/>
          <w:color w:val="0563C1"/>
        </w:rPr>
        <w:fldChar w:fldCharType="end"/>
      </w:r>
    </w:p>
    <w:p w14:paraId="47F9E8B3">
      <w:pPr>
        <w:spacing w:after="200" w:line="400" w:lineRule="atLeast"/>
      </w:pPr>
      <w:r>
        <w:fldChar w:fldCharType="begin"/>
      </w:r>
      <w:r>
        <w:instrText xml:space="preserve"> HYPERLINK "https://files.metaso.cn/api/public-file/preview?fileName=8688749441950683136.pdf" \h </w:instrText>
      </w:r>
      <w:r>
        <w:fldChar w:fldCharType="separate"/>
      </w:r>
      <w:r>
        <w:rPr>
          <w:rStyle w:val="13"/>
          <w:color w:val="0563C1"/>
        </w:rPr>
        <w:t>[28,119]. 房地产行业 2025 年投资策略：风雷一朝至，长舒万里怀</w:t>
      </w:r>
      <w:r>
        <w:rPr>
          <w:rStyle w:val="13"/>
          <w:color w:val="0563C1"/>
        </w:rPr>
        <w:fldChar w:fldCharType="end"/>
      </w:r>
    </w:p>
    <w:p w14:paraId="59285399">
      <w:pPr>
        <w:spacing w:after="200" w:line="400" w:lineRule="atLeast"/>
      </w:pPr>
      <w:r>
        <w:fldChar w:fldCharType="begin"/>
      </w:r>
      <w:r>
        <w:instrText xml:space="preserve"> HYPERLINK "https://files.metaso.cn/api/public-file/preview?fileName=8667055087180365824.pdf" \h </w:instrText>
      </w:r>
      <w:r>
        <w:fldChar w:fldCharType="separate"/>
      </w:r>
      <w:r>
        <w:rPr>
          <w:rStyle w:val="13"/>
          <w:color w:val="0563C1"/>
        </w:rPr>
        <w:t>[30]. 风云（中国第一本企业家自传）</w:t>
      </w:r>
      <w:r>
        <w:rPr>
          <w:rStyle w:val="13"/>
          <w:color w:val="0563C1"/>
        </w:rPr>
        <w:fldChar w:fldCharType="end"/>
      </w:r>
    </w:p>
    <w:p w14:paraId="36B27F42">
      <w:pPr>
        <w:spacing w:after="200" w:line="400" w:lineRule="atLeast"/>
      </w:pPr>
      <w:r>
        <w:fldChar w:fldCharType="begin"/>
      </w:r>
      <w:r>
        <w:instrText xml:space="preserve"> HYPERLINK "https://www.163.com/dy/article/F9S7136P0519AUKR.html" \h </w:instrText>
      </w:r>
      <w:r>
        <w:fldChar w:fldCharType="separate"/>
      </w:r>
      <w:r>
        <w:rPr>
          <w:rStyle w:val="13"/>
          <w:color w:val="0563C1"/>
        </w:rPr>
        <w:t>[31,122]. 两份重要文件全文印发，将至少对未来中国10年的经济发展、城镇化和房地产市场产生深远影响</w:t>
      </w:r>
      <w:r>
        <w:rPr>
          <w:rStyle w:val="13"/>
          <w:color w:val="0563C1"/>
        </w:rPr>
        <w:fldChar w:fldCharType="end"/>
      </w:r>
    </w:p>
    <w:p w14:paraId="2A4D8925">
      <w:pPr>
        <w:spacing w:after="200" w:line="400" w:lineRule="atLeast"/>
      </w:pPr>
      <w:r>
        <w:fldChar w:fldCharType="begin"/>
      </w:r>
      <w:r>
        <w:instrText xml:space="preserve"> HYPERLINK "https://pdf.dfcfw.com/pdf/H3_AP202410161640326422_1.pdf?1729105476000.pdf" \h </w:instrText>
      </w:r>
      <w:r>
        <w:fldChar w:fldCharType="separate"/>
      </w:r>
      <w:r>
        <w:rPr>
          <w:rStyle w:val="13"/>
          <w:color w:val="0563C1"/>
        </w:rPr>
        <w:t>[34,39,96,124,129]. 财政部重磅发声，楼市多项政策有望加快落实！</w:t>
      </w:r>
      <w:r>
        <w:rPr>
          <w:rStyle w:val="13"/>
          <w:color w:val="0563C1"/>
        </w:rPr>
        <w:fldChar w:fldCharType="end"/>
      </w:r>
    </w:p>
    <w:p w14:paraId="4278170A">
      <w:pPr>
        <w:spacing w:after="200" w:line="400" w:lineRule="atLeast"/>
      </w:pPr>
      <w:r>
        <w:fldChar w:fldCharType="begin"/>
      </w:r>
      <w:r>
        <w:instrText xml:space="preserve"> HYPERLINK "https://static.sse.com.cn/disclosure/bond/announcement/company/c/new/2025-03-07/242432_20250307_P84Q.pdf" \h </w:instrText>
      </w:r>
      <w:r>
        <w:fldChar w:fldCharType="separate"/>
      </w:r>
      <w:r>
        <w:rPr>
          <w:rStyle w:val="13"/>
          <w:color w:val="0563C1"/>
        </w:rPr>
        <w:t>[35,42,97,127,130]. 新希望五新实业集团有限公司 2025 年面向专业投资者公开发行公司债券（第一期）募集说明书</w:t>
      </w:r>
      <w:r>
        <w:rPr>
          <w:rStyle w:val="13"/>
          <w:color w:val="0563C1"/>
        </w:rPr>
        <w:fldChar w:fldCharType="end"/>
      </w:r>
    </w:p>
    <w:p w14:paraId="19CF3D42">
      <w:pPr>
        <w:spacing w:after="200" w:line="400" w:lineRule="atLeast"/>
      </w:pPr>
      <w:r>
        <w:fldChar w:fldCharType="begin"/>
      </w:r>
      <w:r>
        <w:instrText xml:space="preserve"> HYPERLINK "https://files.metaso.cn/api/public-file/preview?fileName=8688749456378826754.pdf" \h </w:instrText>
      </w:r>
      <w:r>
        <w:fldChar w:fldCharType="separate"/>
      </w:r>
      <w:r>
        <w:rPr>
          <w:rStyle w:val="13"/>
          <w:color w:val="0563C1"/>
        </w:rPr>
        <w:t>[36,47,123,137]. 收储城改齐发力，行业迈向新周期 —— 2025 年房地产行业投资策略</w:t>
      </w:r>
      <w:r>
        <w:rPr>
          <w:rStyle w:val="13"/>
          <w:color w:val="0563C1"/>
        </w:rPr>
        <w:fldChar w:fldCharType="end"/>
      </w:r>
    </w:p>
    <w:p w14:paraId="39F48EC4">
      <w:pPr>
        <w:spacing w:after="200" w:line="400" w:lineRule="atLeast"/>
      </w:pPr>
      <w:r>
        <w:fldChar w:fldCharType="begin"/>
      </w:r>
      <w:r>
        <w:instrText xml:space="preserve"> HYPERLINK "https://files.metaso.cn/api/public-file/preview?fileName=8688749578022293504.pdf" \h </w:instrText>
      </w:r>
      <w:r>
        <w:fldChar w:fldCharType="separate"/>
      </w:r>
      <w:r>
        <w:rPr>
          <w:rStyle w:val="13"/>
          <w:color w:val="0563C1"/>
        </w:rPr>
        <w:t>[37,53]. 房地产（标配，维持）</w:t>
      </w:r>
      <w:r>
        <w:rPr>
          <w:rStyle w:val="13"/>
          <w:color w:val="0563C1"/>
        </w:rPr>
        <w:fldChar w:fldCharType="end"/>
      </w:r>
    </w:p>
    <w:p w14:paraId="253151A4">
      <w:pPr>
        <w:spacing w:after="200" w:line="400" w:lineRule="atLeast"/>
      </w:pPr>
      <w:r>
        <w:fldChar w:fldCharType="begin"/>
      </w:r>
      <w:r>
        <w:instrText xml:space="preserve"> HYPERLINK "https://files.metaso.cn/api/public-file/preview?fileName=8688749437423722496.pdf" \h </w:instrText>
      </w:r>
      <w:r>
        <w:fldChar w:fldCharType="separate"/>
      </w:r>
      <w:r>
        <w:rPr>
          <w:rStyle w:val="13"/>
          <w:color w:val="0563C1"/>
        </w:rPr>
        <w:t>[38,54]. 西部证券-房地产行业2025年投资策略：心怀期待的一年</w:t>
      </w:r>
      <w:r>
        <w:rPr>
          <w:rStyle w:val="13"/>
          <w:color w:val="0563C1"/>
        </w:rPr>
        <w:fldChar w:fldCharType="end"/>
      </w:r>
    </w:p>
    <w:p w14:paraId="778D2511">
      <w:pPr>
        <w:spacing w:after="200" w:line="400" w:lineRule="atLeast"/>
      </w:pPr>
      <w:r>
        <w:fldChar w:fldCharType="begin"/>
      </w:r>
      <w:r>
        <w:instrText xml:space="preserve"> HYPERLINK "https://static.sse.com.cn/disclosure/bond/announcement/company/c/new/2025-08-29/243687_20250829_H1JS.pdf" \h </w:instrText>
      </w:r>
      <w:r>
        <w:fldChar w:fldCharType="separate"/>
      </w:r>
      <w:r>
        <w:rPr>
          <w:rStyle w:val="13"/>
          <w:color w:val="0563C1"/>
        </w:rPr>
        <w:t>[41,126]. 中国交通建设集团有限公司 2025 年面向专业机构投资者公开发行科技创新可续期公司债券（第二期）募集说明书</w:t>
      </w:r>
      <w:r>
        <w:rPr>
          <w:rStyle w:val="13"/>
          <w:color w:val="0563C1"/>
        </w:rPr>
        <w:fldChar w:fldCharType="end"/>
      </w:r>
    </w:p>
    <w:p w14:paraId="10C2CD2F">
      <w:pPr>
        <w:spacing w:after="200" w:line="400" w:lineRule="atLeast"/>
      </w:pPr>
      <w:r>
        <w:fldChar w:fldCharType="begin"/>
      </w:r>
      <w:r>
        <w:instrText xml:space="preserve"> HYPERLINK "https://static.sse.com.cn/bond/bridge2/disclosure/announcement/c/202510/4518a5_20251017_F7A6.pdf" \h </w:instrText>
      </w:r>
      <w:r>
        <w:fldChar w:fldCharType="separate"/>
      </w:r>
      <w:r>
        <w:rPr>
          <w:rStyle w:val="13"/>
          <w:color w:val="0563C1"/>
        </w:rPr>
        <w:t>[44,132]. 2025年面向专业投资者公开发行公司债券募集说明书</w:t>
      </w:r>
      <w:r>
        <w:rPr>
          <w:rStyle w:val="13"/>
          <w:color w:val="0563C1"/>
        </w:rPr>
        <w:fldChar w:fldCharType="end"/>
      </w:r>
    </w:p>
    <w:p w14:paraId="5F0E3B64">
      <w:pPr>
        <w:spacing w:after="200" w:line="400" w:lineRule="atLeast"/>
      </w:pPr>
      <w:r>
        <w:fldChar w:fldCharType="begin"/>
      </w:r>
      <w:r>
        <w:instrText xml:space="preserve"> HYPERLINK "https://files.metaso.cn/api/public-file/preview?fileName=8688767266031022080.pdf" \h </w:instrText>
      </w:r>
      <w:r>
        <w:fldChar w:fldCharType="separate"/>
      </w:r>
      <w:r>
        <w:rPr>
          <w:rStyle w:val="13"/>
          <w:color w:val="0563C1"/>
        </w:rPr>
        <w:t>[45,51,133,135]. 2025年2月西安市场月报</w:t>
      </w:r>
      <w:r>
        <w:rPr>
          <w:rStyle w:val="13"/>
          <w:color w:val="0563C1"/>
        </w:rPr>
        <w:fldChar w:fldCharType="end"/>
      </w:r>
    </w:p>
    <w:p w14:paraId="2A38D27A">
      <w:pPr>
        <w:spacing w:after="200" w:line="400" w:lineRule="atLeast"/>
      </w:pPr>
      <w:r>
        <w:fldChar w:fldCharType="begin"/>
      </w:r>
      <w:r>
        <w:instrText xml:space="preserve"> HYPERLINK "https://www.163.com/dy/article/JS99NQAD0553TDVI.html" \h </w:instrText>
      </w:r>
      <w:r>
        <w:fldChar w:fldCharType="separate"/>
      </w:r>
      <w:r>
        <w:rPr>
          <w:rStyle w:val="13"/>
          <w:color w:val="0563C1"/>
        </w:rPr>
        <w:t>[55]. 2025年，中国房地产止跌回稳，形成未来发展新阶段的起点</w:t>
      </w:r>
      <w:r>
        <w:rPr>
          <w:rStyle w:val="13"/>
          <w:color w:val="0563C1"/>
        </w:rPr>
        <w:fldChar w:fldCharType="end"/>
      </w:r>
    </w:p>
    <w:p w14:paraId="2E691DA9">
      <w:pPr>
        <w:spacing w:after="200" w:line="400" w:lineRule="atLeast"/>
      </w:pPr>
      <w:r>
        <w:fldChar w:fldCharType="begin"/>
      </w:r>
      <w:r>
        <w:instrText xml:space="preserve"> HYPERLINK "http://finance.sina.com.cn/stock/relnews/cn/2022-07-18/doc-imizirav4092632.shtml" \h </w:instrText>
      </w:r>
      <w:r>
        <w:fldChar w:fldCharType="separate"/>
      </w:r>
      <w:r>
        <w:rPr>
          <w:rStyle w:val="13"/>
          <w:color w:val="0563C1"/>
        </w:rPr>
        <w:t>[56]. 未来十年中国房地产将经历‘大洗牌’</w:t>
      </w:r>
      <w:r>
        <w:rPr>
          <w:rStyle w:val="13"/>
          <w:color w:val="0563C1"/>
        </w:rPr>
        <w:fldChar w:fldCharType="end"/>
      </w:r>
    </w:p>
    <w:p w14:paraId="32683101">
      <w:pPr>
        <w:spacing w:after="200" w:line="400" w:lineRule="atLeast"/>
      </w:pPr>
      <w:r>
        <w:fldChar w:fldCharType="begin"/>
      </w:r>
      <w:r>
        <w:instrText xml:space="preserve"> HYPERLINK "https://www.163.com/money/article/5T0UK65R002543K4.html" \h </w:instrText>
      </w:r>
      <w:r>
        <w:fldChar w:fldCharType="separate"/>
      </w:r>
      <w:r>
        <w:rPr>
          <w:rStyle w:val="13"/>
          <w:color w:val="0563C1"/>
        </w:rPr>
        <w:t>[57]. 房地产10年之内将达到开发高峰</w:t>
      </w:r>
      <w:r>
        <w:rPr>
          <w:rStyle w:val="13"/>
          <w:color w:val="0563C1"/>
        </w:rPr>
        <w:fldChar w:fldCharType="end"/>
      </w:r>
    </w:p>
    <w:p w14:paraId="51BF7E0B">
      <w:pPr>
        <w:spacing w:after="200" w:line="400" w:lineRule="atLeast"/>
      </w:pPr>
      <w:r>
        <w:fldChar w:fldCharType="begin"/>
      </w:r>
      <w:r>
        <w:instrText xml:space="preserve"> HYPERLINK "https://files.metaso.cn/api/public-file/preview?fileName=8688819626342760448.pdf" \h </w:instrText>
      </w:r>
      <w:r>
        <w:fldChar w:fldCharType="separate"/>
      </w:r>
      <w:r>
        <w:rPr>
          <w:rStyle w:val="13"/>
          <w:color w:val="0563C1"/>
        </w:rPr>
        <w:t>[58,61,64,67,71,72,81,82,86,139,142,145,148,149]. 绿色收益：通过可持续发展解锁商业地产价值</w:t>
      </w:r>
      <w:r>
        <w:rPr>
          <w:rStyle w:val="13"/>
          <w:color w:val="0563C1"/>
        </w:rPr>
        <w:fldChar w:fldCharType="end"/>
      </w:r>
    </w:p>
    <w:p w14:paraId="3357A000">
      <w:pPr>
        <w:spacing w:after="200" w:line="400" w:lineRule="atLeast"/>
      </w:pPr>
      <w:r>
        <w:fldChar w:fldCharType="begin"/>
      </w:r>
      <w:r>
        <w:instrText xml:space="preserve"> HYPERLINK "https://www.zuoyoushidai.cn/zixun100.html" \h </w:instrText>
      </w:r>
      <w:r>
        <w:fldChar w:fldCharType="separate"/>
      </w:r>
      <w:r>
        <w:rPr>
          <w:rStyle w:val="13"/>
          <w:color w:val="0563C1"/>
        </w:rPr>
        <w:t>[59,140]. 绿色金融机制在房地产开发中的应用</w:t>
      </w:r>
      <w:r>
        <w:rPr>
          <w:rStyle w:val="13"/>
          <w:color w:val="0563C1"/>
        </w:rPr>
        <w:fldChar w:fldCharType="end"/>
      </w:r>
    </w:p>
    <w:p w14:paraId="4E4A196D">
      <w:pPr>
        <w:spacing w:after="200" w:line="400" w:lineRule="atLeast"/>
      </w:pPr>
      <w:r>
        <w:fldChar w:fldCharType="begin"/>
      </w:r>
      <w:r>
        <w:instrText xml:space="preserve"> HYPERLINK "http://shpdruanjianyuan.cn/zixun4.html" \h </w:instrText>
      </w:r>
      <w:r>
        <w:fldChar w:fldCharType="separate"/>
      </w:r>
      <w:r>
        <w:rPr>
          <w:rStyle w:val="13"/>
          <w:color w:val="0563C1"/>
        </w:rPr>
        <w:t>[60,63,141,144]. 绿色金融机制在房地产行业中的应用</w:t>
      </w:r>
      <w:r>
        <w:rPr>
          <w:rStyle w:val="13"/>
          <w:color w:val="0563C1"/>
        </w:rPr>
        <w:fldChar w:fldCharType="end"/>
      </w:r>
    </w:p>
    <w:p w14:paraId="193D8E55">
      <w:pPr>
        <w:spacing w:after="200" w:line="400" w:lineRule="atLeast"/>
      </w:pPr>
      <w:r>
        <w:fldChar w:fldCharType="begin"/>
      </w:r>
      <w:r>
        <w:instrText xml:space="preserve"> HYPERLINK "https://knowledge.uli.org/-/media/files/research-reports/2025/green-finance-unlocked.pdf?rev=e315532818d94fc2b0b53c00513aa85b&amp;hash=EAA456256D0A5C9B2C85CB44C0AB1E2C" \h </w:instrText>
      </w:r>
      <w:r>
        <w:fldChar w:fldCharType="separate"/>
      </w:r>
      <w:r>
        <w:rPr>
          <w:rStyle w:val="13"/>
          <w:color w:val="0563C1"/>
        </w:rPr>
        <w:t>[62,65,143,146]. Green Finance Unlocked: A Primer for Sustainable Real Estate</w:t>
      </w:r>
      <w:r>
        <w:rPr>
          <w:rStyle w:val="13"/>
          <w:color w:val="0563C1"/>
        </w:rPr>
        <w:fldChar w:fldCharType="end"/>
      </w:r>
    </w:p>
    <w:p w14:paraId="664CD602">
      <w:pPr>
        <w:spacing w:after="200" w:line="400" w:lineRule="atLeast"/>
      </w:pPr>
      <w:r>
        <w:fldChar w:fldCharType="begin"/>
      </w:r>
      <w:r>
        <w:instrText xml:space="preserve"> HYPERLINK "https://www.gebaeudeforum.de/fileadmin/gebaeudeforum/Downloads/Studie-Bericht/STUDIE_Green_Sustainable_Finance_mit_Fokus_auf_den_Immobilienbereich.pdf" \h </w:instrText>
      </w:r>
      <w:r>
        <w:fldChar w:fldCharType="separate"/>
      </w:r>
      <w:r>
        <w:rPr>
          <w:rStyle w:val="13"/>
          <w:color w:val="0563C1"/>
        </w:rPr>
        <w:t>[66,147]. GREEN &amp; SUSTAINABLE FINANCE MIT FOKUS AUF DEN IMMOBILIENBEREICH</w:t>
      </w:r>
      <w:r>
        <w:rPr>
          <w:rStyle w:val="13"/>
          <w:color w:val="0563C1"/>
        </w:rPr>
        <w:fldChar w:fldCharType="end"/>
      </w:r>
    </w:p>
    <w:p w14:paraId="255A6B87">
      <w:pPr>
        <w:spacing w:after="200" w:line="400" w:lineRule="atLeast"/>
      </w:pPr>
      <w:r>
        <w:fldChar w:fldCharType="begin"/>
      </w:r>
      <w:r>
        <w:instrText xml:space="preserve"> HYPERLINK "https://cj.sina.cn/articles/view/2398774943/8efa669f019014dh4" \h </w:instrText>
      </w:r>
      <w:r>
        <w:fldChar w:fldCharType="separate"/>
      </w:r>
      <w:r>
        <w:rPr>
          <w:rStyle w:val="13"/>
          <w:color w:val="0563C1"/>
        </w:rPr>
        <w:t>[68]. 房地产领域与绿色金融发展的探讨</w:t>
      </w:r>
      <w:r>
        <w:rPr>
          <w:rStyle w:val="13"/>
          <w:color w:val="0563C1"/>
        </w:rPr>
        <w:fldChar w:fldCharType="end"/>
      </w:r>
    </w:p>
    <w:p w14:paraId="3540EDF9">
      <w:pPr>
        <w:spacing w:after="200" w:line="400" w:lineRule="atLeast"/>
      </w:pPr>
      <w:r>
        <w:fldChar w:fldCharType="begin"/>
      </w:r>
      <w:r>
        <w:instrText xml:space="preserve"> HYPERLINK "https://www.guangdahuizhanzhongxin.cn/zixun17.html" \h </w:instrText>
      </w:r>
      <w:r>
        <w:fldChar w:fldCharType="separate"/>
      </w:r>
      <w:r>
        <w:rPr>
          <w:rStyle w:val="13"/>
          <w:color w:val="0563C1"/>
        </w:rPr>
        <w:t>[69]. 房地产开发项目中的前沿融资策略</w:t>
      </w:r>
      <w:r>
        <w:rPr>
          <w:rStyle w:val="13"/>
          <w:color w:val="0563C1"/>
        </w:rPr>
        <w:fldChar w:fldCharType="end"/>
      </w:r>
    </w:p>
    <w:p w14:paraId="3CEE324E">
      <w:pPr>
        <w:spacing w:after="200" w:line="400" w:lineRule="atLeast"/>
      </w:pPr>
      <w:r>
        <w:fldChar w:fldCharType="begin"/>
      </w:r>
      <w:r>
        <w:instrText xml:space="preserve"> HYPERLINK "https://www.usgbc.org/sites/default/files/2025-11/Paper%20Financiamiento%20Verde_2025%20OCT%2014.pdf" \h </w:instrText>
      </w:r>
      <w:r>
        <w:fldChar w:fldCharType="separate"/>
      </w:r>
      <w:r>
        <w:rPr>
          <w:rStyle w:val="13"/>
          <w:color w:val="0563C1"/>
        </w:rPr>
        <w:t>[70]. Guía de Financiamiento Verde para Edificaciones Sostenibles en México</w:t>
      </w:r>
      <w:r>
        <w:rPr>
          <w:rStyle w:val="13"/>
          <w:color w:val="0563C1"/>
        </w:rPr>
        <w:fldChar w:fldCharType="end"/>
      </w:r>
    </w:p>
    <w:p w14:paraId="3966C0E0">
      <w:pPr>
        <w:spacing w:after="200" w:line="400" w:lineRule="atLeast"/>
      </w:pPr>
      <w:r>
        <w:fldChar w:fldCharType="begin"/>
      </w:r>
      <w:r>
        <w:instrText xml:space="preserve"> HYPERLINK "https://pdf.dfcfw.com/pdf/H3_AP202401191617730865_1.pdf?1705678902000.pdf" \h </w:instrText>
      </w:r>
      <w:r>
        <w:fldChar w:fldCharType="separate"/>
      </w:r>
      <w:r>
        <w:rPr>
          <w:rStyle w:val="13"/>
          <w:color w:val="0563C1"/>
        </w:rPr>
        <w:t>[73,80,83,85]. 创造可持续价值 | 房地产行业环境、社会及管治ESG洞察第二卷</w:t>
      </w:r>
      <w:r>
        <w:rPr>
          <w:rStyle w:val="13"/>
          <w:color w:val="0563C1"/>
        </w:rPr>
        <w:fldChar w:fldCharType="end"/>
      </w:r>
    </w:p>
    <w:p w14:paraId="6740BDE6">
      <w:pPr>
        <w:spacing w:after="200" w:line="400" w:lineRule="atLeast"/>
      </w:pPr>
      <w:r>
        <w:fldChar w:fldCharType="begin"/>
      </w:r>
      <w:r>
        <w:instrText xml:space="preserve"> HYPERLINK "https://www.crrem.eu/wp-content/uploads/2024/07/financing-transformation-a-guide-to-green-building-for-green-bonds-and-green-loans-1.pdf" \h </w:instrText>
      </w:r>
      <w:r>
        <w:fldChar w:fldCharType="separate"/>
      </w:r>
      <w:r>
        <w:rPr>
          <w:rStyle w:val="13"/>
          <w:color w:val="0563C1"/>
        </w:rPr>
        <w:t>[74]. Financing Transformation: A Guide to Green Building for Green Bonds and Green Loans</w:t>
      </w:r>
      <w:r>
        <w:rPr>
          <w:rStyle w:val="13"/>
          <w:color w:val="0563C1"/>
        </w:rPr>
        <w:fldChar w:fldCharType="end"/>
      </w:r>
    </w:p>
    <w:p w14:paraId="1318FD89">
      <w:pPr>
        <w:spacing w:after="200" w:line="400" w:lineRule="atLeast"/>
      </w:pPr>
      <w:r>
        <w:fldChar w:fldCharType="begin"/>
      </w:r>
      <w:r>
        <w:instrText xml:space="preserve"> HYPERLINK "https://mobilehci2012.org/215/green-financing-in-real-estate-development/" \h </w:instrText>
      </w:r>
      <w:r>
        <w:fldChar w:fldCharType="separate"/>
      </w:r>
      <w:r>
        <w:rPr>
          <w:rStyle w:val="13"/>
          <w:color w:val="0563C1"/>
        </w:rPr>
        <w:t>[75,78]. Green financing in real estate development</w:t>
      </w:r>
      <w:r>
        <w:rPr>
          <w:rStyle w:val="13"/>
          <w:color w:val="0563C1"/>
        </w:rPr>
        <w:fldChar w:fldCharType="end"/>
      </w:r>
    </w:p>
    <w:p w14:paraId="0342BE44">
      <w:pPr>
        <w:spacing w:after="200" w:line="400" w:lineRule="atLeast"/>
      </w:pPr>
      <w:r>
        <w:fldChar w:fldCharType="begin"/>
      </w:r>
      <w:r>
        <w:instrText xml:space="preserve"> HYPERLINK "https://aaltodoc.aalto.fi/bitstreams/1b57fc5d-9b15-4ec9-9c84-758a479bd7c4/download" \h </w:instrText>
      </w:r>
      <w:r>
        <w:fldChar w:fldCharType="separate"/>
      </w:r>
      <w:r>
        <w:rPr>
          <w:rStyle w:val="13"/>
          <w:color w:val="0563C1"/>
        </w:rPr>
        <w:t>[76,79]. Architectural competitions in the landscape of climate finance</w:t>
      </w:r>
      <w:r>
        <w:rPr>
          <w:rStyle w:val="13"/>
          <w:color w:val="0563C1"/>
        </w:rPr>
        <w:fldChar w:fldCharType="end"/>
      </w:r>
    </w:p>
    <w:p w14:paraId="1986EA01">
      <w:pPr>
        <w:spacing w:after="200" w:line="400" w:lineRule="atLeast"/>
      </w:pPr>
      <w:r>
        <w:fldChar w:fldCharType="begin"/>
      </w:r>
      <w:r>
        <w:instrText xml:space="preserve"> HYPERLINK "https://www.amchamchina.org/wp-content/uploads/2023/04/AmCham-China-2023-White-Paper.pdf" \h </w:instrText>
      </w:r>
      <w:r>
        <w:fldChar w:fldCharType="separate"/>
      </w:r>
      <w:r>
        <w:rPr>
          <w:rStyle w:val="13"/>
          <w:color w:val="0563C1"/>
        </w:rPr>
        <w:t>[77,84]. 2023 American Business in China White Paper</w:t>
      </w:r>
      <w:r>
        <w:rPr>
          <w:rStyle w:val="13"/>
          <w:color w:val="0563C1"/>
        </w:rPr>
        <w:fldChar w:fldCharType="end"/>
      </w:r>
    </w:p>
    <w:p w14:paraId="1A31387A">
      <w:pPr>
        <w:spacing w:after="400" w:line="400" w:lineRule="atLeast"/>
      </w:pPr>
      <w:r>
        <w:rPr>
          <w:i/>
        </w:rPr>
        <w:t>以下来源未被直接引用</w:t>
      </w:r>
    </w:p>
    <w:p w14:paraId="6B4BDAB2">
      <w:pPr>
        <w:spacing w:after="200" w:line="400" w:lineRule="atLeast"/>
      </w:pPr>
      <w:r>
        <w:fldChar w:fldCharType="begin"/>
      </w:r>
      <w:r>
        <w:instrText xml:space="preserve"> HYPERLINK "https://finance.sina.cn/2025-05-27/detail-inexxywm7229252.d.html" \h </w:instrText>
      </w:r>
      <w:r>
        <w:fldChar w:fldCharType="separate"/>
      </w:r>
      <w:r>
        <w:rPr>
          <w:rStyle w:val="13"/>
          <w:color w:val="0563C1"/>
        </w:rPr>
        <w:t>可持续发展成核心导向</w:t>
      </w:r>
      <w:r>
        <w:rPr>
          <w:rStyle w:val="13"/>
          <w:color w:val="0563C1"/>
        </w:rPr>
        <w:fldChar w:fldCharType="end"/>
      </w:r>
    </w:p>
    <w:p w14:paraId="689CAC04">
      <w:pPr>
        <w:spacing w:after="200" w:line="400" w:lineRule="atLeast"/>
      </w:pPr>
      <w:r>
        <w:fldChar w:fldCharType="begin"/>
      </w:r>
      <w:r>
        <w:instrText xml:space="preserve"> HYPERLINK "https://www.dfratings.com/uploads/files/2024/1115/wcjGRJU1VMBbqWzVm8JNMAfNjqsLytdTfEwURKL5.pdf" \h </w:instrText>
      </w:r>
      <w:r>
        <w:fldChar w:fldCharType="separate"/>
      </w:r>
      <w:r>
        <w:rPr>
          <w:rStyle w:val="13"/>
          <w:color w:val="0563C1"/>
        </w:rPr>
        <w:t>三部委优化多项房地产税收政策；债市转而震荡走弱</w:t>
      </w:r>
      <w:r>
        <w:rPr>
          <w:rStyle w:val="13"/>
          <w:color w:val="0563C1"/>
        </w:rPr>
        <w:fldChar w:fldCharType="end"/>
      </w:r>
    </w:p>
    <w:p w14:paraId="54B7937B">
      <w:pPr>
        <w:spacing w:after="200" w:line="400" w:lineRule="atLeast"/>
      </w:pPr>
      <w:r>
        <w:fldChar w:fldCharType="begin"/>
      </w:r>
      <w:r>
        <w:instrText xml:space="preserve"> HYPERLINK "https://www.douban.com/note/877333303/" \h </w:instrText>
      </w:r>
      <w:r>
        <w:fldChar w:fldCharType="separate"/>
      </w:r>
      <w:r>
        <w:rPr>
          <w:rStyle w:val="13"/>
          <w:color w:val="0563C1"/>
        </w:rPr>
        <w:t>房地产发展</w:t>
      </w:r>
      <w:r>
        <w:rPr>
          <w:rStyle w:val="13"/>
          <w:color w:val="0563C1"/>
        </w:rPr>
        <w:fldChar w:fldCharType="end"/>
      </w:r>
    </w:p>
    <w:p w14:paraId="560C2C6C">
      <w:pPr>
        <w:spacing w:after="200" w:line="400" w:lineRule="atLeast"/>
      </w:pPr>
      <w:r>
        <w:fldChar w:fldCharType="begin"/>
      </w:r>
      <w:r>
        <w:instrText xml:space="preserve"> HYPERLINK "https://files.metaso.cn/api/public-file/preview?fileName=8688819181818232832.pdf" \h </w:instrText>
      </w:r>
      <w:r>
        <w:fldChar w:fldCharType="separate"/>
      </w:r>
      <w:r>
        <w:rPr>
          <w:rStyle w:val="13"/>
          <w:color w:val="0563C1"/>
        </w:rPr>
        <w:t>房地产市场土地政策解读与应用</w:t>
      </w:r>
      <w:r>
        <w:rPr>
          <w:rStyle w:val="13"/>
          <w:color w:val="0563C1"/>
        </w:rPr>
        <w:fldChar w:fldCharType="end"/>
      </w:r>
    </w:p>
    <w:p w14:paraId="624868C2">
      <w:pPr>
        <w:spacing w:after="200" w:line="400" w:lineRule="atLeast"/>
      </w:pPr>
      <w:r>
        <w:fldChar w:fldCharType="begin"/>
      </w:r>
      <w:r>
        <w:instrText xml:space="preserve"> HYPERLINK "https://www.hkgreenfinance.org/wp-content/uploads/2023/09/HSBC-GBA-ESG-Index-Report-Q2-2023-SC.pdf" \h </w:instrText>
      </w:r>
      <w:r>
        <w:fldChar w:fldCharType="separate"/>
      </w:r>
      <w:r>
        <w:rPr>
          <w:rStyle w:val="13"/>
          <w:color w:val="0563C1"/>
        </w:rPr>
        <w:t>汇丰大湾区ESG指数报告</w:t>
      </w:r>
      <w:r>
        <w:rPr>
          <w:rStyle w:val="13"/>
          <w:color w:val="0563C1"/>
        </w:rPr>
        <w:fldChar w:fldCharType="end"/>
      </w:r>
    </w:p>
    <w:p w14:paraId="34E6FB08">
      <w:pPr>
        <w:spacing w:after="200" w:line="400" w:lineRule="atLeast"/>
      </w:pPr>
      <w:r>
        <w:fldChar w:fldCharType="begin"/>
      </w:r>
      <w:r>
        <w:instrText xml:space="preserve"> HYPERLINK "http://finance.sina.com.cn/esg/2021-06-22/doc-ikqcfnca2528874.shtml" \h </w:instrText>
      </w:r>
      <w:r>
        <w:fldChar w:fldCharType="separate"/>
      </w:r>
      <w:r>
        <w:rPr>
          <w:rStyle w:val="13"/>
          <w:color w:val="0563C1"/>
        </w:rPr>
        <w:t>唯有源头活水来，绿色金融赋能绿色建筑</w:t>
      </w:r>
      <w:r>
        <w:rPr>
          <w:rStyle w:val="13"/>
          <w:color w:val="0563C1"/>
        </w:rPr>
        <w:fldChar w:fldCharType="end"/>
      </w:r>
    </w:p>
    <w:p w14:paraId="6E191AF0">
      <w:pPr>
        <w:spacing w:after="200" w:line="400" w:lineRule="atLeast"/>
      </w:pPr>
      <w:r>
        <w:fldChar w:fldCharType="begin"/>
      </w:r>
      <w:r>
        <w:instrText xml:space="preserve"> HYPERLINK "https://gf-broker.com/wp-content/uploads/2022/11/2110_072_PR_GreenFinance_V3.pdf" \h </w:instrText>
      </w:r>
      <w:r>
        <w:fldChar w:fldCharType="separate"/>
      </w:r>
      <w:r>
        <w:rPr>
          <w:rStyle w:val="13"/>
          <w:color w:val="0563C1"/>
        </w:rPr>
        <w:t>Nachhaltig investieren für jedermann leistbar</w:t>
      </w:r>
      <w:r>
        <w:rPr>
          <w:rStyle w:val="13"/>
          <w:color w:val="0563C1"/>
        </w:rPr>
        <w:fldChar w:fldCharType="end"/>
      </w:r>
    </w:p>
    <w:p w14:paraId="5949A20E">
      <w:pPr>
        <w:spacing w:after="200" w:line="400" w:lineRule="atLeast"/>
      </w:pPr>
      <w:r>
        <w:fldChar w:fldCharType="begin"/>
      </w:r>
      <w:r>
        <w:instrText xml:space="preserve"> HYPERLINK "https://m.book118.com/html/2024/0808/8112113063006117.shtm" \h </w:instrText>
      </w:r>
      <w:r>
        <w:fldChar w:fldCharType="separate"/>
      </w:r>
      <w:r>
        <w:rPr>
          <w:rStyle w:val="13"/>
          <w:color w:val="0563C1"/>
        </w:rPr>
        <w:t>绿色金融对房地产行业的影响研究</w:t>
      </w:r>
      <w:r>
        <w:rPr>
          <w:rStyle w:val="13"/>
          <w:color w:val="0563C1"/>
        </w:rPr>
        <w:fldChar w:fldCharType="end"/>
      </w:r>
    </w:p>
    <w:p w14:paraId="0E43BE06">
      <w:pPr>
        <w:spacing w:after="200" w:line="400" w:lineRule="atLeast"/>
      </w:pPr>
      <w:r>
        <w:fldChar w:fldCharType="begin"/>
      </w:r>
      <w:r>
        <w:instrText xml:space="preserve"> HYPERLINK "https://iipseries.org/assets/submission/iip2023FDC895D154B5D6A.docx" \h </w:instrText>
      </w:r>
      <w:r>
        <w:fldChar w:fldCharType="separate"/>
      </w:r>
      <w:r>
        <w:rPr>
          <w:rStyle w:val="13"/>
          <w:color w:val="0563C1"/>
        </w:rPr>
        <w:t>Green Finance - Paving the Way for a Sustainable Future</w:t>
      </w:r>
      <w:r>
        <w:rPr>
          <w:rStyle w:val="13"/>
          <w:color w:val="0563C1"/>
        </w:rPr>
        <w:fldChar w:fldCharType="end"/>
      </w:r>
    </w:p>
    <w:p w14:paraId="386950AE">
      <w:pPr>
        <w:spacing w:after="200" w:line="400" w:lineRule="atLeast"/>
      </w:pPr>
      <w:r>
        <w:fldChar w:fldCharType="begin"/>
      </w:r>
      <w:r>
        <w:instrText xml:space="preserve"> HYPERLINK "https://gurugramuniversity.ac.in/academics/research@pub/gubr/proceeding/ICMGMT%202023-Re-Imagining%20Green%20Businesses.pdf" \h </w:instrText>
      </w:r>
      <w:r>
        <w:fldChar w:fldCharType="separate"/>
      </w:r>
      <w:r>
        <w:rPr>
          <w:rStyle w:val="13"/>
          <w:color w:val="0563C1"/>
        </w:rPr>
        <w:t>RE-IMAGINING GREEN BUSINESSES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EDA8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04C58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10651</Words>
  <Characters>12521</Characters>
  <TotalTime>0</TotalTime>
  <ScaleCrop>false</ScaleCrop>
  <LinksUpToDate>false</LinksUpToDate>
  <CharactersWithSpaces>12779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2026-01-04T18:25:05Z</dcterms:created>
  <dc:creator>86188</dc:creator>
  <cp:lastModifiedBy>dyx</cp:lastModifiedBy>
  <dcterms:modified xsi:type="dcterms:W3CDTF">2026-01-04T18:25:24Z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3014d00c-b26b-409e-a93f-ba043a425bc4","Lable":"1","ReservedCode1":"915cc1033263bd9e0886591de0d8a4c1","ReservedCode2":"915cc1033263bd9e0886591de0d8a4c1","PropagateID":"Metasota_docx_694914cd86ee47b771420197_1_3014d00c-b26b-409e-a93f-ba043a425bc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5B89788161524BDDA6924BA4946B8539_12</vt:lpwstr>
  </property>
</Properties>
</file>