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55894">
      <w:pPr>
        <w:spacing w:after="210" w:line="360" w:lineRule="auto"/>
      </w:pPr>
    </w:p>
    <w:p w14:paraId="73D8AC98">
      <w:pPr>
        <w:spacing w:before="210" w:after="0" w:line="360" w:lineRule="auto"/>
      </w:pPr>
      <w:r>
        <mc:AlternateContent>
          <mc:Choice Requires="wps">
            <w:drawing>
              <wp:inline distT="0" distB="0" distL="114300" distR="114300">
                <wp:extent cx="6038850" cy="635"/>
                <wp:effectExtent l="6350" t="6350" r="12700" b="12065"/>
                <wp:docPr id="2" name="矩形 12"/>
                <wp:cNvGraphicFramePr/>
                <a:graphic xmlns:a="http://schemas.openxmlformats.org/drawingml/2006/main">
                  <a:graphicData uri="http://schemas.microsoft.com/office/word/2010/wordprocessingShape">
                    <wps:wsp>
                      <wps:cNvSpPr/>
                      <wps:spPr>
                        <a:xfrm>
                          <a:off x="0" y="0"/>
                          <a:ext cx="6038850" cy="635"/>
                        </a:xfrm>
                        <a:prstGeom prst="rect">
                          <a:avLst/>
                        </a:prstGeom>
                        <a:solidFill>
                          <a:srgbClr val="FFFFFF"/>
                        </a:solidFill>
                        <a:ln w="12700" cap="flat" cmpd="sng">
                          <a:solidFill>
                            <a:srgbClr val="000000">
                              <a:alpha val="0"/>
                            </a:srgbClr>
                          </a:solidFill>
                          <a:prstDash val="solid"/>
                          <a:miter/>
                          <a:headEnd type="none" w="med" len="med"/>
                          <a:tailEnd type="none" w="med" len="med"/>
                        </a:ln>
                      </wps:spPr>
                      <wps:bodyPr upright="1"/>
                    </wps:wsp>
                  </a:graphicData>
                </a:graphic>
              </wp:inline>
            </w:drawing>
          </mc:Choice>
          <mc:Fallback>
            <w:pict>
              <v:rect id="矩形 12" o:spid="_x0000_s1026" o:spt="1" style="height:0.05pt;width:475.5pt;" coordsize="21600,21600" o:gfxdata="UEsDBAoAAAAAAIdO4kAAAAAAAAAAAAAAAAAEAAAAZHJzL1BLAwQUAAAACACHTuJAJLPJ19EAAAAC&#10;AQAADwAAAGRycy9kb3ducmV2LnhtbE2PzU7DMBCE70h9B2uRuLV2kPhpiNNDEbdK0ILg6sZbJyVe&#10;R7GThrdny6VcVhrNaPabYjX5VozYxyaQhmyhQCBVwTbkNHy8v8wfQcRkyJo2EGr4wQircnZVmNyG&#10;E21x3CUnuIRibjTUKXW5lLGq0Zu4CB0Se4fQe5NY9k7a3py43LfyVql76U1D/KE2Ha5rrL53g9fw&#10;kH1u1Lhdbobn49dr5Zq3KQWn9c11pp5AJJzSJQxnfEaHkpn2YSAbRauBh6S/y97yLmO5P4dkWcj/&#10;6OUvUEsDBBQAAAAIAIdO4kDpiGMvBgIAADoEAAAOAAAAZHJzL2Uyb0RvYy54bWytU82O0zAQviPx&#10;DpbvNGlXW1ZR0z1QygXBSgsPMHWcxJL/5HGb9mmQuPEQPA7iNRg7obtdLj2QQzKOx9983zfj1f3R&#10;aHaQAZWzNZ/PSs6kFa5Rtqv51y/bN3ecYQTbgHZW1vwkkd+vX79aDb6SC9c73cjACMRiNfia9zH6&#10;qihQ9NIAzpyXljZbFwxEWoauaAIMhG50sSjLZTG40PjghESkv5txk0+I4RpA17ZKyI0TeyNtHFGD&#10;1BBJEvbKI19ntm0rRfzctigj0zUnpTG/qQjFu/Qu1iuougC+V2KiANdQeKHJgLJU9Ay1gQhsH9Q/&#10;UEaJ4NC1cSacKUYh2RFSMS9fePPYg5dZC1mN/mw6/j9Y8enwEJhqar7gzIKhhv/+9uPXz+9svkjm&#10;DB4rynn0D2FaIYVJ6bENJn1JAztmQ09nQ+UxMkE/l+XN3d0teS1ob3lzmxCLp6M+YPwgnWEpqHmg&#10;bmUT4fAR45j6NyVVQqdVs1Va50Xodu90YAegzm7zM6FfpGnLBpryxdsysQCa15bmhELjSTPaLhe8&#10;OILPkcv8jKy072Gsl+eGhEypWdQFRqK9AezH9LyV2EFlVJTJSah6Cc1727B48mS6pbvGE1UjG860&#10;pKuZopwZQelrMomQtsQl9WzsUop2rjlRi/c+qK4nl+fZprRDI5WZT+OfZvb5OiM9Xfn1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SzydfRAAAAAgEAAA8AAAAAAAAAAQAgAAAAIgAAAGRycy9kb3du&#10;cmV2LnhtbFBLAQIUABQAAAAIAIdO4kDpiGMvBgIAADoEAAAOAAAAAAAAAAEAIAAAACABAABkcnMv&#10;ZTJvRG9jLnhtbFBLBQYAAAAABgAGAFkBAACYBQAAAAA=&#10;">
                <v:path/>
                <v:fill focussize="0,0"/>
                <v:stroke weight="1pt" color="#000000" opacity="0f"/>
                <v:imagedata o:title=""/>
                <o:lock v:ext="edit"/>
                <w10:wrap type="none"/>
                <w10:anchorlock/>
              </v:rect>
            </w:pict>
          </mc:Fallback>
        </mc:AlternateContent>
      </w:r>
    </w:p>
    <w:p w14:paraId="18BBE18F">
      <w:pPr>
        <w:spacing w:before="157" w:after="157" w:line="270" w:lineRule="auto"/>
        <w:jc w:val="left"/>
      </w:pPr>
      <w:bookmarkStart w:id="0" w:name="中国房地产行业可持续发展十年路线图_2025_2035"/>
      <w:r>
        <w:rPr>
          <w:rFonts w:ascii="inter" w:hAnsi="inter" w:eastAsia="inter" w:cs="inter"/>
          <w:b/>
          <w:color w:val="000000"/>
          <w:sz w:val="39"/>
        </w:rPr>
        <w:t>中国房地产行业可持续发展十年路线图（2025-2035）</w:t>
      </w:r>
      <w:bookmarkEnd w:id="0"/>
    </w:p>
    <w:p w14:paraId="03A8DB0C">
      <w:pPr>
        <w:spacing w:before="315" w:after="105" w:line="360" w:lineRule="auto"/>
        <w:ind w:left="-30"/>
        <w:jc w:val="left"/>
      </w:pPr>
      <w:bookmarkStart w:id="1" w:name="执行摘要"/>
      <w:r>
        <w:rPr>
          <w:rFonts w:ascii="inter" w:hAnsi="inter" w:eastAsia="inter" w:cs="inter"/>
          <w:b/>
          <w:color w:val="000000"/>
          <w:sz w:val="24"/>
        </w:rPr>
        <w:t>执行摘要</w:t>
      </w:r>
      <w:bookmarkEnd w:id="1"/>
      <w:bookmarkStart w:id="269" w:name="_GoBack"/>
      <w:bookmarkEnd w:id="269"/>
    </w:p>
    <w:p w14:paraId="5E08C8CC">
      <w:pPr>
        <w:spacing w:after="210" w:line="360" w:lineRule="auto"/>
      </w:pPr>
      <w:r>
        <w:rPr>
          <w:rFonts w:ascii="inter" w:hAnsi="inter" w:eastAsia="inter" w:cs="inter"/>
          <w:color w:val="000000"/>
        </w:rPr>
        <w:t>中国房地产行业正处于十年一遇的战略转折点。据《中共中央关于制定国民经济和社会发展第十五个五年规划的建议》，"十五五"时期房地产发展从短期政策工具转向长期战略产业，其核心任务是推动从"有没有"到"好不好"的跨越。本报告基于住建部、发改委、央行等权威机构2025-2026年最新政策导向，系统阐述房地产行业可持续发展的四大内生动力及对应的国家促进机制框架，为政策决策层提供十年发展方向指导。</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8590F21">
      <w:pPr>
        <w:spacing w:after="210" w:line="360" w:lineRule="auto"/>
      </w:pPr>
      <w:r>
        <w:rPr>
          <w:rFonts w:ascii="inter" w:hAnsi="inter" w:eastAsia="inter" w:cs="inter"/>
          <w:color w:val="000000"/>
        </w:rPr>
        <w:t>关键发现：</w:t>
      </w:r>
    </w:p>
    <w:p w14:paraId="54515359">
      <w:pPr>
        <w:numPr>
          <w:ilvl w:val="0"/>
          <w:numId w:val="1"/>
        </w:numPr>
        <w:spacing w:before="105" w:after="105" w:line="360" w:lineRule="auto"/>
      </w:pPr>
      <w:r>
        <w:rPr>
          <w:rFonts w:ascii="inter" w:hAnsi="inter" w:eastAsia="inter" w:cs="inter"/>
          <w:b/>
          <w:color w:val="000000"/>
          <w:sz w:val="21"/>
        </w:rPr>
        <w:t>动力转换</w:t>
      </w:r>
      <w:r>
        <w:rPr>
          <w:rFonts w:ascii="inter" w:hAnsi="inter" w:eastAsia="inter" w:cs="inter"/>
          <w:color w:val="000000"/>
          <w:sz w:val="21"/>
        </w:rPr>
        <w:t>：房地产市场已从增量扩张驱动转向存量提质、政策创新、绿色融资、城市更新四轮驱动</w:t>
      </w:r>
      <w:bookmarkStart w:id="4" w:name="fnref3"/>
      <w:bookmarkEnd w:id="4"/>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152FDD6B">
      <w:pPr>
        <w:numPr>
          <w:ilvl w:val="0"/>
          <w:numId w:val="1"/>
        </w:numPr>
        <w:spacing w:before="105" w:after="105" w:line="360" w:lineRule="auto"/>
      </w:pPr>
      <w:r>
        <w:rPr>
          <w:rFonts w:ascii="inter" w:hAnsi="inter" w:eastAsia="inter" w:cs="inter"/>
          <w:b/>
          <w:color w:val="000000"/>
          <w:sz w:val="21"/>
        </w:rPr>
        <w:t>政策底线</w:t>
      </w:r>
      <w:r>
        <w:rPr>
          <w:rFonts w:ascii="inter" w:hAnsi="inter" w:eastAsia="inter" w:cs="inter"/>
          <w:color w:val="000000"/>
          <w:sz w:val="21"/>
        </w:rPr>
        <w:t>：存量住房套户比达1.1以上，20-50岁主力购房人群迎来人口拐点，城镇化率67%，标志增量扩张时代已落幕</w:t>
      </w:r>
      <w:bookmarkStart w:id="5" w:name="fnref4"/>
      <w:bookmarkEnd w:id="5"/>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6" w:name="fnref3_1"/>
      <w:bookmarkEnd w:id="6"/>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3C90D3C8">
      <w:pPr>
        <w:numPr>
          <w:ilvl w:val="0"/>
          <w:numId w:val="1"/>
        </w:numPr>
        <w:spacing w:before="105" w:after="105" w:line="360" w:lineRule="auto"/>
      </w:pPr>
      <w:r>
        <w:rPr>
          <w:rFonts w:ascii="inter" w:hAnsi="inter" w:eastAsia="inter" w:cs="inter"/>
          <w:b/>
          <w:color w:val="000000"/>
          <w:sz w:val="21"/>
        </w:rPr>
        <w:t>新模式探索</w:t>
      </w:r>
      <w:r>
        <w:rPr>
          <w:rFonts w:ascii="inter" w:hAnsi="inter" w:eastAsia="inter" w:cs="inter"/>
          <w:color w:val="000000"/>
          <w:sz w:val="21"/>
        </w:rPr>
        <w:t>：保障房与市场并行、租购并举、公积金改革、REITs扩容等制度创新进入常态化试点阶段</w:t>
      </w:r>
    </w:p>
    <w:p w14:paraId="56091BB0">
      <w:pPr>
        <w:numPr>
          <w:ilvl w:val="0"/>
          <w:numId w:val="1"/>
        </w:numPr>
        <w:spacing w:before="105" w:after="105" w:line="360" w:lineRule="auto"/>
      </w:pPr>
      <w:r>
        <w:rPr>
          <w:rFonts w:ascii="inter" w:hAnsi="inter" w:eastAsia="inter" w:cs="inter"/>
          <w:b/>
          <w:color w:val="000000"/>
          <w:sz w:val="21"/>
        </w:rPr>
        <w:t>目标预期</w:t>
      </w:r>
      <w:r>
        <w:rPr>
          <w:rFonts w:ascii="inter" w:hAnsi="inter" w:eastAsia="inter" w:cs="inter"/>
          <w:color w:val="000000"/>
          <w:sz w:val="21"/>
        </w:rPr>
        <w:t>："十五五"时期城镇住房需求总量约49.8亿平方米，增量与存量并重转向以存量提质为主</w:t>
      </w:r>
      <w:bookmarkStart w:id="7" w:name="fnref5"/>
      <w:bookmarkEnd w:id="7"/>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2C94D587">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70E1EA41">
      <w:pPr>
        <w:spacing w:before="315" w:after="105" w:line="360" w:lineRule="auto"/>
        <w:ind w:left="-30"/>
        <w:jc w:val="left"/>
      </w:pPr>
      <w:bookmarkStart w:id="8" w:name="一_房地产行业可持续发展的战略背景与现状研判"/>
      <w:r>
        <w:rPr>
          <w:rFonts w:ascii="inter" w:hAnsi="inter" w:eastAsia="inter" w:cs="inter"/>
          <w:b/>
          <w:color w:val="000000"/>
          <w:sz w:val="24"/>
        </w:rPr>
        <w:t>一、房地产行业可持续发展的战略背景与现状研判</w:t>
      </w:r>
      <w:bookmarkEnd w:id="8"/>
    </w:p>
    <w:p w14:paraId="16CD053F">
      <w:pPr>
        <w:spacing w:before="315" w:after="105" w:line="360" w:lineRule="auto"/>
        <w:ind w:left="-30"/>
        <w:jc w:val="left"/>
      </w:pPr>
      <w:bookmarkStart w:id="9" w:name="一_发展阶段的根本性转变"/>
      <w:r>
        <w:rPr>
          <w:rFonts w:ascii="inter" w:hAnsi="inter" w:eastAsia="inter" w:cs="inter"/>
          <w:b/>
          <w:color w:val="000000"/>
          <w:sz w:val="24"/>
        </w:rPr>
        <w:t>（一）发展阶段的根本性转变</w:t>
      </w:r>
      <w:bookmarkEnd w:id="9"/>
    </w:p>
    <w:p w14:paraId="36C4ADB1">
      <w:pPr>
        <w:spacing w:before="315" w:after="105" w:line="360" w:lineRule="auto"/>
        <w:ind w:left="-30"/>
        <w:jc w:val="left"/>
      </w:pPr>
      <w:bookmarkStart w:id="10" w:name="bm_1_供求关系重构"/>
      <w:r>
        <w:rPr>
          <w:rFonts w:ascii="inter" w:hAnsi="inter" w:eastAsia="inter" w:cs="inter"/>
          <w:b/>
          <w:color w:val="000000"/>
          <w:sz w:val="24"/>
        </w:rPr>
        <w:t>1. 供求关系重构</w:t>
      </w:r>
      <w:bookmarkEnd w:id="10"/>
    </w:p>
    <w:p w14:paraId="7ADD67FA">
      <w:pPr>
        <w:spacing w:after="210" w:line="360" w:lineRule="auto"/>
      </w:pPr>
      <w:r>
        <w:rPr>
          <w:rFonts w:ascii="inter" w:hAnsi="inter" w:eastAsia="inter" w:cs="inter"/>
          <w:color w:val="000000"/>
        </w:rPr>
        <w:t>2024年以来，中国房地产市场供求关系发生重大变化，这一变化不是周期性波动，而是长期趋势的结果。据中指研究院数据，当前全国城镇存量住房规模庞大，改善性需求成为市场的主体，而刚性需求呈明显下降态势。具体而言：</w:t>
      </w:r>
      <w:bookmarkStart w:id="11" w:name="fnref5_1"/>
      <w:bookmarkEnd w:id="1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2" w:name="fnref1_1"/>
      <w:bookmarkEnd w:id="1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3" w:name="fnref3_2"/>
      <w:bookmarkEnd w:id="1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003"/>
        <w:gridCol w:w="2134"/>
        <w:gridCol w:w="2197"/>
      </w:tblGrid>
      <w:tr w14:paraId="2EB826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D998D60">
            <w:pPr>
              <w:spacing w:after="0" w:line="360" w:lineRule="auto"/>
            </w:pPr>
            <w:r>
              <w:rPr>
                <w:rFonts w:ascii="inter" w:hAnsi="inter" w:eastAsia="inter" w:cs="inter"/>
                <w:color w:val="000000"/>
                <w:sz w:val="17"/>
              </w:rPr>
              <w:t>指标</w:t>
            </w:r>
          </w:p>
        </w:tc>
        <w:tc>
          <w:tcPr>
            <w:tcBorders>
              <w:top w:val="single" w:color="000000" w:sz="0" w:space="0"/>
              <w:bottom w:val="single" w:color="000000" w:sz="0" w:space="0"/>
              <w:right w:val="single" w:color="000000" w:sz="0" w:space="0"/>
            </w:tcBorders>
          </w:tcPr>
          <w:p w14:paraId="2214144B">
            <w:pPr>
              <w:spacing w:after="0" w:line="360" w:lineRule="auto"/>
            </w:pPr>
            <w:r>
              <w:rPr>
                <w:rFonts w:ascii="inter" w:hAnsi="inter" w:eastAsia="inter" w:cs="inter"/>
                <w:color w:val="000000"/>
                <w:sz w:val="17"/>
              </w:rPr>
              <w:t>数值</w:t>
            </w:r>
          </w:p>
        </w:tc>
        <w:tc>
          <w:tcPr>
            <w:tcBorders>
              <w:top w:val="single" w:color="000000" w:sz="0" w:space="0"/>
              <w:bottom w:val="single" w:color="000000" w:sz="0" w:space="0"/>
            </w:tcBorders>
          </w:tcPr>
          <w:p w14:paraId="30212ADF">
            <w:pPr>
              <w:spacing w:after="0" w:line="360" w:lineRule="auto"/>
            </w:pPr>
            <w:r>
              <w:rPr>
                <w:rFonts w:ascii="inter" w:hAnsi="inter" w:eastAsia="inter" w:cs="inter"/>
                <w:color w:val="000000"/>
                <w:sz w:val="17"/>
              </w:rPr>
              <w:t>备注</w:t>
            </w:r>
          </w:p>
        </w:tc>
      </w:tr>
      <w:tr w14:paraId="24C1EF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1F3B4E">
            <w:pPr>
              <w:spacing w:after="0" w:line="360" w:lineRule="auto"/>
            </w:pPr>
            <w:r>
              <w:rPr>
                <w:rFonts w:ascii="inter" w:hAnsi="inter" w:eastAsia="inter" w:cs="inter"/>
                <w:color w:val="000000"/>
                <w:sz w:val="17"/>
              </w:rPr>
              <w:t>城镇化率</w:t>
            </w:r>
          </w:p>
        </w:tc>
        <w:tc>
          <w:tcPr>
            <w:tcBorders>
              <w:top w:val="single" w:color="000000" w:sz="0" w:space="0"/>
              <w:bottom w:val="single" w:color="000000" w:sz="0" w:space="0"/>
              <w:right w:val="single" w:color="000000" w:sz="0" w:space="0"/>
            </w:tcBorders>
          </w:tcPr>
          <w:p w14:paraId="6609E673">
            <w:pPr>
              <w:spacing w:after="0" w:line="360" w:lineRule="auto"/>
            </w:pPr>
            <w:r>
              <w:rPr>
                <w:rFonts w:ascii="inter" w:hAnsi="inter" w:eastAsia="inter" w:cs="inter"/>
                <w:color w:val="000000"/>
                <w:sz w:val="17"/>
              </w:rPr>
              <w:t>67%</w:t>
            </w:r>
          </w:p>
        </w:tc>
        <w:tc>
          <w:tcPr>
            <w:tcBorders>
              <w:top w:val="single" w:color="000000" w:sz="0" w:space="0"/>
              <w:bottom w:val="single" w:color="000000" w:sz="0" w:space="0"/>
            </w:tcBorders>
          </w:tcPr>
          <w:p w14:paraId="57C2C690">
            <w:pPr>
              <w:spacing w:after="0" w:line="360" w:lineRule="auto"/>
            </w:pPr>
            <w:r>
              <w:rPr>
                <w:rFonts w:ascii="inter" w:hAnsi="inter" w:eastAsia="inter" w:cs="inter"/>
                <w:color w:val="000000"/>
                <w:sz w:val="17"/>
              </w:rPr>
              <w:t>已接近发达国家水平</w:t>
            </w:r>
          </w:p>
        </w:tc>
      </w:tr>
      <w:tr w14:paraId="516AA4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B1BB5A5">
            <w:pPr>
              <w:spacing w:after="0" w:line="360" w:lineRule="auto"/>
            </w:pPr>
            <w:r>
              <w:rPr>
                <w:rFonts w:ascii="inter" w:hAnsi="inter" w:eastAsia="inter" w:cs="inter"/>
                <w:color w:val="000000"/>
                <w:sz w:val="17"/>
              </w:rPr>
              <w:t>套户比</w:t>
            </w:r>
          </w:p>
        </w:tc>
        <w:tc>
          <w:tcPr>
            <w:tcBorders>
              <w:top w:val="single" w:color="000000" w:sz="0" w:space="0"/>
              <w:bottom w:val="single" w:color="000000" w:sz="0" w:space="0"/>
              <w:right w:val="single" w:color="000000" w:sz="0" w:space="0"/>
            </w:tcBorders>
          </w:tcPr>
          <w:p w14:paraId="6C0BE665">
            <w:pPr>
              <w:spacing w:after="0" w:line="360" w:lineRule="auto"/>
            </w:pPr>
            <w:r>
              <w:rPr>
                <w:rFonts w:ascii="inter" w:hAnsi="inter" w:eastAsia="inter" w:cs="inter"/>
                <w:color w:val="000000"/>
                <w:sz w:val="17"/>
              </w:rPr>
              <w:t>&gt;1.1</w:t>
            </w:r>
          </w:p>
        </w:tc>
        <w:tc>
          <w:tcPr>
            <w:tcBorders>
              <w:top w:val="single" w:color="000000" w:sz="0" w:space="0"/>
              <w:bottom w:val="single" w:color="000000" w:sz="0" w:space="0"/>
            </w:tcBorders>
          </w:tcPr>
          <w:p w14:paraId="36D8793F">
            <w:pPr>
              <w:spacing w:after="0" w:line="360" w:lineRule="auto"/>
            </w:pPr>
            <w:r>
              <w:rPr>
                <w:rFonts w:ascii="inter" w:hAnsi="inter" w:eastAsia="inter" w:cs="inter"/>
                <w:color w:val="000000"/>
                <w:sz w:val="17"/>
              </w:rPr>
              <w:t>存量房时代特征明显</w:t>
            </w:r>
          </w:p>
        </w:tc>
      </w:tr>
      <w:tr w14:paraId="19E277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7179B28">
            <w:pPr>
              <w:spacing w:after="0" w:line="360" w:lineRule="auto"/>
            </w:pPr>
            <w:r>
              <w:rPr>
                <w:rFonts w:ascii="inter" w:hAnsi="inter" w:eastAsia="inter" w:cs="inter"/>
                <w:color w:val="000000"/>
                <w:sz w:val="17"/>
              </w:rPr>
              <w:t>二手房成交占比</w:t>
            </w:r>
          </w:p>
        </w:tc>
        <w:tc>
          <w:tcPr>
            <w:tcBorders>
              <w:top w:val="single" w:color="000000" w:sz="0" w:space="0"/>
              <w:bottom w:val="single" w:color="000000" w:sz="0" w:space="0"/>
              <w:right w:val="single" w:color="000000" w:sz="0" w:space="0"/>
            </w:tcBorders>
          </w:tcPr>
          <w:p w14:paraId="28E18D5D">
            <w:pPr>
              <w:spacing w:after="0" w:line="360" w:lineRule="auto"/>
            </w:pPr>
            <w:r>
              <w:rPr>
                <w:rFonts w:ascii="inter" w:hAnsi="inter" w:eastAsia="inter" w:cs="inter"/>
                <w:color w:val="000000"/>
                <w:sz w:val="17"/>
              </w:rPr>
              <w:t>超40%</w:t>
            </w:r>
          </w:p>
        </w:tc>
        <w:tc>
          <w:tcPr>
            <w:tcBorders>
              <w:top w:val="single" w:color="000000" w:sz="0" w:space="0"/>
              <w:bottom w:val="single" w:color="000000" w:sz="0" w:space="0"/>
            </w:tcBorders>
          </w:tcPr>
          <w:p w14:paraId="56F5A604">
            <w:pPr>
              <w:spacing w:after="0" w:line="360" w:lineRule="auto"/>
            </w:pPr>
            <w:r>
              <w:rPr>
                <w:rFonts w:ascii="inter" w:hAnsi="inter" w:eastAsia="inter" w:cs="inter"/>
                <w:color w:val="000000"/>
                <w:sz w:val="17"/>
              </w:rPr>
              <w:t>市场从增量向存量转变</w:t>
            </w:r>
          </w:p>
        </w:tc>
      </w:tr>
      <w:tr w14:paraId="49D643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9DECC5A">
            <w:pPr>
              <w:spacing w:after="0" w:line="360" w:lineRule="auto"/>
            </w:pPr>
            <w:r>
              <w:rPr>
                <w:rFonts w:ascii="inter" w:hAnsi="inter" w:eastAsia="inter" w:cs="inter"/>
                <w:color w:val="000000"/>
                <w:sz w:val="17"/>
              </w:rPr>
              <w:t>20-50岁购房人群</w:t>
            </w:r>
          </w:p>
        </w:tc>
        <w:tc>
          <w:tcPr>
            <w:tcBorders>
              <w:top w:val="single" w:color="000000" w:sz="0" w:space="0"/>
              <w:bottom w:val="single" w:color="000000" w:sz="0" w:space="0"/>
              <w:right w:val="single" w:color="000000" w:sz="0" w:space="0"/>
            </w:tcBorders>
          </w:tcPr>
          <w:p w14:paraId="5F697C77">
            <w:pPr>
              <w:spacing w:after="0" w:line="360" w:lineRule="auto"/>
            </w:pPr>
            <w:r>
              <w:rPr>
                <w:rFonts w:ascii="inter" w:hAnsi="inter" w:eastAsia="inter" w:cs="inter"/>
                <w:color w:val="000000"/>
                <w:sz w:val="17"/>
              </w:rPr>
              <w:t>人口拐点已出现</w:t>
            </w:r>
          </w:p>
        </w:tc>
        <w:tc>
          <w:tcPr>
            <w:tcBorders>
              <w:top w:val="single" w:color="000000" w:sz="0" w:space="0"/>
              <w:bottom w:val="single" w:color="000000" w:sz="0" w:space="0"/>
            </w:tcBorders>
          </w:tcPr>
          <w:p w14:paraId="13F1793D">
            <w:pPr>
              <w:spacing w:after="0" w:line="360" w:lineRule="auto"/>
            </w:pPr>
            <w:r>
              <w:rPr>
                <w:rFonts w:ascii="inter" w:hAnsi="inter" w:eastAsia="inter" w:cs="inter"/>
                <w:color w:val="000000"/>
                <w:sz w:val="17"/>
              </w:rPr>
              <w:t>长期人口结构趋势</w:t>
            </w:r>
          </w:p>
        </w:tc>
      </w:tr>
      <w:tr w14:paraId="6F20659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9349731">
            <w:pPr>
              <w:spacing w:after="0" w:line="360" w:lineRule="auto"/>
            </w:pPr>
            <w:r>
              <w:rPr>
                <w:rFonts w:ascii="inter" w:hAnsi="inter" w:eastAsia="inter" w:cs="inter"/>
                <w:color w:val="000000"/>
                <w:sz w:val="17"/>
              </w:rPr>
              <w:t>刚性/改善/更新需求比例预期（2025-2030）</w:t>
            </w:r>
          </w:p>
        </w:tc>
        <w:tc>
          <w:tcPr>
            <w:tcBorders>
              <w:top w:val="single" w:color="000000" w:sz="0" w:space="0"/>
              <w:bottom w:val="single" w:color="000000" w:sz="0" w:space="0"/>
              <w:right w:val="single" w:color="000000" w:sz="0" w:space="0"/>
            </w:tcBorders>
          </w:tcPr>
          <w:p w14:paraId="10BD0CB1">
            <w:pPr>
              <w:spacing w:after="0" w:line="360" w:lineRule="auto"/>
            </w:pPr>
            <w:r>
              <w:rPr>
                <w:rFonts w:ascii="inter" w:hAnsi="inter" w:eastAsia="inter" w:cs="inter"/>
                <w:color w:val="000000"/>
                <w:sz w:val="17"/>
              </w:rPr>
              <w:t>28.7%/41.7%/29.6%</w:t>
            </w:r>
          </w:p>
        </w:tc>
        <w:tc>
          <w:tcPr>
            <w:tcBorders>
              <w:top w:val="single" w:color="000000" w:sz="0" w:space="0"/>
              <w:bottom w:val="single" w:color="000000" w:sz="0" w:space="0"/>
            </w:tcBorders>
          </w:tcPr>
          <w:p w14:paraId="18E9D5DF">
            <w:pPr>
              <w:spacing w:after="0" w:line="360" w:lineRule="auto"/>
            </w:pPr>
            <w:r>
              <w:rPr>
                <w:rFonts w:ascii="inter" w:hAnsi="inter" w:eastAsia="inter" w:cs="inter"/>
                <w:color w:val="000000"/>
                <w:sz w:val="17"/>
              </w:rPr>
              <w:t>改善性需求成最大支撑</w:t>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r>
    </w:tbl>
    <w:p w14:paraId="3BD638C5"/>
    <w:p w14:paraId="04CEA5A5">
      <w:pPr>
        <w:spacing w:after="210" w:line="360" w:lineRule="auto"/>
      </w:pPr>
      <w:r>
        <w:rPr>
          <w:rFonts w:ascii="inter" w:hAnsi="inter" w:eastAsia="inter" w:cs="inter"/>
          <w:color w:val="000000"/>
        </w:rPr>
        <w:t>这意味着房地产市场从规模扩张进入质量优化的新阶段。住建部部长指出，从我国城镇300多亿平方米存量住房来看，房地产仍有很大的发展潜力和空间，但动力源从"增量"转向"提质"。</w:t>
      </w:r>
      <w:bookmarkStart w:id="14" w:name="fnref5_2"/>
      <w:bookmarkEnd w:id="14"/>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381D51C7">
      <w:pPr>
        <w:spacing w:before="315" w:after="105" w:line="360" w:lineRule="auto"/>
        <w:ind w:left="-30"/>
        <w:jc w:val="left"/>
      </w:pPr>
      <w:bookmarkStart w:id="15" w:name="bm_2_发展动力的多元化重构"/>
      <w:r>
        <w:rPr>
          <w:rFonts w:ascii="inter" w:hAnsi="inter" w:eastAsia="inter" w:cs="inter"/>
          <w:b/>
          <w:color w:val="000000"/>
          <w:sz w:val="24"/>
        </w:rPr>
        <w:t>2. 发展动力的多元化重构</w:t>
      </w:r>
      <w:bookmarkEnd w:id="15"/>
    </w:p>
    <w:p w14:paraId="277F297A">
      <w:pPr>
        <w:spacing w:after="210" w:line="360" w:lineRule="auto"/>
      </w:pPr>
      <w:r>
        <w:rPr>
          <w:rFonts w:ascii="inter" w:hAnsi="inter" w:eastAsia="inter" w:cs="inter"/>
          <w:color w:val="000000"/>
        </w:rPr>
        <w:t>据《十五五规划建议》和中央经济工作会议，房地产行业发展动力经历三个阶段的转变：</w:t>
      </w:r>
      <w:bookmarkStart w:id="16" w:name="fnref6"/>
      <w:bookmarkEnd w:id="16"/>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7" w:name="fnref1_2"/>
      <w:bookmarkEnd w:id="1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194F0A4F">
      <w:pPr>
        <w:spacing w:after="210" w:line="360" w:lineRule="auto"/>
      </w:pPr>
      <w:r>
        <w:rPr>
          <w:rFonts w:ascii="inter" w:hAnsi="inter" w:eastAsia="inter" w:cs="inter"/>
          <w:b/>
          <w:color w:val="000000"/>
        </w:rPr>
        <w:t>过往模式（2000-2020）</w:t>
      </w:r>
      <w:r>
        <w:rPr>
          <w:rFonts w:ascii="inter" w:hAnsi="inter" w:eastAsia="inter" w:cs="inter"/>
          <w:color w:val="000000"/>
        </w:rPr>
        <w:t>：单一的土地财政依赖、规模扩张驱动。房地产增加值占GDP比重达7.3%，带动相关产业合计占GDP约17%。</w:t>
      </w:r>
      <w:bookmarkStart w:id="18" w:name="fnref7"/>
      <w:bookmarkEnd w:id="1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7D0238A0">
      <w:pPr>
        <w:spacing w:after="210" w:line="360" w:lineRule="auto"/>
      </w:pPr>
      <w:r>
        <w:rPr>
          <w:rFonts w:ascii="inter" w:hAnsi="inter" w:eastAsia="inter" w:cs="inter"/>
          <w:b/>
          <w:color w:val="000000"/>
        </w:rPr>
        <w:t>过渡期（2020-2025）</w:t>
      </w:r>
      <w:r>
        <w:rPr>
          <w:rFonts w:ascii="inter" w:hAnsi="inter" w:eastAsia="inter" w:cs="inter"/>
          <w:color w:val="000000"/>
        </w:rPr>
        <w:t>：从高速增长向高质量发展阶段转向。党中央采取三方面举措——危机治理（化解房地产、金融风险）、结构优化（供给侧改革）、扩大内需（发展新质生产力）。</w:t>
      </w:r>
      <w:bookmarkStart w:id="19" w:name="fnref7_1"/>
      <w:bookmarkEnd w:id="1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7FC8AEE9">
      <w:pPr>
        <w:spacing w:after="210" w:line="360" w:lineRule="auto"/>
      </w:pPr>
      <w:r>
        <w:rPr>
          <w:rFonts w:ascii="inter" w:hAnsi="inter" w:eastAsia="inter" w:cs="inter"/>
          <w:b/>
          <w:color w:val="000000"/>
        </w:rPr>
        <w:t>新时代（2025-2035）</w:t>
      </w:r>
      <w:r>
        <w:rPr>
          <w:rFonts w:ascii="inter" w:hAnsi="inter" w:eastAsia="inter" w:cs="inter"/>
          <w:color w:val="000000"/>
        </w:rPr>
        <w:t>：形成政策供给侧创新、金融工具创新、ESG规范化、城市更新赋能四轮并驱的发展格局。</w:t>
      </w:r>
    </w:p>
    <w:p w14:paraId="60A2D991">
      <w:pPr>
        <w:spacing w:before="315" w:after="105" w:line="360" w:lineRule="auto"/>
        <w:ind w:left="-30"/>
        <w:jc w:val="left"/>
      </w:pPr>
      <w:bookmarkStart w:id="20" w:name="二_存量时代的战略含义"/>
      <w:r>
        <w:rPr>
          <w:rFonts w:ascii="inter" w:hAnsi="inter" w:eastAsia="inter" w:cs="inter"/>
          <w:b/>
          <w:color w:val="000000"/>
          <w:sz w:val="24"/>
        </w:rPr>
        <w:t>（二）存量时代的战略含义</w:t>
      </w:r>
      <w:bookmarkEnd w:id="20"/>
    </w:p>
    <w:p w14:paraId="117EE845">
      <w:pPr>
        <w:spacing w:after="210" w:line="360" w:lineRule="auto"/>
      </w:pPr>
      <w:r>
        <w:rPr>
          <w:rFonts w:ascii="inter" w:hAnsi="inter" w:eastAsia="inter" w:cs="inter"/>
          <w:color w:val="000000"/>
        </w:rPr>
        <w:t>据任泽平等业界专家研究，"存量房主导时代"具有三层含义：</w:t>
      </w:r>
      <w:bookmarkStart w:id="21" w:name="fnref3_4"/>
      <w:bookmarkEnd w:id="2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78CB1484">
      <w:pPr>
        <w:spacing w:after="210" w:line="360" w:lineRule="auto"/>
      </w:pPr>
      <w:r>
        <w:rPr>
          <w:rFonts w:ascii="inter" w:hAnsi="inter" w:eastAsia="inter" w:cs="inter"/>
          <w:b/>
          <w:color w:val="000000"/>
        </w:rPr>
        <w:t>一是市场结构变化</w:t>
      </w:r>
      <w:r>
        <w:rPr>
          <w:rFonts w:ascii="inter" w:hAnsi="inter" w:eastAsia="inter" w:cs="inter"/>
          <w:color w:val="000000"/>
        </w:rPr>
        <w:t>。多数改善性需求通过"一买一卖"的置换模式实现，这一市场结构决定了房地产市场从增量扩张到存量提质的路径转换。据住建部数据，2024年全国各地共实施城市更新项目6万余个，投资约2.9万亿元，比2023年的2.6万亿元有所增长。</w:t>
      </w:r>
      <w:bookmarkStart w:id="22" w:name="fnref8"/>
      <w:bookmarkEnd w:id="2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6525F1CB">
      <w:pPr>
        <w:spacing w:after="210" w:line="360" w:lineRule="auto"/>
      </w:pPr>
      <w:r>
        <w:rPr>
          <w:rFonts w:ascii="inter" w:hAnsi="inter" w:eastAsia="inter" w:cs="inter"/>
          <w:b/>
          <w:color w:val="000000"/>
        </w:rPr>
        <w:t>二是政策导向转变</w:t>
      </w:r>
      <w:r>
        <w:rPr>
          <w:rFonts w:ascii="inter" w:hAnsi="inter" w:eastAsia="inter" w:cs="inter"/>
          <w:color w:val="000000"/>
        </w:rPr>
        <w:t>。中央政治局会议明确提出"对商品房建设要严控增量、优化存量、提高质量"。这一"控量提质"的调控思路反映房地产市场供求关系的重大变化。</w:t>
      </w:r>
      <w:bookmarkStart w:id="23" w:name="fnref9"/>
      <w:bookmarkEnd w:id="2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58B490E">
      <w:pPr>
        <w:spacing w:after="210" w:line="360" w:lineRule="auto"/>
      </w:pPr>
      <w:r>
        <w:rPr>
          <w:rFonts w:ascii="inter" w:hAnsi="inter" w:eastAsia="inter" w:cs="inter"/>
          <w:b/>
          <w:color w:val="000000"/>
        </w:rPr>
        <w:t>三是城市分化加剧</w:t>
      </w:r>
      <w:r>
        <w:rPr>
          <w:rFonts w:ascii="inter" w:hAnsi="inter" w:eastAsia="inter" w:cs="inter"/>
          <w:color w:val="000000"/>
        </w:rPr>
        <w:t>。人口集聚到核心城市核心区域成为长期趋势。土地供应将更加注重与房企购地意向对接，侧重优质土地和好地段土地供应，预计未来新增土地供应将进一步向人口集聚、产业集聚的核心城市的核心区域倾斜。</w:t>
      </w:r>
      <w:bookmarkStart w:id="24" w:name="fnref3_5"/>
      <w:bookmarkEnd w:id="2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25968C4">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068B158E">
      <w:pPr>
        <w:spacing w:before="315" w:after="105" w:line="360" w:lineRule="auto"/>
        <w:ind w:left="-30"/>
        <w:jc w:val="left"/>
      </w:pPr>
      <w:bookmarkStart w:id="25" w:name="二_房地产可持续发展的四大内生动力"/>
      <w:r>
        <w:rPr>
          <w:rFonts w:ascii="inter" w:hAnsi="inter" w:eastAsia="inter" w:cs="inter"/>
          <w:b/>
          <w:color w:val="000000"/>
          <w:sz w:val="24"/>
        </w:rPr>
        <w:t>二、房地产可持续发展的四大内生动力</w:t>
      </w:r>
      <w:bookmarkEnd w:id="25"/>
    </w:p>
    <w:p w14:paraId="73D850F1">
      <w:pPr>
        <w:spacing w:before="315" w:after="105" w:line="360" w:lineRule="auto"/>
        <w:ind w:left="-30"/>
        <w:jc w:val="left"/>
      </w:pPr>
      <w:bookmarkStart w:id="26" w:name="一_政策供给侧转变_从短期工具到长期战略"/>
      <w:r>
        <w:rPr>
          <w:rFonts w:ascii="inter" w:hAnsi="inter" w:eastAsia="inter" w:cs="inter"/>
          <w:b/>
          <w:color w:val="000000"/>
          <w:sz w:val="24"/>
        </w:rPr>
        <w:t>（一）政策供给侧转变：从短期工具到长期战略</w:t>
      </w:r>
      <w:bookmarkEnd w:id="26"/>
    </w:p>
    <w:p w14:paraId="1DDBFC95">
      <w:pPr>
        <w:spacing w:before="315" w:after="105" w:line="360" w:lineRule="auto"/>
        <w:ind w:left="-30"/>
        <w:jc w:val="left"/>
      </w:pPr>
      <w:bookmarkStart w:id="27" w:name="bm_1_供给侧精准施策的三个层面"/>
      <w:r>
        <w:rPr>
          <w:rFonts w:ascii="inter" w:hAnsi="inter" w:eastAsia="inter" w:cs="inter"/>
          <w:b/>
          <w:color w:val="000000"/>
          <w:sz w:val="24"/>
        </w:rPr>
        <w:t>1. 供给侧精准施策的三个层面</w:t>
      </w:r>
      <w:bookmarkEnd w:id="27"/>
    </w:p>
    <w:p w14:paraId="0C6DDEBA">
      <w:pPr>
        <w:spacing w:after="210" w:line="360" w:lineRule="auto"/>
      </w:pPr>
      <w:r>
        <w:rPr>
          <w:rFonts w:ascii="inter" w:hAnsi="inter" w:eastAsia="inter" w:cs="inter"/>
          <w:color w:val="000000"/>
        </w:rPr>
        <w:t>据住建部2025年末的表述，房地产高质量发展需要从供给端这一"牛鼻子"进行多维度协同发力：</w:t>
      </w:r>
      <w:bookmarkStart w:id="28" w:name="fnref10"/>
      <w:bookmarkEnd w:id="28"/>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0B739892">
      <w:pPr>
        <w:spacing w:after="210" w:line="360" w:lineRule="auto"/>
      </w:pPr>
      <w:r>
        <w:rPr>
          <w:rFonts w:ascii="inter" w:hAnsi="inter" w:eastAsia="inter" w:cs="inter"/>
          <w:b/>
          <w:color w:val="000000"/>
        </w:rPr>
        <w:t>（1）控增量层面</w:t>
      </w:r>
      <w:r>
        <w:rPr>
          <w:rFonts w:ascii="inter" w:hAnsi="inter" w:eastAsia="inter" w:cs="inter"/>
          <w:color w:val="000000"/>
        </w:rPr>
        <w:t>。顺应存量时代趋势转变发展思路，坚持"合理控制增量、优化调整存量、着力提高质量"。具体表现为：</w:t>
      </w:r>
      <w:bookmarkStart w:id="29" w:name="fnref10_1"/>
      <w:bookmarkEnd w:id="2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5D595A86">
      <w:pPr>
        <w:numPr>
          <w:ilvl w:val="0"/>
          <w:numId w:val="2"/>
        </w:numPr>
        <w:spacing w:before="105" w:after="105" w:line="360" w:lineRule="auto"/>
      </w:pPr>
      <w:r>
        <w:rPr>
          <w:rFonts w:ascii="inter" w:hAnsi="inter" w:eastAsia="inter" w:cs="inter"/>
          <w:color w:val="000000"/>
          <w:sz w:val="21"/>
        </w:rPr>
        <w:t>合理控制新增房地产用地供应，2025年中央经济工作会议首次提出此要求</w:t>
      </w:r>
      <w:bookmarkStart w:id="30" w:name="fnref3_6"/>
      <w:bookmarkEnd w:id="30"/>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35D088F1">
      <w:pPr>
        <w:numPr>
          <w:ilvl w:val="0"/>
          <w:numId w:val="2"/>
        </w:numPr>
        <w:spacing w:before="105" w:after="105" w:line="360" w:lineRule="auto"/>
      </w:pPr>
      <w:r>
        <w:rPr>
          <w:rFonts w:ascii="inter" w:hAnsi="inter" w:eastAsia="inter" w:cs="inter"/>
          <w:color w:val="000000"/>
          <w:sz w:val="21"/>
        </w:rPr>
        <w:t>严控增量不意味着"零增长"，而是科学配置——向人口集聚、产业发展的核心城市和优质地段倾斜</w:t>
      </w:r>
    </w:p>
    <w:p w14:paraId="2FCCAE80">
      <w:pPr>
        <w:numPr>
          <w:ilvl w:val="0"/>
          <w:numId w:val="2"/>
        </w:numPr>
        <w:spacing w:before="105" w:after="105" w:line="360" w:lineRule="auto"/>
      </w:pPr>
      <w:r>
        <w:rPr>
          <w:rFonts w:ascii="inter" w:hAnsi="inter" w:eastAsia="inter" w:cs="inter"/>
          <w:color w:val="000000"/>
          <w:sz w:val="21"/>
        </w:rPr>
        <w:t>优化增量结构，鼓励开发更多满足刚性和改善需求的多样化产品</w:t>
      </w:r>
    </w:p>
    <w:p w14:paraId="6ED3C6BE">
      <w:pPr>
        <w:spacing w:after="210" w:line="360" w:lineRule="auto"/>
      </w:pPr>
      <w:r>
        <w:rPr>
          <w:rFonts w:ascii="inter" w:hAnsi="inter" w:eastAsia="inter" w:cs="inter"/>
          <w:b/>
          <w:color w:val="000000"/>
        </w:rPr>
        <w:t>（2）存量盘活层面</w:t>
      </w:r>
      <w:r>
        <w:rPr>
          <w:rFonts w:ascii="inter" w:hAnsi="inter" w:eastAsia="inter" w:cs="inter"/>
          <w:color w:val="000000"/>
        </w:rPr>
        <w:t>。2025年房地产"存量盘活"是供给侧结构性改革的核心。政策层面已将"盘活存量用地和商办用房"列为重点任务，并赋予地方政府在收购主体、价格及用途上更大自主权。具体路径包括：</w:t>
      </w:r>
      <w:bookmarkStart w:id="31" w:name="fnref11"/>
      <w:bookmarkEnd w:id="31"/>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5"/>
        <w:gridCol w:w="2360"/>
        <w:gridCol w:w="3725"/>
      </w:tblGrid>
      <w:tr w14:paraId="3FBFC5D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49D2DC">
            <w:pPr>
              <w:spacing w:after="0" w:line="360" w:lineRule="auto"/>
            </w:pPr>
            <w:r>
              <w:rPr>
                <w:rFonts w:ascii="inter" w:hAnsi="inter" w:eastAsia="inter" w:cs="inter"/>
                <w:color w:val="000000"/>
                <w:sz w:val="17"/>
              </w:rPr>
              <w:t>盘活路径</w:t>
            </w:r>
          </w:p>
        </w:tc>
        <w:tc>
          <w:tcPr>
            <w:tcBorders>
              <w:top w:val="single" w:color="000000" w:sz="0" w:space="0"/>
              <w:bottom w:val="single" w:color="000000" w:sz="0" w:space="0"/>
              <w:right w:val="single" w:color="000000" w:sz="0" w:space="0"/>
            </w:tcBorders>
          </w:tcPr>
          <w:p w14:paraId="1928A8EA">
            <w:pPr>
              <w:spacing w:after="0" w:line="360" w:lineRule="auto"/>
            </w:pPr>
            <w:r>
              <w:rPr>
                <w:rFonts w:ascii="inter" w:hAnsi="inter" w:eastAsia="inter" w:cs="inter"/>
                <w:color w:val="000000"/>
                <w:sz w:val="17"/>
              </w:rPr>
              <w:t>实施方式</w:t>
            </w:r>
          </w:p>
        </w:tc>
        <w:tc>
          <w:tcPr>
            <w:tcBorders>
              <w:top w:val="single" w:color="000000" w:sz="0" w:space="0"/>
              <w:bottom w:val="single" w:color="000000" w:sz="0" w:space="0"/>
            </w:tcBorders>
          </w:tcPr>
          <w:p w14:paraId="1FCB8922">
            <w:pPr>
              <w:spacing w:after="0" w:line="360" w:lineRule="auto"/>
            </w:pPr>
            <w:r>
              <w:rPr>
                <w:rFonts w:ascii="inter" w:hAnsi="inter" w:eastAsia="inter" w:cs="inter"/>
                <w:color w:val="000000"/>
                <w:sz w:val="17"/>
              </w:rPr>
              <w:t>效果预期</w:t>
            </w:r>
          </w:p>
        </w:tc>
      </w:tr>
      <w:tr w14:paraId="45335F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94D01A6">
            <w:pPr>
              <w:spacing w:after="0" w:line="360" w:lineRule="auto"/>
            </w:pPr>
            <w:r>
              <w:rPr>
                <w:rFonts w:ascii="inter" w:hAnsi="inter" w:eastAsia="inter" w:cs="inter"/>
                <w:color w:val="000000"/>
                <w:sz w:val="17"/>
              </w:rPr>
              <w:t>金融支持</w:t>
            </w:r>
          </w:p>
        </w:tc>
        <w:tc>
          <w:tcPr>
            <w:tcBorders>
              <w:top w:val="single" w:color="000000" w:sz="0" w:space="0"/>
              <w:bottom w:val="single" w:color="000000" w:sz="0" w:space="0"/>
              <w:right w:val="single" w:color="000000" w:sz="0" w:space="0"/>
            </w:tcBorders>
          </w:tcPr>
          <w:p w14:paraId="3758EB75">
            <w:pPr>
              <w:spacing w:after="0" w:line="360" w:lineRule="auto"/>
            </w:pPr>
            <w:r>
              <w:rPr>
                <w:rFonts w:ascii="inter" w:hAnsi="inter" w:eastAsia="inter" w:cs="inter"/>
                <w:color w:val="000000"/>
                <w:sz w:val="17"/>
              </w:rPr>
              <w:t>专项债、再贷款等工具</w:t>
            </w:r>
          </w:p>
        </w:tc>
        <w:tc>
          <w:tcPr>
            <w:tcBorders>
              <w:top w:val="single" w:color="000000" w:sz="0" w:space="0"/>
              <w:bottom w:val="single" w:color="000000" w:sz="0" w:space="0"/>
            </w:tcBorders>
          </w:tcPr>
          <w:p w14:paraId="33D3E4FF">
            <w:pPr>
              <w:spacing w:after="0" w:line="360" w:lineRule="auto"/>
            </w:pPr>
            <w:r>
              <w:rPr>
                <w:rFonts w:ascii="inter" w:hAnsi="inter" w:eastAsia="inter" w:cs="inter"/>
                <w:color w:val="000000"/>
                <w:sz w:val="17"/>
              </w:rPr>
              <w:t>为收储和改造提供资金支撑</w:t>
            </w:r>
          </w:p>
        </w:tc>
      </w:tr>
      <w:tr w14:paraId="02FF08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C9B38E5">
            <w:pPr>
              <w:spacing w:after="0" w:line="360" w:lineRule="auto"/>
            </w:pPr>
            <w:r>
              <w:rPr>
                <w:rFonts w:ascii="inter" w:hAnsi="inter" w:eastAsia="inter" w:cs="inter"/>
                <w:color w:val="000000"/>
                <w:sz w:val="17"/>
              </w:rPr>
              <w:t>多方合作</w:t>
            </w:r>
          </w:p>
        </w:tc>
        <w:tc>
          <w:tcPr>
            <w:tcBorders>
              <w:top w:val="single" w:color="000000" w:sz="0" w:space="0"/>
              <w:bottom w:val="single" w:color="000000" w:sz="0" w:space="0"/>
              <w:right w:val="single" w:color="000000" w:sz="0" w:space="0"/>
            </w:tcBorders>
          </w:tcPr>
          <w:p w14:paraId="7205F698">
            <w:pPr>
              <w:spacing w:after="0" w:line="360" w:lineRule="auto"/>
            </w:pPr>
            <w:r>
              <w:rPr>
                <w:rFonts w:ascii="inter" w:hAnsi="inter" w:eastAsia="inter" w:cs="inter"/>
                <w:color w:val="000000"/>
                <w:sz w:val="17"/>
              </w:rPr>
              <w:t>政府、企业、社会资本联合</w:t>
            </w:r>
          </w:p>
        </w:tc>
        <w:tc>
          <w:tcPr>
            <w:tcBorders>
              <w:top w:val="single" w:color="000000" w:sz="0" w:space="0"/>
              <w:bottom w:val="single" w:color="000000" w:sz="0" w:space="0"/>
            </w:tcBorders>
          </w:tcPr>
          <w:p w14:paraId="31502BFA">
            <w:pPr>
              <w:spacing w:after="0" w:line="360" w:lineRule="auto"/>
            </w:pPr>
            <w:r>
              <w:rPr>
                <w:rFonts w:ascii="inter" w:hAnsi="inter" w:eastAsia="inter" w:cs="inter"/>
                <w:color w:val="000000"/>
                <w:sz w:val="17"/>
              </w:rPr>
              <w:t>通过基金、土地用途转换等方式激活难点地块</w:t>
            </w:r>
          </w:p>
        </w:tc>
      </w:tr>
      <w:tr w14:paraId="3191998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5F3E52D">
            <w:pPr>
              <w:spacing w:after="0" w:line="360" w:lineRule="auto"/>
            </w:pPr>
            <w:r>
              <w:rPr>
                <w:rFonts w:ascii="inter" w:hAnsi="inter" w:eastAsia="inter" w:cs="inter"/>
                <w:color w:val="000000"/>
                <w:sz w:val="17"/>
              </w:rPr>
              <w:t>市场流转</w:t>
            </w:r>
          </w:p>
        </w:tc>
        <w:tc>
          <w:tcPr>
            <w:tcBorders>
              <w:top w:val="single" w:color="000000" w:sz="0" w:space="0"/>
              <w:bottom w:val="single" w:color="000000" w:sz="0" w:space="0"/>
              <w:right w:val="single" w:color="000000" w:sz="0" w:space="0"/>
            </w:tcBorders>
          </w:tcPr>
          <w:p w14:paraId="537C8A65">
            <w:pPr>
              <w:spacing w:after="0" w:line="360" w:lineRule="auto"/>
            </w:pPr>
            <w:r>
              <w:rPr>
                <w:rFonts w:ascii="inter" w:hAnsi="inter" w:eastAsia="inter" w:cs="inter"/>
                <w:color w:val="000000"/>
                <w:sz w:val="17"/>
              </w:rPr>
              <w:t>交易、改造提升价值</w:t>
            </w:r>
          </w:p>
        </w:tc>
        <w:tc>
          <w:tcPr>
            <w:tcBorders>
              <w:top w:val="single" w:color="000000" w:sz="0" w:space="0"/>
              <w:bottom w:val="single" w:color="000000" w:sz="0" w:space="0"/>
            </w:tcBorders>
          </w:tcPr>
          <w:p w14:paraId="448A84E0">
            <w:pPr>
              <w:spacing w:after="0" w:line="360" w:lineRule="auto"/>
            </w:pPr>
            <w:r>
              <w:rPr>
                <w:rFonts w:ascii="inter" w:hAnsi="inter" w:eastAsia="inter" w:cs="inter"/>
                <w:color w:val="000000"/>
                <w:sz w:val="17"/>
              </w:rPr>
              <w:t>房转保、文旅、康养等多元用途</w:t>
            </w:r>
          </w:p>
        </w:tc>
      </w:tr>
    </w:tbl>
    <w:p w14:paraId="0284D992"/>
    <w:p w14:paraId="10A93B42">
      <w:pPr>
        <w:spacing w:after="210" w:line="360" w:lineRule="auto"/>
      </w:pPr>
      <w:r>
        <w:rPr>
          <w:rFonts w:ascii="inter" w:hAnsi="inter" w:eastAsia="inter" w:cs="inter"/>
          <w:b/>
          <w:color w:val="000000"/>
        </w:rPr>
        <w:t>（3）质量提升层面</w:t>
      </w:r>
      <w:r>
        <w:rPr>
          <w:rFonts w:ascii="inter" w:hAnsi="inter" w:eastAsia="inter" w:cs="inter"/>
          <w:color w:val="000000"/>
        </w:rPr>
        <w:t>。"好房子"建设成为供给侧改革的重要抓手。据《十五五规划建议》，要"建设安全舒适绿色智慧的'好房子'"。</w:t>
      </w:r>
      <w:bookmarkStart w:id="32" w:name="fnref2_1"/>
      <w:bookmarkEnd w:id="3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33" w:name="fnref1_3"/>
      <w:bookmarkEnd w:id="3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F82319B">
      <w:pPr>
        <w:spacing w:before="315" w:after="105" w:line="360" w:lineRule="auto"/>
        <w:ind w:left="-30"/>
        <w:jc w:val="left"/>
      </w:pPr>
      <w:bookmarkStart w:id="34" w:name="bm_2_保障房与市场的动态平衡"/>
      <w:r>
        <w:rPr>
          <w:rFonts w:ascii="inter" w:hAnsi="inter" w:eastAsia="inter" w:cs="inter"/>
          <w:b/>
          <w:color w:val="000000"/>
          <w:sz w:val="24"/>
        </w:rPr>
        <w:t>2. 保障房与市场的动态平衡</w:t>
      </w:r>
      <w:bookmarkEnd w:id="34"/>
    </w:p>
    <w:p w14:paraId="7D78DC55">
      <w:pPr>
        <w:spacing w:after="210" w:line="360" w:lineRule="auto"/>
      </w:pPr>
      <w:r>
        <w:rPr>
          <w:rFonts w:ascii="inter" w:hAnsi="inter" w:eastAsia="inter" w:cs="inter"/>
          <w:color w:val="000000"/>
        </w:rPr>
        <w:t>据中央经济工作会议及相关政策部署，保障房供给优化成为稳投资、保民生的重要路径。关键政策包括：</w:t>
      </w:r>
      <w:bookmarkStart w:id="35" w:name="fnref12"/>
      <w:bookmarkEnd w:id="3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36" w:name="fnref6_1"/>
      <w:bookmarkEnd w:id="36"/>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C969297">
      <w:pPr>
        <w:spacing w:after="210" w:line="360" w:lineRule="auto"/>
      </w:pPr>
      <w:r>
        <w:rPr>
          <w:rFonts w:ascii="inter" w:hAnsi="inter" w:eastAsia="inter" w:cs="inter"/>
          <w:b/>
          <w:color w:val="000000"/>
        </w:rPr>
        <w:t>收购存量商品房用作保障房</w:t>
      </w:r>
      <w:r>
        <w:rPr>
          <w:rFonts w:ascii="inter" w:hAnsi="inter" w:eastAsia="inter" w:cs="inter"/>
          <w:color w:val="000000"/>
        </w:rPr>
        <w:t>：这一模式实现了"去库存"与"保民生"的双赢。浙江、四川、山东、湖南等省份已发行专项债券用于收购存量商品房并转化为保障房，形成了可复制的实践经验。</w:t>
      </w:r>
      <w:bookmarkStart w:id="37" w:name="fnref4_1"/>
      <w:bookmarkEnd w:id="3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4F5E2BA6">
      <w:pPr>
        <w:spacing w:after="210" w:line="360" w:lineRule="auto"/>
      </w:pPr>
      <w:r>
        <w:rPr>
          <w:rFonts w:ascii="inter" w:hAnsi="inter" w:eastAsia="inter" w:cs="inter"/>
          <w:b/>
          <w:color w:val="000000"/>
        </w:rPr>
        <w:t>政策框架下的利益平衡</w:t>
      </w:r>
      <w:r>
        <w:rPr>
          <w:rFonts w:ascii="inter" w:hAnsi="inter" w:eastAsia="inter" w:cs="inter"/>
          <w:color w:val="000000"/>
        </w:rPr>
        <w:t>：</w:t>
      </w:r>
    </w:p>
    <w:p w14:paraId="526808A3">
      <w:pPr>
        <w:numPr>
          <w:ilvl w:val="0"/>
          <w:numId w:val="3"/>
        </w:numPr>
        <w:spacing w:before="105" w:after="105" w:line="360" w:lineRule="auto"/>
      </w:pPr>
      <w:r>
        <w:rPr>
          <w:rFonts w:ascii="inter" w:hAnsi="inter" w:eastAsia="inter" w:cs="inter"/>
          <w:color w:val="000000"/>
          <w:sz w:val="21"/>
        </w:rPr>
        <w:t>房企：通过收购可获得稳定现金流回笼，缓解资金压力</w:t>
      </w:r>
    </w:p>
    <w:p w14:paraId="78EE13AB">
      <w:pPr>
        <w:numPr>
          <w:ilvl w:val="0"/>
          <w:numId w:val="3"/>
        </w:numPr>
        <w:spacing w:before="105" w:after="105" w:line="360" w:lineRule="auto"/>
      </w:pPr>
      <w:r>
        <w:rPr>
          <w:rFonts w:ascii="inter" w:hAnsi="inter" w:eastAsia="inter" w:cs="inter"/>
          <w:color w:val="000000"/>
          <w:sz w:val="21"/>
        </w:rPr>
        <w:t>地方政府：拓宽保障房供给渠道，降低保障房建设周期与成本</w:t>
      </w:r>
    </w:p>
    <w:p w14:paraId="003DC332">
      <w:pPr>
        <w:numPr>
          <w:ilvl w:val="0"/>
          <w:numId w:val="3"/>
        </w:numPr>
        <w:spacing w:before="105" w:after="105" w:line="360" w:lineRule="auto"/>
      </w:pPr>
      <w:r>
        <w:rPr>
          <w:rFonts w:ascii="inter" w:hAnsi="inter" w:eastAsia="inter" w:cs="inter"/>
          <w:color w:val="000000"/>
          <w:sz w:val="21"/>
        </w:rPr>
        <w:t>购房者：实现"有房住"到"住好房"的升级</w:t>
      </w:r>
    </w:p>
    <w:p w14:paraId="42A25160">
      <w:pPr>
        <w:spacing w:after="210" w:line="360" w:lineRule="auto"/>
      </w:pPr>
      <w:r>
        <w:rPr>
          <w:rFonts w:ascii="inter" w:hAnsi="inter" w:eastAsia="inter" w:cs="inter"/>
          <w:color w:val="000000"/>
        </w:rPr>
        <w:t>中指研究院预测，"十五五"时期，全国城镇住房需求总量约为49.8亿平方米。在市场+保障体系框架下，预计保障房与商品房的供给比例将进一步优化。</w:t>
      </w:r>
      <w:bookmarkStart w:id="38" w:name="fnref5_3"/>
      <w:bookmarkEnd w:id="3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13A051D">
      <w:pPr>
        <w:spacing w:before="315" w:after="105" w:line="360" w:lineRule="auto"/>
        <w:ind w:left="-30"/>
        <w:jc w:val="left"/>
      </w:pPr>
      <w:bookmarkStart w:id="39" w:name="二_金融支持创新_从直接刺激到结构化工具"/>
      <w:r>
        <w:rPr>
          <w:rFonts w:ascii="inter" w:hAnsi="inter" w:eastAsia="inter" w:cs="inter"/>
          <w:b/>
          <w:color w:val="000000"/>
          <w:sz w:val="24"/>
        </w:rPr>
        <w:t>（二）金融支持创新：从直接刺激到结构化工具</w:t>
      </w:r>
      <w:bookmarkEnd w:id="39"/>
    </w:p>
    <w:p w14:paraId="3979E052">
      <w:pPr>
        <w:spacing w:before="315" w:after="105" w:line="360" w:lineRule="auto"/>
        <w:ind w:left="-30"/>
        <w:jc w:val="left"/>
      </w:pPr>
      <w:bookmarkStart w:id="40" w:name="bm_1_结构性货币政策工具的精准发力"/>
      <w:r>
        <w:rPr>
          <w:rFonts w:ascii="inter" w:hAnsi="inter" w:eastAsia="inter" w:cs="inter"/>
          <w:b/>
          <w:color w:val="000000"/>
          <w:sz w:val="24"/>
        </w:rPr>
        <w:t>1. 结构性货币政策工具的精准发力</w:t>
      </w:r>
      <w:bookmarkEnd w:id="40"/>
    </w:p>
    <w:p w14:paraId="18BDDEEF">
      <w:pPr>
        <w:spacing w:after="210" w:line="360" w:lineRule="auto"/>
      </w:pPr>
      <w:r>
        <w:rPr>
          <w:rFonts w:ascii="inter" w:hAnsi="inter" w:eastAsia="inter" w:cs="inter"/>
          <w:color w:val="000000"/>
        </w:rPr>
        <w:t>2026年1月，央行公布了八项政策措施，为房地产行业提供多维度金融支撑：</w:t>
      </w:r>
      <w:bookmarkStart w:id="41" w:name="fnref13"/>
      <w:bookmarkEnd w:id="4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42" w:name="fnref14"/>
      <w:bookmarkEnd w:id="4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45"/>
        <w:gridCol w:w="2954"/>
        <w:gridCol w:w="2705"/>
      </w:tblGrid>
      <w:tr w14:paraId="13C8CBA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8563FA2">
            <w:pPr>
              <w:spacing w:after="0" w:line="360" w:lineRule="auto"/>
            </w:pPr>
            <w:r>
              <w:rPr>
                <w:rFonts w:ascii="inter" w:hAnsi="inter" w:eastAsia="inter" w:cs="inter"/>
                <w:color w:val="000000"/>
                <w:sz w:val="17"/>
              </w:rPr>
              <w:t>工具类型</w:t>
            </w:r>
          </w:p>
        </w:tc>
        <w:tc>
          <w:tcPr>
            <w:tcBorders>
              <w:top w:val="single" w:color="000000" w:sz="0" w:space="0"/>
              <w:bottom w:val="single" w:color="000000" w:sz="0" w:space="0"/>
              <w:right w:val="single" w:color="000000" w:sz="0" w:space="0"/>
            </w:tcBorders>
          </w:tcPr>
          <w:p w14:paraId="4146AD81">
            <w:pPr>
              <w:spacing w:after="0" w:line="360" w:lineRule="auto"/>
            </w:pPr>
            <w:r>
              <w:rPr>
                <w:rFonts w:ascii="inter" w:hAnsi="inter" w:eastAsia="inter" w:cs="inter"/>
                <w:color w:val="000000"/>
                <w:sz w:val="17"/>
              </w:rPr>
              <w:t>政策内容</w:t>
            </w:r>
          </w:p>
        </w:tc>
        <w:tc>
          <w:tcPr>
            <w:tcBorders>
              <w:top w:val="single" w:color="000000" w:sz="0" w:space="0"/>
              <w:bottom w:val="single" w:color="000000" w:sz="0" w:space="0"/>
            </w:tcBorders>
          </w:tcPr>
          <w:p w14:paraId="14353029">
            <w:pPr>
              <w:spacing w:after="0" w:line="360" w:lineRule="auto"/>
            </w:pPr>
            <w:r>
              <w:rPr>
                <w:rFonts w:ascii="inter" w:hAnsi="inter" w:eastAsia="inter" w:cs="inter"/>
                <w:color w:val="000000"/>
                <w:sz w:val="17"/>
              </w:rPr>
              <w:t>传导机制</w:t>
            </w:r>
          </w:p>
        </w:tc>
      </w:tr>
      <w:tr w14:paraId="4269B3B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5FF56D">
            <w:pPr>
              <w:spacing w:after="0" w:line="360" w:lineRule="auto"/>
            </w:pPr>
            <w:r>
              <w:rPr>
                <w:rFonts w:ascii="inter" w:hAnsi="inter" w:eastAsia="inter" w:cs="inter"/>
                <w:color w:val="000000"/>
                <w:sz w:val="17"/>
              </w:rPr>
              <w:t>再贷款降息</w:t>
            </w:r>
          </w:p>
        </w:tc>
        <w:tc>
          <w:tcPr>
            <w:tcBorders>
              <w:top w:val="single" w:color="000000" w:sz="0" w:space="0"/>
              <w:bottom w:val="single" w:color="000000" w:sz="0" w:space="0"/>
              <w:right w:val="single" w:color="000000" w:sz="0" w:space="0"/>
            </w:tcBorders>
          </w:tcPr>
          <w:p w14:paraId="6D9D670E">
            <w:pPr>
              <w:spacing w:after="0" w:line="360" w:lineRule="auto"/>
            </w:pPr>
            <w:r>
              <w:rPr>
                <w:rFonts w:ascii="inter" w:hAnsi="inter" w:eastAsia="inter" w:cs="inter"/>
                <w:color w:val="000000"/>
                <w:sz w:val="17"/>
              </w:rPr>
              <w:t>下调各类结构性工具利率0.25%</w:t>
            </w:r>
          </w:p>
        </w:tc>
        <w:tc>
          <w:tcPr>
            <w:tcBorders>
              <w:top w:val="single" w:color="000000" w:sz="0" w:space="0"/>
              <w:bottom w:val="single" w:color="000000" w:sz="0" w:space="0"/>
            </w:tcBorders>
          </w:tcPr>
          <w:p w14:paraId="3C77F93C">
            <w:pPr>
              <w:spacing w:after="0" w:line="360" w:lineRule="auto"/>
            </w:pPr>
            <w:r>
              <w:rPr>
                <w:rFonts w:ascii="inter" w:hAnsi="inter" w:eastAsia="inter" w:cs="inter"/>
                <w:color w:val="000000"/>
                <w:sz w:val="17"/>
              </w:rPr>
              <w:t>直接降低房企和购房者融资成本</w:t>
            </w:r>
          </w:p>
        </w:tc>
      </w:tr>
      <w:tr w14:paraId="6CE54B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4B5318F">
            <w:pPr>
              <w:spacing w:after="0" w:line="360" w:lineRule="auto"/>
            </w:pPr>
            <w:r>
              <w:rPr>
                <w:rFonts w:ascii="inter" w:hAnsi="inter" w:eastAsia="inter" w:cs="inter"/>
                <w:color w:val="000000"/>
                <w:sz w:val="17"/>
              </w:rPr>
              <w:t>支农支小并联</w:t>
            </w:r>
          </w:p>
        </w:tc>
        <w:tc>
          <w:tcPr>
            <w:tcBorders>
              <w:top w:val="single" w:color="000000" w:sz="0" w:space="0"/>
              <w:bottom w:val="single" w:color="000000" w:sz="0" w:space="0"/>
              <w:right w:val="single" w:color="000000" w:sz="0" w:space="0"/>
            </w:tcBorders>
          </w:tcPr>
          <w:p w14:paraId="450FC291">
            <w:pPr>
              <w:spacing w:after="0" w:line="360" w:lineRule="auto"/>
            </w:pPr>
            <w:r>
              <w:rPr>
                <w:rFonts w:ascii="inter" w:hAnsi="inter" w:eastAsia="inter" w:cs="inter"/>
                <w:color w:val="000000"/>
                <w:sz w:val="17"/>
              </w:rPr>
              <w:t>增加支农支小再贷款额度5000亿</w:t>
            </w:r>
          </w:p>
        </w:tc>
        <w:tc>
          <w:tcPr>
            <w:tcBorders>
              <w:top w:val="single" w:color="000000" w:sz="0" w:space="0"/>
              <w:bottom w:val="single" w:color="000000" w:sz="0" w:space="0"/>
            </w:tcBorders>
          </w:tcPr>
          <w:p w14:paraId="47674D98">
            <w:pPr>
              <w:spacing w:after="0" w:line="360" w:lineRule="auto"/>
            </w:pPr>
            <w:r>
              <w:rPr>
                <w:rFonts w:ascii="inter" w:hAnsi="inter" w:eastAsia="inter" w:cs="inter"/>
                <w:color w:val="000000"/>
                <w:sz w:val="17"/>
              </w:rPr>
              <w:t>间接支持县域和小型房企</w:t>
            </w:r>
          </w:p>
        </w:tc>
      </w:tr>
      <w:tr w14:paraId="261EE4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61F4FD8">
            <w:pPr>
              <w:spacing w:after="0" w:line="360" w:lineRule="auto"/>
            </w:pPr>
            <w:r>
              <w:rPr>
                <w:rFonts w:ascii="inter" w:hAnsi="inter" w:eastAsia="inter" w:cs="inter"/>
                <w:color w:val="000000"/>
                <w:sz w:val="17"/>
              </w:rPr>
              <w:t>商业用房首付</w:t>
            </w:r>
          </w:p>
        </w:tc>
        <w:tc>
          <w:tcPr>
            <w:tcBorders>
              <w:top w:val="single" w:color="000000" w:sz="0" w:space="0"/>
              <w:bottom w:val="single" w:color="000000" w:sz="0" w:space="0"/>
              <w:right w:val="single" w:color="000000" w:sz="0" w:space="0"/>
            </w:tcBorders>
          </w:tcPr>
          <w:p w14:paraId="483AB718">
            <w:pPr>
              <w:spacing w:after="0" w:line="360" w:lineRule="auto"/>
            </w:pPr>
            <w:r>
              <w:rPr>
                <w:rFonts w:ascii="inter" w:hAnsi="inter" w:eastAsia="inter" w:cs="inter"/>
                <w:color w:val="000000"/>
                <w:sz w:val="17"/>
              </w:rPr>
              <w:t>下调商办购房贷款最低首付至30%</w:t>
            </w:r>
          </w:p>
        </w:tc>
        <w:tc>
          <w:tcPr>
            <w:tcBorders>
              <w:top w:val="single" w:color="000000" w:sz="0" w:space="0"/>
              <w:bottom w:val="single" w:color="000000" w:sz="0" w:space="0"/>
            </w:tcBorders>
          </w:tcPr>
          <w:p w14:paraId="7BC846E4">
            <w:pPr>
              <w:spacing w:after="0" w:line="360" w:lineRule="auto"/>
            </w:pPr>
            <w:r>
              <w:rPr>
                <w:rFonts w:ascii="inter" w:hAnsi="inter" w:eastAsia="inter" w:cs="inter"/>
                <w:color w:val="000000"/>
                <w:sz w:val="17"/>
              </w:rPr>
              <w:t>激活商业地产去库存</w:t>
            </w:r>
          </w:p>
        </w:tc>
      </w:tr>
      <w:tr w14:paraId="2B6FB4E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AB0F7D7">
            <w:pPr>
              <w:spacing w:after="0" w:line="360" w:lineRule="auto"/>
            </w:pPr>
            <w:r>
              <w:rPr>
                <w:rFonts w:ascii="inter" w:hAnsi="inter" w:eastAsia="inter" w:cs="inter"/>
                <w:color w:val="000000"/>
                <w:sz w:val="17"/>
              </w:rPr>
              <w:t>绿色建筑支持</w:t>
            </w:r>
          </w:p>
        </w:tc>
        <w:tc>
          <w:tcPr>
            <w:tcBorders>
              <w:top w:val="single" w:color="000000" w:sz="0" w:space="0"/>
              <w:bottom w:val="single" w:color="000000" w:sz="0" w:space="0"/>
              <w:right w:val="single" w:color="000000" w:sz="0" w:space="0"/>
            </w:tcBorders>
          </w:tcPr>
          <w:p w14:paraId="61E827D5">
            <w:pPr>
              <w:spacing w:after="0" w:line="360" w:lineRule="auto"/>
            </w:pPr>
            <w:r>
              <w:rPr>
                <w:rFonts w:ascii="inter" w:hAnsi="inter" w:eastAsia="inter" w:cs="inter"/>
                <w:color w:val="000000"/>
                <w:sz w:val="17"/>
              </w:rPr>
              <w:t>拓展碳减排工具支持范围</w:t>
            </w:r>
          </w:p>
        </w:tc>
        <w:tc>
          <w:tcPr>
            <w:tcBorders>
              <w:top w:val="single" w:color="000000" w:sz="0" w:space="0"/>
              <w:bottom w:val="single" w:color="000000" w:sz="0" w:space="0"/>
            </w:tcBorders>
          </w:tcPr>
          <w:p w14:paraId="34A2B412">
            <w:pPr>
              <w:spacing w:after="0" w:line="360" w:lineRule="auto"/>
            </w:pPr>
            <w:r>
              <w:rPr>
                <w:rFonts w:ascii="inter" w:hAnsi="inter" w:eastAsia="inter" w:cs="inter"/>
                <w:color w:val="000000"/>
                <w:sz w:val="17"/>
              </w:rPr>
              <w:t>引导房企向绿色低碳转型</w:t>
            </w:r>
          </w:p>
        </w:tc>
      </w:tr>
    </w:tbl>
    <w:p w14:paraId="26ED4807"/>
    <w:p w14:paraId="695B0536">
      <w:pPr>
        <w:spacing w:before="315" w:after="105" w:line="360" w:lineRule="auto"/>
        <w:ind w:left="-30"/>
        <w:jc w:val="left"/>
      </w:pPr>
      <w:bookmarkStart w:id="43" w:name="bm_2_reits市场扩容_不动产金融化的新阶段"/>
      <w:r>
        <w:rPr>
          <w:rFonts w:ascii="inter" w:hAnsi="inter" w:eastAsia="inter" w:cs="inter"/>
          <w:b/>
          <w:color w:val="000000"/>
          <w:sz w:val="24"/>
        </w:rPr>
        <w:t>2. REITs市场扩容：不动产金融化的新阶段</w:t>
      </w:r>
      <w:bookmarkEnd w:id="43"/>
    </w:p>
    <w:p w14:paraId="7D2186A4">
      <w:pPr>
        <w:spacing w:after="210" w:line="360" w:lineRule="auto"/>
      </w:pPr>
      <w:r>
        <w:rPr>
          <w:rFonts w:ascii="inter" w:hAnsi="inter" w:eastAsia="inter" w:cs="inter"/>
          <w:color w:val="000000"/>
        </w:rPr>
        <w:t>2025年12月31日，证监会正式推出商业不动产REITs试点，标志着中国不动产金融化进程迈入全新阶段。这一突破性政策意义深远：</w:t>
      </w:r>
      <w:bookmarkStart w:id="44" w:name="fnref15"/>
      <w:bookmarkEnd w:id="44"/>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5" w:name="fnref16"/>
      <w:bookmarkEnd w:id="4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08D1E28A">
      <w:pPr>
        <w:spacing w:after="210" w:line="360" w:lineRule="auto"/>
      </w:pPr>
      <w:r>
        <w:rPr>
          <w:rFonts w:ascii="inter" w:hAnsi="inter" w:eastAsia="inter" w:cs="inter"/>
          <w:b/>
          <w:color w:val="000000"/>
        </w:rPr>
        <w:t>市场规模激增</w:t>
      </w:r>
      <w:r>
        <w:rPr>
          <w:rFonts w:ascii="inter" w:hAnsi="inter" w:eastAsia="inter" w:cs="inter"/>
          <w:color w:val="000000"/>
        </w:rPr>
        <w:t>：据统计，2025年全市场公募REITs产品扩容至78只，总规模达2100亿元，2025年新增发行20单。其中保障性租赁住房REITs成为亮点，已有8单成功发行，二级市场平均年化分红率达3%。</w:t>
      </w:r>
      <w:bookmarkStart w:id="46" w:name="fnref16_1"/>
      <w:bookmarkEnd w:id="46"/>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1E268DF0">
      <w:pPr>
        <w:spacing w:after="210" w:line="360" w:lineRule="auto"/>
      </w:pPr>
      <w:r>
        <w:rPr>
          <w:rFonts w:ascii="inter" w:hAnsi="inter" w:eastAsia="inter" w:cs="inter"/>
          <w:b/>
          <w:color w:val="000000"/>
        </w:rPr>
        <w:t>运作机制创新</w:t>
      </w:r>
      <w:r>
        <w:rPr>
          <w:rFonts w:ascii="inter" w:hAnsi="inter" w:eastAsia="inter" w:cs="inter"/>
          <w:color w:val="000000"/>
        </w:rPr>
        <w:t>：</w:t>
      </w:r>
    </w:p>
    <w:p w14:paraId="484F6D12">
      <w:pPr>
        <w:numPr>
          <w:ilvl w:val="0"/>
          <w:numId w:val="4"/>
        </w:numPr>
        <w:spacing w:before="105" w:after="105" w:line="360" w:lineRule="auto"/>
      </w:pPr>
      <w:r>
        <w:rPr>
          <w:rFonts w:ascii="inter" w:hAnsi="inter" w:eastAsia="inter" w:cs="inter"/>
          <w:b/>
          <w:color w:val="000000"/>
          <w:sz w:val="21"/>
        </w:rPr>
        <w:t>前端培育</w:t>
      </w:r>
      <w:r>
        <w:rPr>
          <w:rFonts w:ascii="inter" w:hAnsi="inter" w:eastAsia="inter" w:cs="inter"/>
          <w:color w:val="000000"/>
          <w:sz w:val="21"/>
        </w:rPr>
        <w:t>：Pre-REITs基金进行资产培育</w:t>
      </w:r>
    </w:p>
    <w:p w14:paraId="2998E9FB">
      <w:pPr>
        <w:numPr>
          <w:ilvl w:val="0"/>
          <w:numId w:val="4"/>
        </w:numPr>
        <w:spacing w:before="105" w:after="105" w:line="360" w:lineRule="auto"/>
      </w:pPr>
      <w:r>
        <w:rPr>
          <w:rFonts w:ascii="inter" w:hAnsi="inter" w:eastAsia="inter" w:cs="inter"/>
          <w:b/>
          <w:color w:val="000000"/>
          <w:sz w:val="21"/>
        </w:rPr>
        <w:t>中端证券化</w:t>
      </w:r>
      <w:r>
        <w:rPr>
          <w:rFonts w:ascii="inter" w:hAnsi="inter" w:eastAsia="inter" w:cs="inter"/>
          <w:color w:val="000000"/>
          <w:sz w:val="21"/>
        </w:rPr>
        <w:t>：公募REITs实现市场化退出，为原始权益人提供持续资金回笼渠道</w:t>
      </w:r>
    </w:p>
    <w:p w14:paraId="25A930A9">
      <w:pPr>
        <w:numPr>
          <w:ilvl w:val="0"/>
          <w:numId w:val="4"/>
        </w:numPr>
        <w:spacing w:before="105" w:after="105" w:line="360" w:lineRule="auto"/>
      </w:pPr>
      <w:r>
        <w:rPr>
          <w:rFonts w:ascii="inter" w:hAnsi="inter" w:eastAsia="inter" w:cs="inter"/>
          <w:b/>
          <w:color w:val="000000"/>
          <w:sz w:val="21"/>
        </w:rPr>
        <w:t>后端扩募</w:t>
      </w:r>
      <w:r>
        <w:rPr>
          <w:rFonts w:ascii="inter" w:hAnsi="inter" w:eastAsia="inter" w:cs="inter"/>
          <w:color w:val="000000"/>
          <w:sz w:val="21"/>
        </w:rPr>
        <w:t>：通过扩募机制持续注入新资产，形成"培育—退出—再培育"的全周期闭环</w:t>
      </w:r>
      <w:bookmarkStart w:id="47" w:name="fnref17"/>
      <w:bookmarkEnd w:id="47"/>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729387D2">
      <w:pPr>
        <w:spacing w:after="210" w:line="360" w:lineRule="auto"/>
      </w:pPr>
      <w:r>
        <w:rPr>
          <w:rFonts w:ascii="inter" w:hAnsi="inter" w:eastAsia="inter" w:cs="inter"/>
          <w:color w:val="000000"/>
        </w:rPr>
        <w:t>以汇添富上海地产租赁住房REIT为例，其扩募选择浦东核心区优质资产补位，通过跨区域布局（闵行+浦东）分散风险，同时利用浦东租金水平优势（16.25-276.92元/月/平方米）实现收益升级。</w:t>
      </w:r>
      <w:bookmarkStart w:id="48" w:name="fnref17_1"/>
      <w:bookmarkEnd w:id="48"/>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41717D6C">
      <w:pPr>
        <w:spacing w:after="210" w:line="360" w:lineRule="auto"/>
      </w:pPr>
      <w:r>
        <w:rPr>
          <w:rFonts w:ascii="inter" w:hAnsi="inter" w:eastAsia="inter" w:cs="inter"/>
          <w:b/>
          <w:color w:val="000000"/>
        </w:rPr>
        <w:t>政策支撑体系</w:t>
      </w:r>
      <w:r>
        <w:rPr>
          <w:rFonts w:ascii="inter" w:hAnsi="inter" w:eastAsia="inter" w:cs="inter"/>
          <w:color w:val="000000"/>
        </w:rPr>
        <w:t>：</w:t>
      </w:r>
    </w:p>
    <w:p w14:paraId="1148E9EE">
      <w:pPr>
        <w:numPr>
          <w:ilvl w:val="0"/>
          <w:numId w:val="5"/>
        </w:numPr>
        <w:spacing w:before="105" w:after="105" w:line="360" w:lineRule="auto"/>
      </w:pPr>
      <w:r>
        <w:rPr>
          <w:rFonts w:ascii="inter" w:hAnsi="inter" w:eastAsia="inter" w:cs="inter"/>
          <w:color w:val="000000"/>
          <w:sz w:val="21"/>
        </w:rPr>
        <w:t>上交所修订业务规则，完善商业不动产REITs上市审核、发售交易等全流程规范</w:t>
      </w:r>
    </w:p>
    <w:p w14:paraId="3C7BA98D">
      <w:pPr>
        <w:numPr>
          <w:ilvl w:val="0"/>
          <w:numId w:val="5"/>
        </w:numPr>
        <w:spacing w:before="105" w:after="105" w:line="360" w:lineRule="auto"/>
      </w:pPr>
      <w:r>
        <w:rPr>
          <w:rFonts w:ascii="inter" w:hAnsi="inter" w:eastAsia="inter" w:cs="inter"/>
          <w:color w:val="000000"/>
          <w:sz w:val="21"/>
        </w:rPr>
        <w:t>扩募机制优化，将扩募间隔期缩短至6个月，受理至首次反馈时间从30个工作日缩短至20个工作日</w:t>
      </w:r>
      <w:bookmarkStart w:id="49" w:name="fnref15_1"/>
      <w:bookmarkEnd w:id="49"/>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3034CAA8">
      <w:pPr>
        <w:numPr>
          <w:ilvl w:val="0"/>
          <w:numId w:val="5"/>
        </w:numPr>
        <w:spacing w:before="105" w:after="105" w:line="360" w:lineRule="auto"/>
      </w:pPr>
      <w:r>
        <w:rPr>
          <w:rFonts w:ascii="inter" w:hAnsi="inter" w:eastAsia="inter" w:cs="inter"/>
          <w:color w:val="000000"/>
          <w:sz w:val="21"/>
        </w:rPr>
        <w:t>建立"1+3+N"制度体系，明确推进REITs市场扩容扩围</w:t>
      </w:r>
    </w:p>
    <w:p w14:paraId="38BDC123">
      <w:pPr>
        <w:spacing w:before="315" w:after="105" w:line="360" w:lineRule="auto"/>
        <w:ind w:left="-30"/>
        <w:jc w:val="left"/>
      </w:pPr>
      <w:bookmarkStart w:id="50" w:name="bm_3_公积金改革的深化"/>
      <w:r>
        <w:rPr>
          <w:rFonts w:ascii="inter" w:hAnsi="inter" w:eastAsia="inter" w:cs="inter"/>
          <w:b/>
          <w:color w:val="000000"/>
          <w:sz w:val="24"/>
        </w:rPr>
        <w:t>3. 公积金改革的深化</w:t>
      </w:r>
      <w:bookmarkEnd w:id="50"/>
    </w:p>
    <w:p w14:paraId="4E120A70">
      <w:pPr>
        <w:spacing w:after="210" w:line="360" w:lineRule="auto"/>
      </w:pPr>
      <w:r>
        <w:rPr>
          <w:rFonts w:ascii="inter" w:hAnsi="inter" w:eastAsia="inter" w:cs="inter"/>
          <w:color w:val="000000"/>
        </w:rPr>
        <w:t>深化住房公积金制度改革是2026年房地产工作的重点。改革方向包括：</w:t>
      </w:r>
      <w:bookmarkStart w:id="51" w:name="fnref6_2"/>
      <w:bookmarkEnd w:id="5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7DF8A3A">
      <w:pPr>
        <w:numPr>
          <w:ilvl w:val="0"/>
          <w:numId w:val="6"/>
        </w:numPr>
        <w:spacing w:before="105" w:after="105" w:line="360" w:lineRule="auto"/>
      </w:pPr>
      <w:r>
        <w:rPr>
          <w:rFonts w:ascii="inter" w:hAnsi="inter" w:eastAsia="inter" w:cs="inter"/>
          <w:color w:val="000000"/>
          <w:sz w:val="21"/>
        </w:rPr>
        <w:t>丰富对住房消费支持途径</w:t>
      </w:r>
    </w:p>
    <w:p w14:paraId="39725E35">
      <w:pPr>
        <w:numPr>
          <w:ilvl w:val="0"/>
          <w:numId w:val="6"/>
        </w:numPr>
        <w:spacing w:before="105" w:after="105" w:line="360" w:lineRule="auto"/>
      </w:pPr>
      <w:r>
        <w:rPr>
          <w:rFonts w:ascii="inter" w:hAnsi="inter" w:eastAsia="inter" w:cs="inter"/>
          <w:color w:val="000000"/>
          <w:sz w:val="21"/>
        </w:rPr>
        <w:t>强化对住房消费支持力度</w:t>
      </w:r>
    </w:p>
    <w:p w14:paraId="1EE4C214">
      <w:pPr>
        <w:numPr>
          <w:ilvl w:val="0"/>
          <w:numId w:val="6"/>
        </w:numPr>
        <w:spacing w:before="105" w:after="105" w:line="360" w:lineRule="auto"/>
      </w:pPr>
      <w:r>
        <w:rPr>
          <w:rFonts w:ascii="inter" w:hAnsi="inter" w:eastAsia="inter" w:cs="inter"/>
          <w:color w:val="000000"/>
          <w:sz w:val="21"/>
        </w:rPr>
        <w:t>合理扩展支持群体范围</w:t>
      </w:r>
    </w:p>
    <w:p w14:paraId="4594C20E">
      <w:pPr>
        <w:spacing w:after="210" w:line="360" w:lineRule="auto"/>
      </w:pPr>
      <w:r>
        <w:rPr>
          <w:rFonts w:ascii="inter" w:hAnsi="inter" w:eastAsia="inter" w:cs="inter"/>
          <w:color w:val="000000"/>
        </w:rPr>
        <w:t>这一改革旨在通过制度创新，激活合理需求，既解当前之困，更着眼长期供需平衡。</w:t>
      </w:r>
    </w:p>
    <w:p w14:paraId="61194EE2">
      <w:pPr>
        <w:spacing w:before="315" w:after="105" w:line="360" w:lineRule="auto"/>
        <w:ind w:left="-30"/>
        <w:jc w:val="left"/>
      </w:pPr>
      <w:bookmarkStart w:id="52" w:name="三_esg规范化与绿色金融引擎"/>
      <w:r>
        <w:rPr>
          <w:rFonts w:ascii="inter" w:hAnsi="inter" w:eastAsia="inter" w:cs="inter"/>
          <w:b/>
          <w:color w:val="000000"/>
          <w:sz w:val="24"/>
        </w:rPr>
        <w:t>（三）ESG规范化与绿色金融引擎</w:t>
      </w:r>
      <w:bookmarkEnd w:id="52"/>
    </w:p>
    <w:p w14:paraId="2FAEBF30">
      <w:pPr>
        <w:spacing w:before="315" w:after="105" w:line="360" w:lineRule="auto"/>
        <w:ind w:left="-30"/>
        <w:jc w:val="left"/>
      </w:pPr>
      <w:bookmarkStart w:id="53" w:name="bm_1_企业可持续发展评价体系的建立"/>
      <w:r>
        <w:rPr>
          <w:rFonts w:ascii="inter" w:hAnsi="inter" w:eastAsia="inter" w:cs="inter"/>
          <w:b/>
          <w:color w:val="000000"/>
          <w:sz w:val="24"/>
        </w:rPr>
        <w:t>1. 企业可持续发展评价体系的建立</w:t>
      </w:r>
      <w:bookmarkEnd w:id="53"/>
    </w:p>
    <w:p w14:paraId="7A1B1127">
      <w:pPr>
        <w:spacing w:after="210" w:line="360" w:lineRule="auto"/>
      </w:pPr>
      <w:r>
        <w:rPr>
          <w:rFonts w:ascii="inter" w:hAnsi="inter" w:eastAsia="inter" w:cs="inter"/>
          <w:color w:val="000000"/>
        </w:rPr>
        <w:t>在"十五五"规划建议和"双碳"战略的引领下，房地产行业正式迈入"可量化低碳时代"。2025年，行业实现三个标准化突破：</w:t>
      </w:r>
      <w:bookmarkStart w:id="54" w:name="fnref18"/>
      <w:bookmarkEnd w:id="54"/>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3630A41A">
      <w:pPr>
        <w:spacing w:after="210" w:line="360" w:lineRule="auto"/>
      </w:pPr>
      <w:r>
        <w:rPr>
          <w:rFonts w:ascii="inter" w:hAnsi="inter" w:eastAsia="inter" w:cs="inter"/>
          <w:b/>
          <w:color w:val="000000"/>
        </w:rPr>
        <w:t>国家层面标准</w:t>
      </w:r>
      <w:r>
        <w:rPr>
          <w:rFonts w:ascii="inter" w:hAnsi="inter" w:eastAsia="inter" w:cs="inter"/>
          <w:color w:val="000000"/>
        </w:rPr>
        <w:t>：</w:t>
      </w:r>
    </w:p>
    <w:p w14:paraId="0B38DAFA">
      <w:pPr>
        <w:numPr>
          <w:ilvl w:val="0"/>
          <w:numId w:val="7"/>
        </w:numPr>
        <w:spacing w:before="105" w:after="105" w:line="360" w:lineRule="auto"/>
      </w:pPr>
      <w:r>
        <w:rPr>
          <w:rFonts w:ascii="inter" w:hAnsi="inter" w:eastAsia="inter" w:cs="inter"/>
          <w:color w:val="000000"/>
          <w:sz w:val="21"/>
        </w:rPr>
        <w:t>《企业可持续披露准则——基本准则（试行）》</w:t>
      </w:r>
    </w:p>
    <w:p w14:paraId="2F2DE049">
      <w:pPr>
        <w:numPr>
          <w:ilvl w:val="0"/>
          <w:numId w:val="7"/>
        </w:numPr>
        <w:spacing w:before="105" w:after="105" w:line="360" w:lineRule="auto"/>
      </w:pPr>
      <w:r>
        <w:rPr>
          <w:rFonts w:ascii="inter" w:hAnsi="inter" w:eastAsia="inter" w:cs="inter"/>
          <w:color w:val="000000"/>
          <w:sz w:val="21"/>
        </w:rPr>
        <w:t>《温室气体产品碳足迹量化要求和指南》</w:t>
      </w:r>
    </w:p>
    <w:p w14:paraId="4646FE89">
      <w:pPr>
        <w:numPr>
          <w:ilvl w:val="0"/>
          <w:numId w:val="7"/>
        </w:numPr>
        <w:spacing w:before="105" w:after="105" w:line="360" w:lineRule="auto"/>
      </w:pPr>
      <w:r>
        <w:rPr>
          <w:rFonts w:ascii="inter" w:hAnsi="inter" w:eastAsia="inter" w:cs="inter"/>
          <w:color w:val="000000"/>
          <w:sz w:val="21"/>
        </w:rPr>
        <w:t>18项温室气体排放核算国家标准于2024年4月实施</w:t>
      </w:r>
      <w:bookmarkStart w:id="55" w:name="fnref18_1"/>
      <w:bookmarkEnd w:id="55"/>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3A82292C">
      <w:pPr>
        <w:spacing w:after="210" w:line="360" w:lineRule="auto"/>
      </w:pPr>
      <w:r>
        <w:rPr>
          <w:rFonts w:ascii="inter" w:hAnsi="inter" w:eastAsia="inter" w:cs="inter"/>
          <w:b/>
          <w:color w:val="000000"/>
        </w:rPr>
        <w:t>行业层面标准</w:t>
      </w:r>
      <w:r>
        <w:rPr>
          <w:rFonts w:ascii="inter" w:hAnsi="inter" w:eastAsia="inter" w:cs="inter"/>
          <w:color w:val="000000"/>
        </w:rPr>
        <w:t>：</w:t>
      </w:r>
    </w:p>
    <w:p w14:paraId="5C9D0EF7">
      <w:pPr>
        <w:numPr>
          <w:ilvl w:val="0"/>
          <w:numId w:val="8"/>
        </w:numPr>
        <w:spacing w:before="105" w:after="105" w:line="360" w:lineRule="auto"/>
      </w:pPr>
      <w:r>
        <w:rPr>
          <w:rFonts w:ascii="inter" w:hAnsi="inter" w:eastAsia="inter" w:cs="inter"/>
          <w:color w:val="000000"/>
          <w:sz w:val="21"/>
        </w:rPr>
        <w:t>国内首个房地产企业ESG评价标准启动应用</w:t>
      </w:r>
    </w:p>
    <w:p w14:paraId="1CB48DB6">
      <w:pPr>
        <w:numPr>
          <w:ilvl w:val="0"/>
          <w:numId w:val="8"/>
        </w:numPr>
        <w:spacing w:before="105" w:after="105" w:line="360" w:lineRule="auto"/>
      </w:pPr>
      <w:r>
        <w:rPr>
          <w:rFonts w:ascii="inter" w:hAnsi="inter" w:eastAsia="inter" w:cs="inter"/>
          <w:color w:val="000000"/>
          <w:sz w:val="21"/>
        </w:rPr>
        <w:t>《住宅全装修工程碳排放计算标准》（2024年5月发布）</w:t>
      </w:r>
    </w:p>
    <w:p w14:paraId="513B6668">
      <w:pPr>
        <w:numPr>
          <w:ilvl w:val="0"/>
          <w:numId w:val="8"/>
        </w:numPr>
        <w:spacing w:before="105" w:after="105" w:line="360" w:lineRule="auto"/>
      </w:pPr>
      <w:r>
        <w:rPr>
          <w:rFonts w:ascii="inter" w:hAnsi="inter" w:eastAsia="inter" w:cs="inter"/>
          <w:color w:val="000000"/>
          <w:sz w:val="21"/>
        </w:rPr>
        <w:t>《健康人居建筑环境评价标准》（2025年12月实施）</w:t>
      </w:r>
      <w:bookmarkStart w:id="56" w:name="fnref18_2"/>
      <w:bookmarkEnd w:id="56"/>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0A5AA575">
      <w:pPr>
        <w:spacing w:after="210" w:line="360" w:lineRule="auto"/>
      </w:pPr>
      <w:r>
        <w:rPr>
          <w:rFonts w:ascii="inter" w:hAnsi="inter" w:eastAsia="inter" w:cs="inter"/>
          <w:b/>
          <w:color w:val="000000"/>
        </w:rPr>
        <w:t>企业实践水平</w:t>
      </w:r>
      <w:r>
        <w:rPr>
          <w:rFonts w:ascii="inter" w:hAnsi="inter" w:eastAsia="inter" w:cs="inter"/>
          <w:color w:val="000000"/>
        </w:rPr>
        <w:t>：据易居研究院与克而瑞联合发布的《2025房地产上市公司ESG测评研究报告》，49家典型房企中：</w:t>
      </w:r>
    </w:p>
    <w:p w14:paraId="5A2C60D4">
      <w:pPr>
        <w:numPr>
          <w:ilvl w:val="0"/>
          <w:numId w:val="9"/>
        </w:numPr>
        <w:spacing w:before="105" w:after="105" w:line="360" w:lineRule="auto"/>
      </w:pPr>
      <w:r>
        <w:rPr>
          <w:rFonts w:ascii="inter" w:hAnsi="inter" w:eastAsia="inter" w:cs="inter"/>
          <w:color w:val="000000"/>
          <w:sz w:val="21"/>
        </w:rPr>
        <w:t>19家房企环保数据覆盖指标全面（占39%），包含温室气体排放、废弃物排放、水资源消耗、绿色建筑四方面</w:t>
      </w:r>
      <w:bookmarkStart w:id="57" w:name="fnref19"/>
      <w:bookmarkEnd w:id="57"/>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67BC7929">
      <w:pPr>
        <w:numPr>
          <w:ilvl w:val="0"/>
          <w:numId w:val="9"/>
        </w:numPr>
        <w:spacing w:before="105" w:after="105" w:line="360" w:lineRule="auto"/>
      </w:pPr>
      <w:r>
        <w:rPr>
          <w:rFonts w:ascii="inter" w:hAnsi="inter" w:eastAsia="inter" w:cs="inter"/>
          <w:color w:val="000000"/>
          <w:sz w:val="21"/>
        </w:rPr>
        <w:t>45家房企披露风险防控信息（占91.8%），显示风险管理体系普遍建立</w:t>
      </w:r>
      <w:bookmarkStart w:id="58" w:name="fnref18_3"/>
      <w:bookmarkEnd w:id="58"/>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21CAB4DA">
      <w:pPr>
        <w:spacing w:before="315" w:after="105" w:line="360" w:lineRule="auto"/>
        <w:ind w:left="-30"/>
        <w:jc w:val="left"/>
      </w:pPr>
      <w:bookmarkStart w:id="59" w:name="bm_2_绿色融资的三大机遇"/>
      <w:r>
        <w:rPr>
          <w:rFonts w:ascii="inter" w:hAnsi="inter" w:eastAsia="inter" w:cs="inter"/>
          <w:b/>
          <w:color w:val="000000"/>
          <w:sz w:val="24"/>
        </w:rPr>
        <w:t>2. 绿色融资的三大机遇</w:t>
      </w:r>
      <w:bookmarkEnd w:id="59"/>
    </w:p>
    <w:p w14:paraId="2BB24D8C">
      <w:pPr>
        <w:spacing w:after="210" w:line="360" w:lineRule="auto"/>
      </w:pPr>
      <w:r>
        <w:rPr>
          <w:rFonts w:ascii="inter" w:hAnsi="inter" w:eastAsia="inter" w:cs="inter"/>
          <w:color w:val="000000"/>
        </w:rPr>
        <w:t>ESG已从基础合规要求升级为房企高质量发展的核心引擎，催生三大发展机遇：</w:t>
      </w:r>
      <w:bookmarkStart w:id="60" w:name="fnref18_4"/>
      <w:bookmarkEnd w:id="60"/>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50EE8361">
      <w:pPr>
        <w:spacing w:after="210" w:line="360" w:lineRule="auto"/>
      </w:pPr>
      <w:r>
        <w:rPr>
          <w:rFonts w:ascii="inter" w:hAnsi="inter" w:eastAsia="inter" w:cs="inter"/>
          <w:b/>
          <w:color w:val="000000"/>
        </w:rPr>
        <w:t>（1）绿色融资通道拓宽</w:t>
      </w:r>
    </w:p>
    <w:p w14:paraId="147D8C9C">
      <w:pPr>
        <w:spacing w:after="210" w:line="360" w:lineRule="auto"/>
      </w:pPr>
      <w:r>
        <w:rPr>
          <w:rFonts w:ascii="inter" w:hAnsi="inter" w:eastAsia="inter" w:cs="inter"/>
          <w:color w:val="000000"/>
        </w:rPr>
        <w:t>传统融资收紧背景下，绿色债券成为重要突破口。依据《绿色债券支持项目目录》，超低能耗建筑、可再生能源等项目最高可获总投资80%的绿债资金支持。ESG评级优异企业更易获得低成本融资。</w:t>
      </w:r>
    </w:p>
    <w:p w14:paraId="1F1D6FCB">
      <w:pPr>
        <w:spacing w:after="210" w:line="360" w:lineRule="auto"/>
      </w:pPr>
      <w:r>
        <w:rPr>
          <w:rFonts w:ascii="inter" w:hAnsi="inter" w:eastAsia="inter" w:cs="inter"/>
          <w:color w:val="000000"/>
        </w:rPr>
        <w:t>据央行新动向，"拓展碳减排支持工具的支持领域，纳入节能改造、绿色升级、能源绿色低碳转型等更多具有碳减排效应的项目"，为房地产绿色转型提供直接金融支撑。</w:t>
      </w:r>
      <w:bookmarkStart w:id="61" w:name="fnref13_1"/>
      <w:bookmarkEnd w:id="6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48C1B70C">
      <w:pPr>
        <w:spacing w:after="210" w:line="360" w:lineRule="auto"/>
      </w:pPr>
      <w:r>
        <w:rPr>
          <w:rFonts w:ascii="inter" w:hAnsi="inter" w:eastAsia="inter" w:cs="inter"/>
          <w:b/>
          <w:color w:val="000000"/>
        </w:rPr>
        <w:t>（2）产品竞争力加速重构</w:t>
      </w:r>
    </w:p>
    <w:p w14:paraId="424C7671">
      <w:pPr>
        <w:spacing w:after="210" w:line="360" w:lineRule="auto"/>
      </w:pPr>
      <w:r>
        <w:rPr>
          <w:rFonts w:ascii="inter" w:hAnsi="inter" w:eastAsia="inter" w:cs="inter"/>
          <w:color w:val="000000"/>
        </w:rPr>
        <w:t>"好房子"成为市场新标准，健康、节能、智能住宅需求激增。绿色认证项目去化效率显著提升，直接提升房企销售表现和品牌价值。</w:t>
      </w:r>
    </w:p>
    <w:p w14:paraId="0722EF4F">
      <w:pPr>
        <w:spacing w:after="210" w:line="360" w:lineRule="auto"/>
      </w:pPr>
      <w:r>
        <w:rPr>
          <w:rFonts w:ascii="inter" w:hAnsi="inter" w:eastAsia="inter" w:cs="inter"/>
          <w:color w:val="000000"/>
        </w:rPr>
        <w:t>据业界观察，具备碳管理能力的房企在供应链协同、融资成本、产品定价等方面获得竞争优势。</w:t>
      </w:r>
    </w:p>
    <w:p w14:paraId="5D4B35B7">
      <w:pPr>
        <w:spacing w:after="210" w:line="360" w:lineRule="auto"/>
      </w:pPr>
      <w:r>
        <w:rPr>
          <w:rFonts w:ascii="inter" w:hAnsi="inter" w:eastAsia="inter" w:cs="inter"/>
          <w:b/>
          <w:color w:val="000000"/>
        </w:rPr>
        <w:t>（3）供应链话语权提升</w:t>
      </w:r>
    </w:p>
    <w:p w14:paraId="36F39F7D">
      <w:pPr>
        <w:spacing w:after="210" w:line="360" w:lineRule="auto"/>
      </w:pPr>
      <w:r>
        <w:rPr>
          <w:rFonts w:ascii="inter" w:hAnsi="inter" w:eastAsia="inter" w:cs="inter"/>
          <w:color w:val="000000"/>
        </w:rPr>
        <w:t>具备碳管理能力的房企在绿色建材采购、合作开发中议价优势凸显，ESG正成为产业链协同的新纽带。</w:t>
      </w:r>
    </w:p>
    <w:p w14:paraId="545BC5E9">
      <w:pPr>
        <w:spacing w:after="210" w:line="360" w:lineRule="auto"/>
      </w:pPr>
      <w:r>
        <w:rPr>
          <w:rFonts w:ascii="inter" w:hAnsi="inter" w:eastAsia="inter" w:cs="inter"/>
          <w:b/>
          <w:color w:val="000000"/>
        </w:rPr>
        <w:t>实践局限与挑战</w:t>
      </w:r>
      <w:r>
        <w:rPr>
          <w:rFonts w:ascii="inter" w:hAnsi="inter" w:eastAsia="inter" w:cs="inter"/>
          <w:color w:val="000000"/>
        </w:rPr>
        <w:t>：</w:t>
      </w:r>
      <w:bookmarkStart w:id="62" w:name="fnref18_5"/>
      <w:bookmarkEnd w:id="6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1FF49573">
      <w:pPr>
        <w:numPr>
          <w:ilvl w:val="0"/>
          <w:numId w:val="10"/>
        </w:numPr>
        <w:spacing w:before="105" w:after="105" w:line="360" w:lineRule="auto"/>
      </w:pPr>
      <w:r>
        <w:rPr>
          <w:rFonts w:ascii="inter" w:hAnsi="inter" w:eastAsia="inter" w:cs="inter"/>
          <w:color w:val="000000"/>
          <w:sz w:val="21"/>
        </w:rPr>
        <w:t>企业ESG维度评分较上年略有下降，部分房企受经营压力影响缩减绿色投入</w:t>
      </w:r>
    </w:p>
    <w:p w14:paraId="5C1EB5DF">
      <w:pPr>
        <w:numPr>
          <w:ilvl w:val="0"/>
          <w:numId w:val="10"/>
        </w:numPr>
        <w:spacing w:before="105" w:after="105" w:line="360" w:lineRule="auto"/>
      </w:pPr>
      <w:r>
        <w:rPr>
          <w:rFonts w:ascii="inter" w:hAnsi="inter" w:eastAsia="inter" w:cs="inter"/>
          <w:color w:val="000000"/>
          <w:sz w:val="21"/>
        </w:rPr>
        <w:t>ESG披露深度与数据一致性出现波动</w:t>
      </w:r>
    </w:p>
    <w:p w14:paraId="6DBC79D4">
      <w:pPr>
        <w:numPr>
          <w:ilvl w:val="0"/>
          <w:numId w:val="10"/>
        </w:numPr>
        <w:spacing w:before="105" w:after="105" w:line="360" w:lineRule="auto"/>
      </w:pPr>
      <w:r>
        <w:rPr>
          <w:rFonts w:ascii="inter" w:hAnsi="inter" w:eastAsia="inter" w:cs="inter"/>
          <w:color w:val="000000"/>
          <w:sz w:val="21"/>
        </w:rPr>
        <w:t>供应链低碳管理能力发展不均衡</w:t>
      </w:r>
    </w:p>
    <w:p w14:paraId="10933CB0">
      <w:pPr>
        <w:spacing w:before="315" w:after="105" w:line="360" w:lineRule="auto"/>
        <w:ind w:left="-30"/>
        <w:jc w:val="left"/>
      </w:pPr>
      <w:bookmarkStart w:id="63" w:name="四_城市更新赋能_存量空间价值激活的关键引擎"/>
      <w:r>
        <w:rPr>
          <w:rFonts w:ascii="inter" w:hAnsi="inter" w:eastAsia="inter" w:cs="inter"/>
          <w:b/>
          <w:color w:val="000000"/>
          <w:sz w:val="24"/>
        </w:rPr>
        <w:t>（四）城市更新赋能：存量空间价值激活的关键引擎</w:t>
      </w:r>
      <w:bookmarkEnd w:id="63"/>
    </w:p>
    <w:p w14:paraId="26E1E5A8">
      <w:pPr>
        <w:spacing w:before="315" w:after="105" w:line="360" w:lineRule="auto"/>
        <w:ind w:left="-30"/>
        <w:jc w:val="left"/>
      </w:pPr>
      <w:bookmarkStart w:id="64" w:name="bm_1_政策地位的升级"/>
      <w:r>
        <w:rPr>
          <w:rFonts w:ascii="inter" w:hAnsi="inter" w:eastAsia="inter" w:cs="inter"/>
          <w:b/>
          <w:color w:val="000000"/>
          <w:sz w:val="24"/>
        </w:rPr>
        <w:t>1. 政策地位的升级</w:t>
      </w:r>
      <w:bookmarkEnd w:id="64"/>
    </w:p>
    <w:p w14:paraId="17FE3501">
      <w:pPr>
        <w:spacing w:after="210" w:line="360" w:lineRule="auto"/>
      </w:pPr>
      <w:r>
        <w:rPr>
          <w:rFonts w:ascii="inter" w:hAnsi="inter" w:eastAsia="inter" w:cs="inter"/>
          <w:color w:val="000000"/>
        </w:rPr>
        <w:t>城市更新由"发展抓手"升级为"战略重点"。2025年5月，中共中央办公厅、国务院办公厅联合印发《关于持续推进城市更新行动的意见》，标志城市更新进入常态化实施阶段。</w:t>
      </w:r>
      <w:bookmarkStart w:id="65" w:name="fnref11_1"/>
      <w:bookmarkEnd w:id="65"/>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0AF931F8">
      <w:pPr>
        <w:spacing w:after="210" w:line="360" w:lineRule="auto"/>
      </w:pPr>
      <w:r>
        <w:rPr>
          <w:rFonts w:ascii="inter" w:hAnsi="inter" w:eastAsia="inter" w:cs="inter"/>
          <w:color w:val="000000"/>
        </w:rPr>
        <w:t>政策演进轨迹：</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47"/>
        <w:gridCol w:w="1850"/>
        <w:gridCol w:w="1685"/>
      </w:tblGrid>
      <w:tr w14:paraId="78D90F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17DAA61">
            <w:pPr>
              <w:spacing w:after="0" w:line="360" w:lineRule="auto"/>
            </w:pPr>
            <w:r>
              <w:rPr>
                <w:rFonts w:ascii="inter" w:hAnsi="inter" w:eastAsia="inter" w:cs="inter"/>
                <w:color w:val="000000"/>
                <w:sz w:val="17"/>
              </w:rPr>
              <w:t>年份</w:t>
            </w:r>
          </w:p>
        </w:tc>
        <w:tc>
          <w:tcPr>
            <w:tcBorders>
              <w:top w:val="single" w:color="000000" w:sz="0" w:space="0"/>
              <w:bottom w:val="single" w:color="000000" w:sz="0" w:space="0"/>
              <w:right w:val="single" w:color="000000" w:sz="0" w:space="0"/>
            </w:tcBorders>
          </w:tcPr>
          <w:p w14:paraId="4C22112C">
            <w:pPr>
              <w:spacing w:after="0" w:line="360" w:lineRule="auto"/>
            </w:pPr>
            <w:r>
              <w:rPr>
                <w:rFonts w:ascii="inter" w:hAnsi="inter" w:eastAsia="inter" w:cs="inter"/>
                <w:color w:val="000000"/>
                <w:sz w:val="17"/>
              </w:rPr>
              <w:t>政策定位</w:t>
            </w:r>
          </w:p>
        </w:tc>
        <w:tc>
          <w:tcPr>
            <w:tcBorders>
              <w:top w:val="single" w:color="000000" w:sz="0" w:space="0"/>
              <w:bottom w:val="single" w:color="000000" w:sz="0" w:space="0"/>
            </w:tcBorders>
          </w:tcPr>
          <w:p w14:paraId="7730B936">
            <w:pPr>
              <w:spacing w:after="0" w:line="360" w:lineRule="auto"/>
            </w:pPr>
            <w:r>
              <w:rPr>
                <w:rFonts w:ascii="inter" w:hAnsi="inter" w:eastAsia="inter" w:cs="inter"/>
                <w:color w:val="000000"/>
                <w:sz w:val="17"/>
              </w:rPr>
              <w:t>重点演进</w:t>
            </w:r>
          </w:p>
        </w:tc>
      </w:tr>
      <w:tr w14:paraId="070D05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1F6E88A">
            <w:pPr>
              <w:spacing w:after="0" w:line="360" w:lineRule="auto"/>
            </w:pPr>
            <w:r>
              <w:rPr>
                <w:rFonts w:ascii="inter" w:hAnsi="inter" w:eastAsia="inter" w:cs="inter"/>
                <w:color w:val="000000"/>
                <w:sz w:val="17"/>
              </w:rPr>
              <w:t>2021年</w:t>
            </w:r>
          </w:p>
        </w:tc>
        <w:tc>
          <w:tcPr>
            <w:tcBorders>
              <w:top w:val="single" w:color="000000" w:sz="0" w:space="0"/>
              <w:bottom w:val="single" w:color="000000" w:sz="0" w:space="0"/>
              <w:right w:val="single" w:color="000000" w:sz="0" w:space="0"/>
            </w:tcBorders>
          </w:tcPr>
          <w:p w14:paraId="078A6162">
            <w:pPr>
              <w:spacing w:after="0" w:line="360" w:lineRule="auto"/>
            </w:pPr>
            <w:r>
              <w:rPr>
                <w:rFonts w:ascii="inter" w:hAnsi="inter" w:eastAsia="inter" w:cs="inter"/>
                <w:color w:val="000000"/>
                <w:sz w:val="17"/>
              </w:rPr>
              <w:t>首次入政府工作报告</w:t>
            </w:r>
          </w:p>
        </w:tc>
        <w:tc>
          <w:tcPr>
            <w:tcBorders>
              <w:top w:val="single" w:color="000000" w:sz="0" w:space="0"/>
              <w:bottom w:val="single" w:color="000000" w:sz="0" w:space="0"/>
            </w:tcBorders>
          </w:tcPr>
          <w:p w14:paraId="59BCD386">
            <w:pPr>
              <w:spacing w:after="0" w:line="360" w:lineRule="auto"/>
            </w:pPr>
            <w:r>
              <w:rPr>
                <w:rFonts w:ascii="inter" w:hAnsi="inter" w:eastAsia="inter" w:cs="inter"/>
                <w:color w:val="000000"/>
                <w:sz w:val="17"/>
              </w:rPr>
              <w:t>破解城市存量问题</w:t>
            </w:r>
          </w:p>
        </w:tc>
      </w:tr>
      <w:tr w14:paraId="569490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90BEFF3">
            <w:pPr>
              <w:spacing w:after="0" w:line="360" w:lineRule="auto"/>
            </w:pPr>
            <w:r>
              <w:rPr>
                <w:rFonts w:ascii="inter" w:hAnsi="inter" w:eastAsia="inter" w:cs="inter"/>
                <w:color w:val="000000"/>
                <w:sz w:val="17"/>
              </w:rPr>
              <w:t>2024年</w:t>
            </w:r>
          </w:p>
        </w:tc>
        <w:tc>
          <w:tcPr>
            <w:tcBorders>
              <w:top w:val="single" w:color="000000" w:sz="0" w:space="0"/>
              <w:bottom w:val="single" w:color="000000" w:sz="0" w:space="0"/>
              <w:right w:val="single" w:color="000000" w:sz="0" w:space="0"/>
            </w:tcBorders>
          </w:tcPr>
          <w:p w14:paraId="00D7F522">
            <w:pPr>
              <w:spacing w:after="0" w:line="360" w:lineRule="auto"/>
            </w:pPr>
            <w:r>
              <w:rPr>
                <w:rFonts w:ascii="inter" w:hAnsi="inter" w:eastAsia="inter" w:cs="inter"/>
                <w:color w:val="000000"/>
                <w:sz w:val="17"/>
              </w:rPr>
              <w:t>工作会议第二位</w:t>
            </w:r>
          </w:p>
        </w:tc>
        <w:tc>
          <w:tcPr>
            <w:tcBorders>
              <w:top w:val="single" w:color="000000" w:sz="0" w:space="0"/>
              <w:bottom w:val="single" w:color="000000" w:sz="0" w:space="0"/>
            </w:tcBorders>
          </w:tcPr>
          <w:p w14:paraId="231BC59F">
            <w:pPr>
              <w:spacing w:after="0" w:line="360" w:lineRule="auto"/>
            </w:pPr>
            <w:r>
              <w:rPr>
                <w:rFonts w:ascii="inter" w:hAnsi="inter" w:eastAsia="inter" w:cs="inter"/>
                <w:color w:val="000000"/>
                <w:sz w:val="17"/>
              </w:rPr>
              <w:t>市场化运作强化</w:t>
            </w:r>
          </w:p>
        </w:tc>
      </w:tr>
      <w:tr w14:paraId="4F9FF41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5A62CBB">
            <w:pPr>
              <w:spacing w:after="0" w:line="360" w:lineRule="auto"/>
            </w:pPr>
            <w:r>
              <w:rPr>
                <w:rFonts w:ascii="inter" w:hAnsi="inter" w:eastAsia="inter" w:cs="inter"/>
                <w:color w:val="000000"/>
                <w:sz w:val="17"/>
              </w:rPr>
              <w:t>2025年</w:t>
            </w:r>
          </w:p>
        </w:tc>
        <w:tc>
          <w:tcPr>
            <w:tcBorders>
              <w:top w:val="single" w:color="000000" w:sz="0" w:space="0"/>
              <w:bottom w:val="single" w:color="000000" w:sz="0" w:space="0"/>
              <w:right w:val="single" w:color="000000" w:sz="0" w:space="0"/>
            </w:tcBorders>
          </w:tcPr>
          <w:p w14:paraId="2E84194F">
            <w:pPr>
              <w:spacing w:after="0" w:line="360" w:lineRule="auto"/>
            </w:pPr>
            <w:r>
              <w:rPr>
                <w:rFonts w:ascii="inter" w:hAnsi="inter" w:eastAsia="inter" w:cs="inter"/>
                <w:color w:val="000000"/>
                <w:sz w:val="17"/>
              </w:rPr>
              <w:t>工作会议首位</w:t>
            </w:r>
          </w:p>
        </w:tc>
        <w:tc>
          <w:tcPr>
            <w:tcBorders>
              <w:top w:val="single" w:color="000000" w:sz="0" w:space="0"/>
              <w:bottom w:val="single" w:color="000000" w:sz="0" w:space="0"/>
            </w:tcBorders>
          </w:tcPr>
          <w:p w14:paraId="1364BBFE">
            <w:pPr>
              <w:spacing w:after="0" w:line="360" w:lineRule="auto"/>
            </w:pPr>
            <w:r>
              <w:rPr>
                <w:rFonts w:ascii="inter" w:hAnsi="inter" w:eastAsia="inter" w:cs="inter"/>
                <w:color w:val="000000"/>
                <w:sz w:val="17"/>
              </w:rPr>
              <w:t>常态化制度化</w:t>
            </w:r>
          </w:p>
        </w:tc>
      </w:tr>
    </w:tbl>
    <w:p w14:paraId="4621AE6F"/>
    <w:p w14:paraId="0D033033">
      <w:pPr>
        <w:spacing w:before="315" w:after="105" w:line="360" w:lineRule="auto"/>
        <w:ind w:left="-30"/>
        <w:jc w:val="left"/>
      </w:pPr>
      <w:bookmarkStart w:id="66" w:name="bm_2_城市更新的投资规模与潜力"/>
      <w:r>
        <w:rPr>
          <w:rFonts w:ascii="inter" w:hAnsi="inter" w:eastAsia="inter" w:cs="inter"/>
          <w:b/>
          <w:color w:val="000000"/>
          <w:sz w:val="24"/>
        </w:rPr>
        <w:t>2. 城市更新的投资规模与潜力</w:t>
      </w:r>
      <w:bookmarkEnd w:id="66"/>
    </w:p>
    <w:p w14:paraId="01E93957">
      <w:pPr>
        <w:spacing w:after="210" w:line="360" w:lineRule="auto"/>
      </w:pPr>
      <w:r>
        <w:rPr>
          <w:rFonts w:ascii="inter" w:hAnsi="inter" w:eastAsia="inter" w:cs="inter"/>
          <w:b/>
          <w:color w:val="000000"/>
        </w:rPr>
        <w:t>投资规模</w:t>
      </w:r>
      <w:r>
        <w:rPr>
          <w:rFonts w:ascii="inter" w:hAnsi="inter" w:eastAsia="inter" w:cs="inter"/>
          <w:color w:val="000000"/>
        </w:rPr>
        <w:t>：根据《2025-2030年中国城市更新行业投资规划及前景预测报告》，城市更新已成为拉动内需的重要引擎：</w:t>
      </w:r>
      <w:bookmarkStart w:id="67" w:name="fnref20"/>
      <w:bookmarkEnd w:id="6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768823FD">
      <w:pPr>
        <w:numPr>
          <w:ilvl w:val="0"/>
          <w:numId w:val="11"/>
        </w:numPr>
        <w:spacing w:before="105" w:after="105" w:line="360" w:lineRule="auto"/>
      </w:pPr>
      <w:r>
        <w:rPr>
          <w:rFonts w:ascii="inter" w:hAnsi="inter" w:eastAsia="inter" w:cs="inter"/>
          <w:color w:val="000000"/>
          <w:sz w:val="21"/>
        </w:rPr>
        <w:t>2023年全国实施各类城市更新项目6.6万个，完成投资2.6万亿元</w:t>
      </w:r>
    </w:p>
    <w:p w14:paraId="2E20C562">
      <w:pPr>
        <w:numPr>
          <w:ilvl w:val="0"/>
          <w:numId w:val="11"/>
        </w:numPr>
        <w:spacing w:before="105" w:after="105" w:line="360" w:lineRule="auto"/>
      </w:pPr>
      <w:r>
        <w:rPr>
          <w:rFonts w:ascii="inter" w:hAnsi="inter" w:eastAsia="inter" w:cs="inter"/>
          <w:color w:val="000000"/>
          <w:sz w:val="21"/>
        </w:rPr>
        <w:t>三年间（2021-2023），城市更新领域撬动投资额累计达13.7万亿元，项目达15.4万个</w:t>
      </w:r>
      <w:bookmarkStart w:id="68" w:name="fnref20_1"/>
      <w:bookmarkEnd w:id="68"/>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7C930D01">
      <w:pPr>
        <w:numPr>
          <w:ilvl w:val="0"/>
          <w:numId w:val="11"/>
        </w:numPr>
        <w:spacing w:before="105" w:after="105" w:line="360" w:lineRule="auto"/>
      </w:pPr>
      <w:r>
        <w:rPr>
          <w:rFonts w:ascii="inter" w:hAnsi="inter" w:eastAsia="inter" w:cs="inter"/>
          <w:color w:val="000000"/>
          <w:sz w:val="21"/>
        </w:rPr>
        <w:t>预计到2029年，城市更新的投资规模将超过9万亿元</w:t>
      </w:r>
      <w:bookmarkStart w:id="69" w:name="fnref20_2"/>
      <w:bookmarkEnd w:id="69"/>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23D3A1BE">
      <w:pPr>
        <w:spacing w:after="210" w:line="360" w:lineRule="auto"/>
      </w:pPr>
      <w:r>
        <w:rPr>
          <w:rFonts w:ascii="inter" w:hAnsi="inter" w:eastAsia="inter" w:cs="inter"/>
          <w:b/>
          <w:color w:val="000000"/>
        </w:rPr>
        <w:t>关键指标示例</w:t>
      </w:r>
      <w:r>
        <w:rPr>
          <w:rFonts w:ascii="inter" w:hAnsi="inter" w:eastAsia="inter" w:cs="inter"/>
          <w:color w:val="000000"/>
        </w:rPr>
        <w:t>（2023年）：</w:t>
      </w:r>
      <w:bookmarkStart w:id="70" w:name="fnref20_3"/>
      <w:bookmarkEnd w:id="70"/>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3CE8426E">
      <w:pPr>
        <w:numPr>
          <w:ilvl w:val="0"/>
          <w:numId w:val="12"/>
        </w:numPr>
        <w:spacing w:before="105" w:after="105" w:line="360" w:lineRule="auto"/>
      </w:pPr>
      <w:r>
        <w:rPr>
          <w:rFonts w:ascii="inter" w:hAnsi="inter" w:eastAsia="inter" w:cs="inter"/>
          <w:color w:val="000000"/>
          <w:sz w:val="21"/>
        </w:rPr>
        <w:t>新开工改造城镇老旧小区5.3万个，惠及2200多万居民</w:t>
      </w:r>
    </w:p>
    <w:p w14:paraId="09BFD97B">
      <w:pPr>
        <w:numPr>
          <w:ilvl w:val="0"/>
          <w:numId w:val="12"/>
        </w:numPr>
        <w:spacing w:before="105" w:after="105" w:line="360" w:lineRule="auto"/>
      </w:pPr>
      <w:r>
        <w:rPr>
          <w:rFonts w:ascii="inter" w:hAnsi="inter" w:eastAsia="inter" w:cs="inter"/>
          <w:color w:val="000000"/>
          <w:sz w:val="21"/>
        </w:rPr>
        <w:t>加装电梯3.6万部，增设停车位85万个</w:t>
      </w:r>
    </w:p>
    <w:p w14:paraId="79DBCB06">
      <w:pPr>
        <w:numPr>
          <w:ilvl w:val="0"/>
          <w:numId w:val="12"/>
        </w:numPr>
        <w:spacing w:before="105" w:after="105" w:line="360" w:lineRule="auto"/>
      </w:pPr>
      <w:r>
        <w:rPr>
          <w:rFonts w:ascii="inter" w:hAnsi="inter" w:eastAsia="inter" w:cs="inter"/>
          <w:color w:val="000000"/>
          <w:sz w:val="21"/>
        </w:rPr>
        <w:t>建设口袋公园4100多个、绿道5300多公里</w:t>
      </w:r>
    </w:p>
    <w:p w14:paraId="46BFED1B">
      <w:pPr>
        <w:spacing w:before="315" w:after="105" w:line="360" w:lineRule="auto"/>
        <w:ind w:left="-30"/>
        <w:jc w:val="left"/>
      </w:pPr>
      <w:bookmarkStart w:id="71" w:name="bm_3_城市更新的核心模式与案例"/>
      <w:r>
        <w:rPr>
          <w:rFonts w:ascii="inter" w:hAnsi="inter" w:eastAsia="inter" w:cs="inter"/>
          <w:b/>
          <w:color w:val="000000"/>
          <w:sz w:val="24"/>
        </w:rPr>
        <w:t>3. 城市更新的核心模式与案例</w:t>
      </w:r>
      <w:bookmarkEnd w:id="71"/>
    </w:p>
    <w:p w14:paraId="3520F4A3">
      <w:pPr>
        <w:spacing w:after="210" w:line="360" w:lineRule="auto"/>
      </w:pPr>
      <w:r>
        <w:rPr>
          <w:rFonts w:ascii="inter" w:hAnsi="inter" w:eastAsia="inter" w:cs="inter"/>
          <w:color w:val="000000"/>
        </w:rPr>
        <w:t>城市更新遵循"政府引导、市场运作、公众参与"的可持续模式。各地形成了不同的实践样板：</w:t>
      </w:r>
      <w:bookmarkStart w:id="72" w:name="fnref21"/>
      <w:bookmarkEnd w:id="72"/>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040A7EE8">
      <w:pPr>
        <w:spacing w:after="210" w:line="360" w:lineRule="auto"/>
      </w:pPr>
      <w:r>
        <w:rPr>
          <w:rFonts w:ascii="inter" w:hAnsi="inter" w:eastAsia="inter" w:cs="inter"/>
          <w:b/>
          <w:color w:val="000000"/>
        </w:rPr>
        <w:t>（1）政府主导模式（上海）</w:t>
      </w:r>
    </w:p>
    <w:p w14:paraId="6CE7C4BD">
      <w:pPr>
        <w:spacing w:after="210" w:line="360" w:lineRule="auto"/>
      </w:pPr>
      <w:r>
        <w:rPr>
          <w:rFonts w:ascii="inter" w:hAnsi="inter" w:eastAsia="inter" w:cs="inter"/>
          <w:color w:val="000000"/>
        </w:rPr>
        <w:t>上海制定《上海市城市更新行动方案（2026—2028年）》，进一步明确未来三年的重点任务和更新项目。特点是政府统筹力强，更新规划体系完善。</w:t>
      </w:r>
    </w:p>
    <w:p w14:paraId="588B8A29">
      <w:pPr>
        <w:spacing w:after="210" w:line="360" w:lineRule="auto"/>
      </w:pPr>
      <w:r>
        <w:rPr>
          <w:rFonts w:ascii="inter" w:hAnsi="inter" w:eastAsia="inter" w:cs="inter"/>
          <w:b/>
          <w:color w:val="000000"/>
        </w:rPr>
        <w:t>（2）市场主导模式（深圳）</w:t>
      </w:r>
    </w:p>
    <w:p w14:paraId="63FBF7D0">
      <w:pPr>
        <w:spacing w:after="210" w:line="360" w:lineRule="auto"/>
      </w:pPr>
      <w:r>
        <w:rPr>
          <w:rFonts w:ascii="inter" w:hAnsi="inter" w:eastAsia="inter" w:cs="inter"/>
          <w:color w:val="000000"/>
        </w:rPr>
        <w:t>深圳通过市场化运作平台，如设立城市更新专项基金，吸引保险、养老基金等长期资本，通过"母基金+子基金"模式撬动社会资本。</w:t>
      </w:r>
    </w:p>
    <w:p w14:paraId="0A825AD3">
      <w:pPr>
        <w:spacing w:after="210" w:line="360" w:lineRule="auto"/>
      </w:pPr>
      <w:r>
        <w:rPr>
          <w:rFonts w:ascii="inter" w:hAnsi="inter" w:eastAsia="inter" w:cs="inter"/>
          <w:b/>
          <w:color w:val="000000"/>
        </w:rPr>
        <w:t>（3）多元合作模式（广州）</w:t>
      </w:r>
    </w:p>
    <w:p w14:paraId="3A21DC32">
      <w:pPr>
        <w:spacing w:after="210" w:line="360" w:lineRule="auto"/>
      </w:pPr>
      <w:r>
        <w:rPr>
          <w:rFonts w:ascii="inter" w:hAnsi="inter" w:eastAsia="inter" w:cs="inter"/>
          <w:color w:val="000000"/>
        </w:rPr>
        <w:t>广州探索创新土地政策与产权机制，推动土地增值收益共享，允许原产权人通过作价入股、增值分成等方式参与城市更新。</w:t>
      </w:r>
    </w:p>
    <w:p w14:paraId="7E2FB64E">
      <w:pPr>
        <w:spacing w:after="210" w:line="360" w:lineRule="auto"/>
      </w:pPr>
      <w:r>
        <w:rPr>
          <w:rFonts w:ascii="inter" w:hAnsi="inter" w:eastAsia="inter" w:cs="inter"/>
          <w:b/>
          <w:color w:val="000000"/>
        </w:rPr>
        <w:t>创意产业与文化遗产保护的融合</w:t>
      </w:r>
      <w:r>
        <w:rPr>
          <w:rFonts w:ascii="inter" w:hAnsi="inter" w:eastAsia="inter" w:cs="inter"/>
          <w:color w:val="000000"/>
        </w:rPr>
        <w:t>：以北京·禄米仓新视听产业园为代表，将近500年历史的文物保护单位禄米仓与民国小楼、苏式建筑群融合，通过修缮改造与现代技术融合，转型为集文化创意、科技展示与商业服务于一体的产业空间。该项目围绕"北京全球视听产业中心建设"，融合5G、AI、云计算、区块链、大数据等新一代信息技术应用。</w:t>
      </w:r>
      <w:bookmarkStart w:id="73" w:name="fnref21_1"/>
      <w:bookmarkEnd w:id="73"/>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26F4E4AE">
      <w:pPr>
        <w:spacing w:before="315" w:after="105" w:line="360" w:lineRule="auto"/>
        <w:ind w:left="-30"/>
        <w:jc w:val="left"/>
      </w:pPr>
      <w:bookmarkStart w:id="74" w:name="bm_4_城市更新的价值分层运营模式"/>
      <w:r>
        <w:rPr>
          <w:rFonts w:ascii="inter" w:hAnsi="inter" w:eastAsia="inter" w:cs="inter"/>
          <w:b/>
          <w:color w:val="000000"/>
          <w:sz w:val="24"/>
        </w:rPr>
        <w:t>4. 城市更新的价值分层运营模式</w:t>
      </w:r>
      <w:bookmarkEnd w:id="74"/>
    </w:p>
    <w:p w14:paraId="77883349">
      <w:pPr>
        <w:spacing w:after="210" w:line="360" w:lineRule="auto"/>
      </w:pPr>
      <w:r>
        <w:rPr>
          <w:rFonts w:ascii="inter" w:hAnsi="inter" w:eastAsia="inter" w:cs="inter"/>
          <w:b/>
          <w:color w:val="000000"/>
        </w:rPr>
        <w:t>空间分层</w:t>
      </w:r>
      <w:r>
        <w:rPr>
          <w:rFonts w:ascii="inter" w:hAnsi="inter" w:eastAsia="inter" w:cs="inter"/>
          <w:color w:val="000000"/>
        </w:rPr>
        <w:t>：如地上地下立体开发，形成"地上产城融合、地下功能互补"的立体价值网络</w:t>
      </w:r>
    </w:p>
    <w:p w14:paraId="79164D38">
      <w:pPr>
        <w:spacing w:after="210" w:line="360" w:lineRule="auto"/>
      </w:pPr>
      <w:r>
        <w:rPr>
          <w:rFonts w:ascii="inter" w:hAnsi="inter" w:eastAsia="inter" w:cs="inter"/>
          <w:b/>
          <w:color w:val="000000"/>
        </w:rPr>
        <w:t>时间价值梯度释放</w:t>
      </w:r>
      <w:r>
        <w:rPr>
          <w:rFonts w:ascii="inter" w:hAnsi="inter" w:eastAsia="inter" w:cs="inter"/>
          <w:color w:val="000000"/>
        </w:rPr>
        <w:t>：采用分期开发、功能迭代策略，如王府井喜悦购物中心升级改造后，潮玩、黑胶音乐、滑板、特色餐饮等业态吸引年轻消费者回归，日均客流近5万人次，周末客流超6万人次</w:t>
      </w:r>
      <w:bookmarkStart w:id="75" w:name="fnref21_2"/>
      <w:bookmarkEnd w:id="75"/>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3A87F51C">
      <w:pPr>
        <w:spacing w:after="210" w:line="360" w:lineRule="auto"/>
      </w:pPr>
      <w:r>
        <w:rPr>
          <w:rFonts w:ascii="inter" w:hAnsi="inter" w:eastAsia="inter" w:cs="inter"/>
          <w:b/>
          <w:color w:val="000000"/>
        </w:rPr>
        <w:t>功能混合动态适配</w:t>
      </w:r>
      <w:r>
        <w:rPr>
          <w:rFonts w:ascii="inter" w:hAnsi="inter" w:eastAsia="inter" w:cs="inter"/>
          <w:color w:val="000000"/>
        </w:rPr>
        <w:t>：允许产业用地中部分面积转为社区商业、人才公寓等配套设施</w:t>
      </w:r>
    </w:p>
    <w:p w14:paraId="52D74614">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6AC71702">
      <w:pPr>
        <w:spacing w:before="315" w:after="105" w:line="360" w:lineRule="auto"/>
        <w:ind w:left="-30"/>
        <w:jc w:val="left"/>
      </w:pPr>
      <w:bookmarkStart w:id="76" w:name="三_国家促进机制的战略框架"/>
      <w:r>
        <w:rPr>
          <w:rFonts w:ascii="inter" w:hAnsi="inter" w:eastAsia="inter" w:cs="inter"/>
          <w:b/>
          <w:color w:val="000000"/>
          <w:sz w:val="24"/>
        </w:rPr>
        <w:t>三、国家促进机制的战略框架</w:t>
      </w:r>
      <w:bookmarkEnd w:id="76"/>
    </w:p>
    <w:p w14:paraId="596489AD">
      <w:pPr>
        <w:spacing w:before="315" w:after="105" w:line="360" w:lineRule="auto"/>
        <w:ind w:left="-30"/>
        <w:jc w:val="left"/>
      </w:pPr>
      <w:bookmarkStart w:id="77" w:name="一_政策工具箱的系统构建"/>
      <w:r>
        <w:rPr>
          <w:rFonts w:ascii="inter" w:hAnsi="inter" w:eastAsia="inter" w:cs="inter"/>
          <w:b/>
          <w:color w:val="000000"/>
          <w:sz w:val="24"/>
        </w:rPr>
        <w:t>（一）政策工具箱的系统构建</w:t>
      </w:r>
      <w:bookmarkEnd w:id="77"/>
    </w:p>
    <w:p w14:paraId="7056558C">
      <w:pPr>
        <w:spacing w:before="315" w:after="105" w:line="360" w:lineRule="auto"/>
        <w:ind w:left="-30"/>
        <w:jc w:val="left"/>
      </w:pPr>
      <w:bookmarkStart w:id="78" w:name="bm_1_规划层面_从_十四五_到_十五五_的政策演进"/>
      <w:r>
        <w:rPr>
          <w:rFonts w:ascii="inter" w:hAnsi="inter" w:eastAsia="inter" w:cs="inter"/>
          <w:b/>
          <w:color w:val="000000"/>
          <w:sz w:val="24"/>
        </w:rPr>
        <w:t>1. 规划层面：从"十四五"到"十五五"的政策演进</w:t>
      </w:r>
      <w:bookmarkEnd w:id="78"/>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5"/>
        <w:gridCol w:w="1423"/>
        <w:gridCol w:w="2190"/>
        <w:gridCol w:w="2535"/>
      </w:tblGrid>
      <w:tr w14:paraId="02F1A3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D2BF779">
            <w:pPr>
              <w:spacing w:after="0" w:line="360" w:lineRule="auto"/>
            </w:pPr>
            <w:r>
              <w:rPr>
                <w:rFonts w:ascii="inter" w:hAnsi="inter" w:eastAsia="inter" w:cs="inter"/>
                <w:color w:val="000000"/>
                <w:sz w:val="17"/>
              </w:rPr>
              <w:t>规划层级</w:t>
            </w:r>
          </w:p>
        </w:tc>
        <w:tc>
          <w:tcPr>
            <w:tcBorders>
              <w:top w:val="single" w:color="000000" w:sz="0" w:space="0"/>
              <w:bottom w:val="single" w:color="000000" w:sz="0" w:space="0"/>
              <w:right w:val="single" w:color="000000" w:sz="0" w:space="0"/>
            </w:tcBorders>
          </w:tcPr>
          <w:p w14:paraId="30B4E12B">
            <w:pPr>
              <w:spacing w:after="0" w:line="360" w:lineRule="auto"/>
            </w:pPr>
            <w:r>
              <w:rPr>
                <w:rFonts w:ascii="inter" w:hAnsi="inter" w:eastAsia="inter" w:cs="inter"/>
                <w:color w:val="000000"/>
                <w:sz w:val="17"/>
              </w:rPr>
              <w:t>时间</w:t>
            </w:r>
          </w:p>
        </w:tc>
        <w:tc>
          <w:tcPr>
            <w:tcBorders>
              <w:top w:val="single" w:color="000000" w:sz="0" w:space="0"/>
              <w:bottom w:val="single" w:color="000000" w:sz="0" w:space="0"/>
              <w:right w:val="single" w:color="000000" w:sz="0" w:space="0"/>
            </w:tcBorders>
          </w:tcPr>
          <w:p w14:paraId="2C2CFA31">
            <w:pPr>
              <w:spacing w:after="0" w:line="360" w:lineRule="auto"/>
            </w:pPr>
            <w:r>
              <w:rPr>
                <w:rFonts w:ascii="inter" w:hAnsi="inter" w:eastAsia="inter" w:cs="inter"/>
                <w:color w:val="000000"/>
                <w:sz w:val="17"/>
              </w:rPr>
              <w:t>核心政策导向</w:t>
            </w:r>
          </w:p>
        </w:tc>
        <w:tc>
          <w:tcPr>
            <w:tcBorders>
              <w:top w:val="single" w:color="000000" w:sz="0" w:space="0"/>
              <w:bottom w:val="single" w:color="000000" w:sz="0" w:space="0"/>
            </w:tcBorders>
          </w:tcPr>
          <w:p w14:paraId="0CA2E11F">
            <w:pPr>
              <w:spacing w:after="0" w:line="360" w:lineRule="auto"/>
            </w:pPr>
            <w:r>
              <w:rPr>
                <w:rFonts w:ascii="inter" w:hAnsi="inter" w:eastAsia="inter" w:cs="inter"/>
                <w:color w:val="000000"/>
                <w:sz w:val="17"/>
              </w:rPr>
              <w:t>具体工具</w:t>
            </w:r>
          </w:p>
        </w:tc>
      </w:tr>
      <w:tr w14:paraId="06FA40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CFECA9">
            <w:pPr>
              <w:spacing w:after="0" w:line="360" w:lineRule="auto"/>
            </w:pPr>
            <w:r>
              <w:rPr>
                <w:rFonts w:ascii="inter" w:hAnsi="inter" w:eastAsia="inter" w:cs="inter"/>
                <w:color w:val="000000"/>
                <w:sz w:val="17"/>
              </w:rPr>
              <w:t>十四五</w:t>
            </w:r>
          </w:p>
        </w:tc>
        <w:tc>
          <w:tcPr>
            <w:tcBorders>
              <w:top w:val="single" w:color="000000" w:sz="0" w:space="0"/>
              <w:bottom w:val="single" w:color="000000" w:sz="0" w:space="0"/>
              <w:right w:val="single" w:color="000000" w:sz="0" w:space="0"/>
            </w:tcBorders>
          </w:tcPr>
          <w:p w14:paraId="49EF9207">
            <w:pPr>
              <w:spacing w:after="0" w:line="360" w:lineRule="auto"/>
            </w:pPr>
            <w:r>
              <w:rPr>
                <w:rFonts w:ascii="inter" w:hAnsi="inter" w:eastAsia="inter" w:cs="inter"/>
                <w:color w:val="000000"/>
                <w:sz w:val="17"/>
              </w:rPr>
              <w:t>2021-2025</w:t>
            </w:r>
          </w:p>
        </w:tc>
        <w:tc>
          <w:tcPr>
            <w:tcBorders>
              <w:top w:val="single" w:color="000000" w:sz="0" w:space="0"/>
              <w:bottom w:val="single" w:color="000000" w:sz="0" w:space="0"/>
              <w:right w:val="single" w:color="000000" w:sz="0" w:space="0"/>
            </w:tcBorders>
          </w:tcPr>
          <w:p w14:paraId="17CB43B1">
            <w:pPr>
              <w:spacing w:after="0" w:line="360" w:lineRule="auto"/>
            </w:pPr>
            <w:r>
              <w:rPr>
                <w:rFonts w:ascii="inter" w:hAnsi="inter" w:eastAsia="inter" w:cs="inter"/>
                <w:color w:val="000000"/>
                <w:sz w:val="17"/>
              </w:rPr>
              <w:t>化解风险、平稳过渡</w:t>
            </w:r>
          </w:p>
        </w:tc>
        <w:tc>
          <w:tcPr>
            <w:tcBorders>
              <w:top w:val="single" w:color="000000" w:sz="0" w:space="0"/>
              <w:bottom w:val="single" w:color="000000" w:sz="0" w:space="0"/>
            </w:tcBorders>
          </w:tcPr>
          <w:p w14:paraId="2A39D85E">
            <w:pPr>
              <w:spacing w:after="0" w:line="360" w:lineRule="auto"/>
            </w:pPr>
            <w:r>
              <w:rPr>
                <w:rFonts w:ascii="inter" w:hAnsi="inter" w:eastAsia="inter" w:cs="inter"/>
                <w:color w:val="000000"/>
                <w:sz w:val="17"/>
              </w:rPr>
              <w:t>保交楼白名单、债务重组框架</w:t>
            </w:r>
          </w:p>
        </w:tc>
      </w:tr>
      <w:tr w14:paraId="70D148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22B0FBF">
            <w:pPr>
              <w:spacing w:after="0" w:line="360" w:lineRule="auto"/>
            </w:pPr>
            <w:r>
              <w:rPr>
                <w:rFonts w:ascii="inter" w:hAnsi="inter" w:eastAsia="inter" w:cs="inter"/>
                <w:color w:val="000000"/>
                <w:sz w:val="17"/>
              </w:rPr>
              <w:t>十五五</w:t>
            </w:r>
          </w:p>
        </w:tc>
        <w:tc>
          <w:tcPr>
            <w:tcBorders>
              <w:top w:val="single" w:color="000000" w:sz="0" w:space="0"/>
              <w:bottom w:val="single" w:color="000000" w:sz="0" w:space="0"/>
              <w:right w:val="single" w:color="000000" w:sz="0" w:space="0"/>
            </w:tcBorders>
          </w:tcPr>
          <w:p w14:paraId="24D3C266">
            <w:pPr>
              <w:spacing w:after="0" w:line="360" w:lineRule="auto"/>
            </w:pPr>
            <w:r>
              <w:rPr>
                <w:rFonts w:ascii="inter" w:hAnsi="inter" w:eastAsia="inter" w:cs="inter"/>
                <w:color w:val="000000"/>
                <w:sz w:val="17"/>
              </w:rPr>
              <w:t>2025-2035</w:t>
            </w:r>
          </w:p>
        </w:tc>
        <w:tc>
          <w:tcPr>
            <w:tcBorders>
              <w:top w:val="single" w:color="000000" w:sz="0" w:space="0"/>
              <w:bottom w:val="single" w:color="000000" w:sz="0" w:space="0"/>
              <w:right w:val="single" w:color="000000" w:sz="0" w:space="0"/>
            </w:tcBorders>
          </w:tcPr>
          <w:p w14:paraId="1D9A98E7">
            <w:pPr>
              <w:spacing w:after="0" w:line="360" w:lineRule="auto"/>
            </w:pPr>
            <w:r>
              <w:rPr>
                <w:rFonts w:ascii="inter" w:hAnsi="inter" w:eastAsia="inter" w:cs="inter"/>
                <w:color w:val="000000"/>
                <w:sz w:val="17"/>
              </w:rPr>
              <w:t>高质量发展、新模式构建</w:t>
            </w:r>
          </w:p>
        </w:tc>
        <w:tc>
          <w:tcPr>
            <w:tcBorders>
              <w:top w:val="single" w:color="000000" w:sz="0" w:space="0"/>
              <w:bottom w:val="single" w:color="000000" w:sz="0" w:space="0"/>
            </w:tcBorders>
          </w:tcPr>
          <w:p w14:paraId="42F4788F">
            <w:pPr>
              <w:spacing w:after="0" w:line="360" w:lineRule="auto"/>
            </w:pPr>
            <w:r>
              <w:rPr>
                <w:rFonts w:ascii="inter" w:hAnsi="inter" w:eastAsia="inter" w:cs="inter"/>
                <w:color w:val="000000"/>
                <w:sz w:val="17"/>
              </w:rPr>
              <w:t>"人房地钱"联动、新保障体系</w:t>
            </w:r>
          </w:p>
        </w:tc>
      </w:tr>
    </w:tbl>
    <w:p w14:paraId="14E85062"/>
    <w:p w14:paraId="75C225C9">
      <w:pPr>
        <w:spacing w:after="210" w:line="360" w:lineRule="auto"/>
      </w:pPr>
      <w:r>
        <w:rPr>
          <w:rFonts w:ascii="inter" w:hAnsi="inter" w:eastAsia="inter" w:cs="inter"/>
          <w:color w:val="000000"/>
        </w:rPr>
        <w:t>"十五五"规划建议首次将房地产高质量发展置于"加大保障和改善民生力度，扎实推进全体人民共同富裕"的大背景下，明确了房地产的民生导向定位。</w:t>
      </w:r>
      <w:bookmarkStart w:id="79" w:name="fnref22"/>
      <w:bookmarkEnd w:id="7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3AF22EA0">
      <w:pPr>
        <w:spacing w:before="315" w:after="105" w:line="360" w:lineRule="auto"/>
        <w:ind w:left="-30"/>
        <w:jc w:val="left"/>
      </w:pPr>
      <w:bookmarkStart w:id="80" w:name="bm_2_微观层面_因城施策的精准工具"/>
      <w:r>
        <w:rPr>
          <w:rFonts w:ascii="inter" w:hAnsi="inter" w:eastAsia="inter" w:cs="inter"/>
          <w:b/>
          <w:color w:val="000000"/>
          <w:sz w:val="24"/>
        </w:rPr>
        <w:t>2. 微观层面：因城施策的精准工具</w:t>
      </w:r>
      <w:bookmarkEnd w:id="80"/>
    </w:p>
    <w:p w14:paraId="5AEB283C">
      <w:pPr>
        <w:spacing w:after="210" w:line="360" w:lineRule="auto"/>
      </w:pPr>
      <w:r>
        <w:rPr>
          <w:rFonts w:ascii="inter" w:hAnsi="inter" w:eastAsia="inter" w:cs="inter"/>
          <w:color w:val="000000"/>
        </w:rPr>
        <w:t>据2025年底最新政策部署，因城施策已从宏观概念进化为系统化的工具框架：</w:t>
      </w:r>
      <w:bookmarkStart w:id="81" w:name="fnref6_3"/>
      <w:bookmarkEnd w:id="8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4B51A2AB">
      <w:pPr>
        <w:spacing w:after="210" w:line="360" w:lineRule="auto"/>
      </w:pPr>
      <w:r>
        <w:rPr>
          <w:rFonts w:ascii="inter" w:hAnsi="inter" w:eastAsia="inter" w:cs="inter"/>
          <w:b/>
          <w:color w:val="000000"/>
        </w:rPr>
        <w:t>去库存与优供给的"三角度"：</w:t>
      </w:r>
    </w:p>
    <w:p w14:paraId="055E25F3">
      <w:pPr>
        <w:numPr>
          <w:ilvl w:val="0"/>
          <w:numId w:val="13"/>
        </w:numPr>
        <w:spacing w:before="105" w:after="105" w:line="360" w:lineRule="auto"/>
      </w:pPr>
      <w:r>
        <w:rPr>
          <w:rFonts w:ascii="inter" w:hAnsi="inter" w:eastAsia="inter" w:cs="inter"/>
          <w:b/>
          <w:color w:val="000000"/>
          <w:sz w:val="21"/>
        </w:rPr>
        <w:t>控增量</w:t>
      </w:r>
      <w:r>
        <w:rPr>
          <w:rFonts w:ascii="inter" w:hAnsi="inter" w:eastAsia="inter" w:cs="inter"/>
          <w:color w:val="000000"/>
          <w:sz w:val="21"/>
        </w:rPr>
        <w:t>：严控增量用地供应，但向核心城市、优质区域、改善产品倾斜</w:t>
      </w:r>
    </w:p>
    <w:p w14:paraId="003E3716">
      <w:pPr>
        <w:numPr>
          <w:ilvl w:val="0"/>
          <w:numId w:val="13"/>
        </w:numPr>
        <w:spacing w:before="105" w:after="105" w:line="360" w:lineRule="auto"/>
      </w:pPr>
      <w:r>
        <w:rPr>
          <w:rFonts w:ascii="inter" w:hAnsi="inter" w:eastAsia="inter" w:cs="inter"/>
          <w:b/>
          <w:color w:val="000000"/>
          <w:sz w:val="21"/>
        </w:rPr>
        <w:t>去库存</w:t>
      </w:r>
      <w:r>
        <w:rPr>
          <w:rFonts w:ascii="inter" w:hAnsi="inter" w:eastAsia="inter" w:cs="inter"/>
          <w:color w:val="000000"/>
          <w:sz w:val="21"/>
        </w:rPr>
        <w:t>：鼓励收购存量商品房用作保障性住房、安置房、人才房等</w:t>
      </w:r>
    </w:p>
    <w:p w14:paraId="1FA44117">
      <w:pPr>
        <w:numPr>
          <w:ilvl w:val="0"/>
          <w:numId w:val="13"/>
        </w:numPr>
        <w:spacing w:before="105" w:after="105" w:line="360" w:lineRule="auto"/>
      </w:pPr>
      <w:r>
        <w:rPr>
          <w:rFonts w:ascii="inter" w:hAnsi="inter" w:eastAsia="inter" w:cs="inter"/>
          <w:b/>
          <w:color w:val="000000"/>
          <w:sz w:val="21"/>
        </w:rPr>
        <w:t>优供给</w:t>
      </w:r>
      <w:r>
        <w:rPr>
          <w:rFonts w:ascii="inter" w:hAnsi="inter" w:eastAsia="inter" w:cs="inter"/>
          <w:color w:val="000000"/>
          <w:sz w:val="21"/>
        </w:rPr>
        <w:t>：建设"安全舒适绿色智慧"的好房子，满足刚性和改善需求</w:t>
      </w:r>
    </w:p>
    <w:p w14:paraId="7001E018">
      <w:pPr>
        <w:spacing w:after="210" w:line="360" w:lineRule="auto"/>
      </w:pPr>
      <w:r>
        <w:rPr>
          <w:rFonts w:ascii="inter" w:hAnsi="inter" w:eastAsia="inter" w:cs="inter"/>
          <w:b/>
          <w:color w:val="000000"/>
        </w:rPr>
        <w:t>地方实践示例</w:t>
      </w:r>
      <w:r>
        <w:rPr>
          <w:rFonts w:ascii="inter" w:hAnsi="inter" w:eastAsia="inter" w:cs="inter"/>
          <w:color w:val="000000"/>
        </w:rPr>
        <w:t>（2025年一线城市）：</w:t>
      </w:r>
    </w:p>
    <w:p w14:paraId="7820F64C">
      <w:pPr>
        <w:numPr>
          <w:ilvl w:val="0"/>
          <w:numId w:val="14"/>
        </w:numPr>
        <w:spacing w:before="105" w:after="105" w:line="360" w:lineRule="auto"/>
      </w:pPr>
      <w:r>
        <w:rPr>
          <w:rFonts w:ascii="inter" w:hAnsi="inter" w:eastAsia="inter" w:cs="inter"/>
          <w:color w:val="000000"/>
          <w:sz w:val="21"/>
        </w:rPr>
        <w:t>北京、上海、广州、深圳共发布城市更新相关政策24项，涵盖规划统筹、产业升级、住房保障、风貌保护、土地增效等多个维度</w:t>
      </w:r>
      <w:bookmarkStart w:id="82" w:name="fnref23"/>
      <w:bookmarkEnd w:id="82"/>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2991D672">
      <w:pPr>
        <w:numPr>
          <w:ilvl w:val="0"/>
          <w:numId w:val="14"/>
        </w:numPr>
        <w:spacing w:before="105" w:after="105" w:line="360" w:lineRule="auto"/>
      </w:pPr>
      <w:r>
        <w:rPr>
          <w:rFonts w:ascii="inter" w:hAnsi="inter" w:eastAsia="inter" w:cs="inter"/>
          <w:color w:val="000000"/>
          <w:sz w:val="21"/>
        </w:rPr>
        <w:t>浙江、四川、山东、湖南等省份已发行专项债券用于收购存量商品房转化为保障房</w:t>
      </w:r>
      <w:bookmarkStart w:id="83" w:name="fnref4_2"/>
      <w:bookmarkEnd w:id="83"/>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7AD52847">
      <w:pPr>
        <w:spacing w:before="315" w:after="105" w:line="360" w:lineRule="auto"/>
        <w:ind w:left="-30"/>
        <w:jc w:val="left"/>
      </w:pPr>
      <w:bookmarkStart w:id="84" w:name="二_金融监管体系的风险防控机制"/>
      <w:r>
        <w:rPr>
          <w:rFonts w:ascii="inter" w:hAnsi="inter" w:eastAsia="inter" w:cs="inter"/>
          <w:b/>
          <w:color w:val="000000"/>
          <w:sz w:val="24"/>
        </w:rPr>
        <w:t>（二）金融监管体系的风险防控机制</w:t>
      </w:r>
      <w:bookmarkEnd w:id="84"/>
    </w:p>
    <w:p w14:paraId="30FCBBEA">
      <w:pPr>
        <w:spacing w:before="315" w:after="105" w:line="360" w:lineRule="auto"/>
        <w:ind w:left="-30"/>
        <w:jc w:val="left"/>
      </w:pPr>
      <w:bookmarkStart w:id="85" w:name="bm_1_房企风险防控的_白名单_制度"/>
      <w:r>
        <w:rPr>
          <w:rFonts w:ascii="inter" w:hAnsi="inter" w:eastAsia="inter" w:cs="inter"/>
          <w:b/>
          <w:color w:val="000000"/>
          <w:sz w:val="24"/>
        </w:rPr>
        <w:t>1. 房企风险防控的"白名单"制度</w:t>
      </w:r>
      <w:bookmarkEnd w:id="85"/>
    </w:p>
    <w:p w14:paraId="26D20598">
      <w:pPr>
        <w:spacing w:after="210" w:line="360" w:lineRule="auto"/>
      </w:pPr>
      <w:r>
        <w:rPr>
          <w:rFonts w:ascii="inter" w:hAnsi="inter" w:eastAsia="inter" w:cs="inter"/>
          <w:color w:val="000000"/>
        </w:rPr>
        <w:t>自2023年实施以来，"白名单"制度已成为稳定房地产市场、防范系统性风险的关键工具。截至2025年末：</w:t>
      </w:r>
      <w:bookmarkStart w:id="86" w:name="fnref23_1"/>
      <w:bookmarkEnd w:id="8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87" w:name="fnref11_2"/>
      <w:bookmarkEnd w:id="8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0E791C22">
      <w:pPr>
        <w:numPr>
          <w:ilvl w:val="0"/>
          <w:numId w:val="15"/>
        </w:numPr>
        <w:spacing w:before="105" w:after="105" w:line="360" w:lineRule="auto"/>
      </w:pPr>
      <w:r>
        <w:rPr>
          <w:rFonts w:ascii="inter" w:hAnsi="inter" w:eastAsia="inter" w:cs="inter"/>
          <w:color w:val="000000"/>
          <w:sz w:val="21"/>
        </w:rPr>
        <w:t>全国"白名单"项目贷款审批金额已扩大至6.7万亿元，支持项目复工续建</w:t>
      </w:r>
    </w:p>
    <w:p w14:paraId="58310326">
      <w:pPr>
        <w:numPr>
          <w:ilvl w:val="0"/>
          <w:numId w:val="15"/>
        </w:numPr>
        <w:spacing w:before="105" w:after="105" w:line="360" w:lineRule="auto"/>
      </w:pPr>
      <w:r>
        <w:rPr>
          <w:rFonts w:ascii="inter" w:hAnsi="inter" w:eastAsia="inter" w:cs="inter"/>
          <w:color w:val="000000"/>
          <w:sz w:val="21"/>
        </w:rPr>
        <w:t>约20家出险房企的债务重组方案获批，化解债务总规模突破1.2万亿元</w:t>
      </w:r>
    </w:p>
    <w:p w14:paraId="24546E3A">
      <w:pPr>
        <w:numPr>
          <w:ilvl w:val="0"/>
          <w:numId w:val="15"/>
        </w:numPr>
        <w:spacing w:before="105" w:after="105" w:line="360" w:lineRule="auto"/>
      </w:pPr>
      <w:r>
        <w:rPr>
          <w:rFonts w:ascii="inter" w:hAnsi="inter" w:eastAsia="inter" w:cs="inter"/>
          <w:color w:val="000000"/>
          <w:sz w:val="21"/>
        </w:rPr>
        <w:t>通过"白名单"制度精准融资，有效隔离项目风险与企业债务风险</w:t>
      </w:r>
      <w:bookmarkStart w:id="88" w:name="fnref11_3"/>
      <w:bookmarkEnd w:id="88"/>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279EFE40">
      <w:pPr>
        <w:spacing w:before="315" w:after="105" w:line="360" w:lineRule="auto"/>
        <w:ind w:left="-30"/>
        <w:jc w:val="left"/>
      </w:pPr>
      <w:bookmarkStart w:id="89" w:name="bm_2_金融机构风险管理的系统框架"/>
      <w:r>
        <w:rPr>
          <w:rFonts w:ascii="inter" w:hAnsi="inter" w:eastAsia="inter" w:cs="inter"/>
          <w:b/>
          <w:color w:val="000000"/>
          <w:sz w:val="24"/>
        </w:rPr>
        <w:t>2. 金融机构风险管理的系统框架</w:t>
      </w:r>
      <w:bookmarkEnd w:id="89"/>
    </w:p>
    <w:p w14:paraId="3B674742">
      <w:pPr>
        <w:spacing w:after="210" w:line="360" w:lineRule="auto"/>
      </w:pPr>
      <w:r>
        <w:rPr>
          <w:rFonts w:ascii="inter" w:hAnsi="inter" w:eastAsia="inter" w:cs="inter"/>
          <w:color w:val="000000"/>
        </w:rPr>
        <w:t>国家金融监督管理总局2026年工作重点明确提出：</w:t>
      </w:r>
      <w:bookmarkStart w:id="90" w:name="fnref24"/>
      <w:bookmarkEnd w:id="90"/>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66CBFDEA">
      <w:pPr>
        <w:numPr>
          <w:ilvl w:val="0"/>
          <w:numId w:val="16"/>
        </w:numPr>
        <w:spacing w:before="105" w:after="105" w:line="360" w:lineRule="auto"/>
      </w:pPr>
      <w:r>
        <w:rPr>
          <w:rFonts w:ascii="inter" w:hAnsi="inter" w:eastAsia="inter" w:cs="inter"/>
          <w:color w:val="000000"/>
          <w:sz w:val="21"/>
        </w:rPr>
        <w:t>推动城市房地产融资协调机制常态化运行，助力构建房地产发展新模式</w:t>
      </w:r>
    </w:p>
    <w:p w14:paraId="39222F1D">
      <w:pPr>
        <w:numPr>
          <w:ilvl w:val="0"/>
          <w:numId w:val="16"/>
        </w:numPr>
        <w:spacing w:before="105" w:after="105" w:line="360" w:lineRule="auto"/>
      </w:pPr>
      <w:r>
        <w:rPr>
          <w:rFonts w:ascii="inter" w:hAnsi="inter" w:eastAsia="inter" w:cs="inter"/>
          <w:color w:val="000000"/>
          <w:sz w:val="21"/>
        </w:rPr>
        <w:t>完善金融风险监测、预警和处置体系，强化重点领域的宏观审慎管理</w:t>
      </w:r>
    </w:p>
    <w:p w14:paraId="330F6171">
      <w:pPr>
        <w:numPr>
          <w:ilvl w:val="0"/>
          <w:numId w:val="16"/>
        </w:numPr>
        <w:spacing w:before="105" w:after="105" w:line="360" w:lineRule="auto"/>
      </w:pPr>
      <w:r>
        <w:rPr>
          <w:rFonts w:ascii="inter" w:hAnsi="inter" w:eastAsia="inter" w:cs="inter"/>
          <w:color w:val="000000"/>
          <w:sz w:val="21"/>
        </w:rPr>
        <w:t>健全系统重要性金融机构的监管基本框架</w:t>
      </w:r>
    </w:p>
    <w:p w14:paraId="634F4429">
      <w:pPr>
        <w:spacing w:before="315" w:after="105" w:line="360" w:lineRule="auto"/>
        <w:ind w:left="-30"/>
        <w:jc w:val="left"/>
      </w:pPr>
      <w:bookmarkStart w:id="91" w:name="bm_3_债务风险的长效化处置"/>
      <w:r>
        <w:rPr>
          <w:rFonts w:ascii="inter" w:hAnsi="inter" w:eastAsia="inter" w:cs="inter"/>
          <w:b/>
          <w:color w:val="000000"/>
          <w:sz w:val="24"/>
        </w:rPr>
        <w:t>3. 债务风险的长效化处置</w:t>
      </w:r>
      <w:bookmarkEnd w:id="91"/>
    </w:p>
    <w:p w14:paraId="7B842E70">
      <w:pPr>
        <w:spacing w:after="210" w:line="360" w:lineRule="auto"/>
      </w:pPr>
      <w:r>
        <w:rPr>
          <w:rFonts w:ascii="inter" w:hAnsi="inter" w:eastAsia="inter" w:cs="inter"/>
          <w:color w:val="000000"/>
        </w:rPr>
        <w:t>2025年"保交楼"工作已从"应急攻坚"转向"常态化防控"。关键机制包括：</w:t>
      </w:r>
      <w:bookmarkStart w:id="92" w:name="fnref11_4"/>
      <w:bookmarkEnd w:id="9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5"/>
        <w:gridCol w:w="2360"/>
        <w:gridCol w:w="2300"/>
      </w:tblGrid>
      <w:tr w14:paraId="3E5DCD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DAB9AFA">
            <w:pPr>
              <w:spacing w:after="0" w:line="360" w:lineRule="auto"/>
            </w:pPr>
            <w:r>
              <w:rPr>
                <w:rFonts w:ascii="inter" w:hAnsi="inter" w:eastAsia="inter" w:cs="inter"/>
                <w:color w:val="000000"/>
                <w:sz w:val="17"/>
              </w:rPr>
              <w:t>防控环节</w:t>
            </w:r>
          </w:p>
        </w:tc>
        <w:tc>
          <w:tcPr>
            <w:tcBorders>
              <w:top w:val="single" w:color="000000" w:sz="0" w:space="0"/>
              <w:bottom w:val="single" w:color="000000" w:sz="0" w:space="0"/>
              <w:right w:val="single" w:color="000000" w:sz="0" w:space="0"/>
            </w:tcBorders>
          </w:tcPr>
          <w:p w14:paraId="09094AFF">
            <w:pPr>
              <w:spacing w:after="0" w:line="360" w:lineRule="auto"/>
            </w:pPr>
            <w:r>
              <w:rPr>
                <w:rFonts w:ascii="inter" w:hAnsi="inter" w:eastAsia="inter" w:cs="inter"/>
                <w:color w:val="000000"/>
                <w:sz w:val="17"/>
              </w:rPr>
              <w:t>具体措施</w:t>
            </w:r>
          </w:p>
        </w:tc>
        <w:tc>
          <w:tcPr>
            <w:tcBorders>
              <w:top w:val="single" w:color="000000" w:sz="0" w:space="0"/>
              <w:bottom w:val="single" w:color="000000" w:sz="0" w:space="0"/>
            </w:tcBorders>
          </w:tcPr>
          <w:p w14:paraId="6F1E7D4C">
            <w:pPr>
              <w:spacing w:after="0" w:line="360" w:lineRule="auto"/>
            </w:pPr>
            <w:r>
              <w:rPr>
                <w:rFonts w:ascii="inter" w:hAnsi="inter" w:eastAsia="inter" w:cs="inter"/>
                <w:color w:val="000000"/>
                <w:sz w:val="17"/>
              </w:rPr>
              <w:t>效果预期</w:t>
            </w:r>
          </w:p>
        </w:tc>
      </w:tr>
      <w:tr w14:paraId="71A7B3F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AA4DB86">
            <w:pPr>
              <w:spacing w:after="0" w:line="360" w:lineRule="auto"/>
            </w:pPr>
            <w:r>
              <w:rPr>
                <w:rFonts w:ascii="inter" w:hAnsi="inter" w:eastAsia="inter" w:cs="inter"/>
                <w:color w:val="000000"/>
                <w:sz w:val="17"/>
              </w:rPr>
              <w:t>资金支持</w:t>
            </w:r>
          </w:p>
        </w:tc>
        <w:tc>
          <w:tcPr>
            <w:tcBorders>
              <w:top w:val="single" w:color="000000" w:sz="0" w:space="0"/>
              <w:bottom w:val="single" w:color="000000" w:sz="0" w:space="0"/>
              <w:right w:val="single" w:color="000000" w:sz="0" w:space="0"/>
            </w:tcBorders>
          </w:tcPr>
          <w:p w14:paraId="30DEB3C4">
            <w:pPr>
              <w:spacing w:after="0" w:line="360" w:lineRule="auto"/>
            </w:pPr>
            <w:r>
              <w:rPr>
                <w:rFonts w:ascii="inter" w:hAnsi="inter" w:eastAsia="inter" w:cs="inter"/>
                <w:color w:val="000000"/>
                <w:sz w:val="17"/>
              </w:rPr>
              <w:t>白名单、再贷款、专项债</w:t>
            </w:r>
          </w:p>
        </w:tc>
        <w:tc>
          <w:tcPr>
            <w:tcBorders>
              <w:top w:val="single" w:color="000000" w:sz="0" w:space="0"/>
              <w:bottom w:val="single" w:color="000000" w:sz="0" w:space="0"/>
            </w:tcBorders>
          </w:tcPr>
          <w:p w14:paraId="29F9AC16">
            <w:pPr>
              <w:spacing w:after="0" w:line="360" w:lineRule="auto"/>
            </w:pPr>
            <w:r>
              <w:rPr>
                <w:rFonts w:ascii="inter" w:hAnsi="inter" w:eastAsia="inter" w:cs="inter"/>
                <w:color w:val="000000"/>
                <w:sz w:val="17"/>
              </w:rPr>
              <w:t>保障在建项目资金链</w:t>
            </w:r>
          </w:p>
        </w:tc>
      </w:tr>
      <w:tr w14:paraId="3A6FE4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B3F5853">
            <w:pPr>
              <w:spacing w:after="0" w:line="360" w:lineRule="auto"/>
            </w:pPr>
            <w:r>
              <w:rPr>
                <w:rFonts w:ascii="inter" w:hAnsi="inter" w:eastAsia="inter" w:cs="inter"/>
                <w:color w:val="000000"/>
                <w:sz w:val="17"/>
              </w:rPr>
              <w:t>流程优化</w:t>
            </w:r>
          </w:p>
        </w:tc>
        <w:tc>
          <w:tcPr>
            <w:tcBorders>
              <w:top w:val="single" w:color="000000" w:sz="0" w:space="0"/>
              <w:bottom w:val="single" w:color="000000" w:sz="0" w:space="0"/>
              <w:right w:val="single" w:color="000000" w:sz="0" w:space="0"/>
            </w:tcBorders>
          </w:tcPr>
          <w:p w14:paraId="1539FC4E">
            <w:pPr>
              <w:spacing w:after="0" w:line="360" w:lineRule="auto"/>
            </w:pPr>
            <w:r>
              <w:rPr>
                <w:rFonts w:ascii="inter" w:hAnsi="inter" w:eastAsia="inter" w:cs="inter"/>
                <w:color w:val="000000"/>
                <w:sz w:val="17"/>
              </w:rPr>
              <w:t>审批简化、周期缩短</w:t>
            </w:r>
          </w:p>
        </w:tc>
        <w:tc>
          <w:tcPr>
            <w:tcBorders>
              <w:top w:val="single" w:color="000000" w:sz="0" w:space="0"/>
              <w:bottom w:val="single" w:color="000000" w:sz="0" w:space="0"/>
            </w:tcBorders>
          </w:tcPr>
          <w:p w14:paraId="00D29DE1">
            <w:pPr>
              <w:spacing w:after="0" w:line="360" w:lineRule="auto"/>
            </w:pPr>
            <w:r>
              <w:rPr>
                <w:rFonts w:ascii="inter" w:hAnsi="inter" w:eastAsia="inter" w:cs="inter"/>
                <w:color w:val="000000"/>
                <w:sz w:val="17"/>
              </w:rPr>
              <w:t>加快融资决策效率</w:t>
            </w:r>
          </w:p>
        </w:tc>
      </w:tr>
      <w:tr w14:paraId="7BC957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18F228A">
            <w:pPr>
              <w:spacing w:after="0" w:line="360" w:lineRule="auto"/>
            </w:pPr>
            <w:r>
              <w:rPr>
                <w:rFonts w:ascii="inter" w:hAnsi="inter" w:eastAsia="inter" w:cs="inter"/>
                <w:color w:val="000000"/>
                <w:sz w:val="17"/>
              </w:rPr>
              <w:t>责任压实</w:t>
            </w:r>
          </w:p>
        </w:tc>
        <w:tc>
          <w:tcPr>
            <w:tcBorders>
              <w:top w:val="single" w:color="000000" w:sz="0" w:space="0"/>
              <w:bottom w:val="single" w:color="000000" w:sz="0" w:space="0"/>
              <w:right w:val="single" w:color="000000" w:sz="0" w:space="0"/>
            </w:tcBorders>
          </w:tcPr>
          <w:p w14:paraId="73D7E5C6">
            <w:pPr>
              <w:spacing w:after="0" w:line="360" w:lineRule="auto"/>
            </w:pPr>
            <w:r>
              <w:rPr>
                <w:rFonts w:ascii="inter" w:hAnsi="inter" w:eastAsia="inter" w:cs="inter"/>
                <w:color w:val="000000"/>
                <w:sz w:val="17"/>
              </w:rPr>
              <w:t>企业、银行、监管层层明确</w:t>
            </w:r>
          </w:p>
        </w:tc>
        <w:tc>
          <w:tcPr>
            <w:tcBorders>
              <w:top w:val="single" w:color="000000" w:sz="0" w:space="0"/>
              <w:bottom w:val="single" w:color="000000" w:sz="0" w:space="0"/>
            </w:tcBorders>
          </w:tcPr>
          <w:p w14:paraId="160DD091">
            <w:pPr>
              <w:spacing w:after="0" w:line="360" w:lineRule="auto"/>
            </w:pPr>
            <w:r>
              <w:rPr>
                <w:rFonts w:ascii="inter" w:hAnsi="inter" w:eastAsia="inter" w:cs="inter"/>
                <w:color w:val="000000"/>
                <w:sz w:val="17"/>
              </w:rPr>
              <w:t>形成共同防控合力</w:t>
            </w:r>
          </w:p>
        </w:tc>
      </w:tr>
      <w:tr w14:paraId="4F0565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441AD52">
            <w:pPr>
              <w:spacing w:after="0" w:line="360" w:lineRule="auto"/>
            </w:pPr>
            <w:r>
              <w:rPr>
                <w:rFonts w:ascii="inter" w:hAnsi="inter" w:eastAsia="inter" w:cs="inter"/>
                <w:color w:val="000000"/>
                <w:sz w:val="17"/>
              </w:rPr>
              <w:t>制度创新</w:t>
            </w:r>
          </w:p>
        </w:tc>
        <w:tc>
          <w:tcPr>
            <w:tcBorders>
              <w:top w:val="single" w:color="000000" w:sz="0" w:space="0"/>
              <w:bottom w:val="single" w:color="000000" w:sz="0" w:space="0"/>
              <w:right w:val="single" w:color="000000" w:sz="0" w:space="0"/>
            </w:tcBorders>
          </w:tcPr>
          <w:p w14:paraId="5A4E6394">
            <w:pPr>
              <w:spacing w:after="0" w:line="360" w:lineRule="auto"/>
            </w:pPr>
            <w:r>
              <w:rPr>
                <w:rFonts w:ascii="inter" w:hAnsi="inter" w:eastAsia="inter" w:cs="inter"/>
                <w:color w:val="000000"/>
                <w:sz w:val="17"/>
              </w:rPr>
              <w:t>长期可持续机制建设</w:t>
            </w:r>
          </w:p>
        </w:tc>
        <w:tc>
          <w:tcPr>
            <w:tcBorders>
              <w:top w:val="single" w:color="000000" w:sz="0" w:space="0"/>
              <w:bottom w:val="single" w:color="000000" w:sz="0" w:space="0"/>
            </w:tcBorders>
          </w:tcPr>
          <w:p w14:paraId="74D3A315">
            <w:pPr>
              <w:spacing w:after="0" w:line="360" w:lineRule="auto"/>
            </w:pPr>
            <w:r>
              <w:rPr>
                <w:rFonts w:ascii="inter" w:hAnsi="inter" w:eastAsia="inter" w:cs="inter"/>
                <w:color w:val="000000"/>
                <w:sz w:val="17"/>
              </w:rPr>
              <w:t>从"短期托底"到"长期转型"</w:t>
            </w:r>
          </w:p>
        </w:tc>
      </w:tr>
    </w:tbl>
    <w:p w14:paraId="0C02304E"/>
    <w:p w14:paraId="42A08D0E">
      <w:pPr>
        <w:spacing w:after="210" w:line="360" w:lineRule="auto"/>
      </w:pPr>
      <w:r>
        <w:rPr>
          <w:rFonts w:ascii="inter" w:hAnsi="inter" w:eastAsia="inter" w:cs="inter"/>
          <w:color w:val="000000"/>
        </w:rPr>
        <w:t>预期到2026年上半年，保交楼工作将形成"短期托底、长期转型"的完整闭环。</w:t>
      </w:r>
    </w:p>
    <w:p w14:paraId="55291AB5">
      <w:pPr>
        <w:spacing w:before="315" w:after="105" w:line="360" w:lineRule="auto"/>
        <w:ind w:left="-30"/>
        <w:jc w:val="left"/>
      </w:pPr>
      <w:bookmarkStart w:id="93" w:name="三_战略关联与高度整合"/>
      <w:r>
        <w:rPr>
          <w:rFonts w:ascii="inter" w:hAnsi="inter" w:eastAsia="inter" w:cs="inter"/>
          <w:b/>
          <w:color w:val="000000"/>
          <w:sz w:val="24"/>
        </w:rPr>
        <w:t>（三）战略关联与高度整合</w:t>
      </w:r>
      <w:bookmarkEnd w:id="93"/>
    </w:p>
    <w:p w14:paraId="4A71908C">
      <w:pPr>
        <w:spacing w:before="315" w:after="105" w:line="360" w:lineRule="auto"/>
        <w:ind w:left="-30"/>
        <w:jc w:val="left"/>
      </w:pPr>
      <w:bookmarkStart w:id="94" w:name="bm_1_与_双碳_战略的关联"/>
      <w:r>
        <w:rPr>
          <w:rFonts w:ascii="inter" w:hAnsi="inter" w:eastAsia="inter" w:cs="inter"/>
          <w:b/>
          <w:color w:val="000000"/>
          <w:sz w:val="24"/>
        </w:rPr>
        <w:t>1. 与"双碳"战略的关联</w:t>
      </w:r>
      <w:bookmarkEnd w:id="94"/>
    </w:p>
    <w:p w14:paraId="075FF76B">
      <w:pPr>
        <w:spacing w:after="210" w:line="360" w:lineRule="auto"/>
      </w:pPr>
      <w:r>
        <w:rPr>
          <w:rFonts w:ascii="inter" w:hAnsi="inter" w:eastAsia="inter" w:cs="inter"/>
          <w:color w:val="000000"/>
        </w:rPr>
        <w:t>房地产行业作为碳排放重点领域，2025年被纳入"双碳"工作的核心任务。关键措施包括：</w:t>
      </w:r>
      <w:bookmarkStart w:id="95" w:name="fnref25"/>
      <w:bookmarkEnd w:id="95"/>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6FFC1293">
      <w:pPr>
        <w:numPr>
          <w:ilvl w:val="0"/>
          <w:numId w:val="17"/>
        </w:numPr>
        <w:spacing w:before="105" w:after="105" w:line="360" w:lineRule="auto"/>
      </w:pPr>
      <w:r>
        <w:rPr>
          <w:rFonts w:ascii="inter" w:hAnsi="inter" w:eastAsia="inter" w:cs="inter"/>
          <w:color w:val="000000"/>
          <w:sz w:val="21"/>
        </w:rPr>
        <w:t>推动绿色建造与技术创新，推广装配式建筑和智能化施工</w:t>
      </w:r>
    </w:p>
    <w:p w14:paraId="12967EB8">
      <w:pPr>
        <w:numPr>
          <w:ilvl w:val="0"/>
          <w:numId w:val="17"/>
        </w:numPr>
        <w:spacing w:before="105" w:after="105" w:line="360" w:lineRule="auto"/>
      </w:pPr>
      <w:r>
        <w:rPr>
          <w:rFonts w:ascii="inter" w:hAnsi="inter" w:eastAsia="inter" w:cs="inter"/>
          <w:color w:val="000000"/>
          <w:sz w:val="21"/>
        </w:rPr>
        <w:t>采用高效保温材料、节能门窗等，提升建筑能效</w:t>
      </w:r>
    </w:p>
    <w:p w14:paraId="1F058E62">
      <w:pPr>
        <w:numPr>
          <w:ilvl w:val="0"/>
          <w:numId w:val="17"/>
        </w:numPr>
        <w:spacing w:before="105" w:after="105" w:line="360" w:lineRule="auto"/>
      </w:pPr>
      <w:r>
        <w:rPr>
          <w:rFonts w:ascii="inter" w:hAnsi="inter" w:eastAsia="inter" w:cs="inter"/>
          <w:color w:val="000000"/>
          <w:sz w:val="21"/>
        </w:rPr>
        <w:t>集成太阳能光伏、地源热泵等清洁能源</w:t>
      </w:r>
    </w:p>
    <w:p w14:paraId="67F826F9">
      <w:pPr>
        <w:numPr>
          <w:ilvl w:val="0"/>
          <w:numId w:val="17"/>
        </w:numPr>
        <w:spacing w:before="105" w:after="105" w:line="360" w:lineRule="auto"/>
      </w:pPr>
      <w:r>
        <w:rPr>
          <w:rFonts w:ascii="inter" w:hAnsi="inter" w:eastAsia="inter" w:cs="inter"/>
          <w:color w:val="000000"/>
          <w:sz w:val="21"/>
        </w:rPr>
        <w:t>推动"传统建造"向"智慧智造"转型</w:t>
      </w:r>
      <w:bookmarkStart w:id="96" w:name="fnref11_5"/>
      <w:bookmarkEnd w:id="96"/>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7E4F7038">
      <w:pPr>
        <w:spacing w:after="210" w:line="360" w:lineRule="auto"/>
      </w:pPr>
      <w:r>
        <w:rPr>
          <w:rFonts w:ascii="inter" w:hAnsi="inter" w:eastAsia="inter" w:cs="inter"/>
          <w:color w:val="000000"/>
        </w:rPr>
        <w:t>据国家发改委部署，2025年国家发改委将协同推进降碳、减污、扩绿、增长四大任务，房地产绿色转型是其重要组成部分。</w:t>
      </w:r>
      <w:bookmarkStart w:id="97" w:name="fnref25_1"/>
      <w:bookmarkEnd w:id="97"/>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23E72DDC">
      <w:pPr>
        <w:spacing w:before="315" w:after="105" w:line="360" w:lineRule="auto"/>
        <w:ind w:left="-30"/>
        <w:jc w:val="left"/>
      </w:pPr>
      <w:bookmarkStart w:id="98" w:name="bm_2_与_新型城镇化_的结合"/>
      <w:r>
        <w:rPr>
          <w:rFonts w:ascii="inter" w:hAnsi="inter" w:eastAsia="inter" w:cs="inter"/>
          <w:b/>
          <w:color w:val="000000"/>
          <w:sz w:val="24"/>
        </w:rPr>
        <w:t>2. 与"新型城镇化"的结合</w:t>
      </w:r>
      <w:bookmarkEnd w:id="98"/>
    </w:p>
    <w:p w14:paraId="2D0C96C8">
      <w:pPr>
        <w:spacing w:after="210" w:line="360" w:lineRule="auto"/>
      </w:pPr>
      <w:r>
        <w:rPr>
          <w:rFonts w:ascii="inter" w:hAnsi="inter" w:eastAsia="inter" w:cs="inter"/>
          <w:color w:val="000000"/>
        </w:rPr>
        <w:t>新型城镇化战略进入"人为本"的新阶段。房地产在其中的角色包括：</w:t>
      </w:r>
      <w:bookmarkStart w:id="99" w:name="fnref22_1"/>
      <w:bookmarkEnd w:id="9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4AF1FCBA">
      <w:pPr>
        <w:numPr>
          <w:ilvl w:val="0"/>
          <w:numId w:val="18"/>
        </w:numPr>
        <w:spacing w:before="105" w:after="105" w:line="360" w:lineRule="auto"/>
      </w:pPr>
      <w:r>
        <w:rPr>
          <w:rFonts w:ascii="inter" w:hAnsi="inter" w:eastAsia="inter" w:cs="inter"/>
          <w:b/>
          <w:color w:val="000000"/>
          <w:sz w:val="21"/>
        </w:rPr>
        <w:t>农业转移人口市民化</w:t>
      </w:r>
      <w:r>
        <w:rPr>
          <w:rFonts w:ascii="inter" w:hAnsi="inter" w:eastAsia="inter" w:cs="inter"/>
          <w:color w:val="000000"/>
          <w:sz w:val="21"/>
        </w:rPr>
        <w:t>：通过住房保障、改善性住房供给，为新市民、青年人提供安居条件</w:t>
      </w:r>
    </w:p>
    <w:p w14:paraId="7B928334">
      <w:pPr>
        <w:numPr>
          <w:ilvl w:val="0"/>
          <w:numId w:val="18"/>
        </w:numPr>
        <w:spacing w:before="105" w:after="105" w:line="360" w:lineRule="auto"/>
      </w:pPr>
      <w:r>
        <w:rPr>
          <w:rFonts w:ascii="inter" w:hAnsi="inter" w:eastAsia="inter" w:cs="inter"/>
          <w:b/>
          <w:color w:val="000000"/>
          <w:sz w:val="21"/>
        </w:rPr>
        <w:t>超大特大城市治理现代化</w:t>
      </w:r>
      <w:r>
        <w:rPr>
          <w:rFonts w:ascii="inter" w:hAnsi="inter" w:eastAsia="inter" w:cs="inter"/>
          <w:color w:val="000000"/>
          <w:sz w:val="21"/>
        </w:rPr>
        <w:t>：推进城市更新、城中村改造，优化城市空间结构</w:t>
      </w:r>
    </w:p>
    <w:p w14:paraId="0CE4F0A4">
      <w:pPr>
        <w:numPr>
          <w:ilvl w:val="0"/>
          <w:numId w:val="18"/>
        </w:numPr>
        <w:spacing w:before="105" w:after="105" w:line="360" w:lineRule="auto"/>
      </w:pPr>
      <w:r>
        <w:rPr>
          <w:rFonts w:ascii="inter" w:hAnsi="inter" w:eastAsia="inter" w:cs="inter"/>
          <w:b/>
          <w:color w:val="000000"/>
          <w:sz w:val="21"/>
        </w:rPr>
        <w:t>县城城镇化</w:t>
      </w:r>
      <w:r>
        <w:rPr>
          <w:rFonts w:ascii="inter" w:hAnsi="inter" w:eastAsia="inter" w:cs="inter"/>
          <w:color w:val="000000"/>
          <w:sz w:val="21"/>
        </w:rPr>
        <w:t>：因地制宜推进小城市与县城的住房供给创新</w:t>
      </w:r>
    </w:p>
    <w:p w14:paraId="632E2919">
      <w:pPr>
        <w:spacing w:before="315" w:after="105" w:line="360" w:lineRule="auto"/>
        <w:ind w:left="-30"/>
        <w:jc w:val="left"/>
      </w:pPr>
      <w:bookmarkStart w:id="100" w:name="bm_3_与_共同富裕_的战略结合"/>
      <w:r>
        <w:rPr>
          <w:rFonts w:ascii="inter" w:hAnsi="inter" w:eastAsia="inter" w:cs="inter"/>
          <w:b/>
          <w:color w:val="000000"/>
          <w:sz w:val="24"/>
        </w:rPr>
        <w:t>3. 与"共同富裕"的战略结合</w:t>
      </w:r>
      <w:bookmarkEnd w:id="100"/>
    </w:p>
    <w:p w14:paraId="2D08F8BF">
      <w:pPr>
        <w:spacing w:after="210" w:line="360" w:lineRule="auto"/>
      </w:pPr>
      <w:r>
        <w:rPr>
          <w:rFonts w:ascii="inter" w:hAnsi="inter" w:eastAsia="inter" w:cs="inter"/>
          <w:color w:val="000000"/>
        </w:rPr>
        <w:t>《十五五规划建议》首次明确将房地产发展置于"扎实推进全体人民共同富裕"的目标框架下。这意味着：</w:t>
      </w:r>
      <w:bookmarkStart w:id="101" w:name="fnref22_2"/>
      <w:bookmarkEnd w:id="101"/>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09DDBC7B">
      <w:pPr>
        <w:numPr>
          <w:ilvl w:val="0"/>
          <w:numId w:val="19"/>
        </w:numPr>
        <w:spacing w:before="105" w:after="105" w:line="360" w:lineRule="auto"/>
      </w:pPr>
      <w:r>
        <w:rPr>
          <w:rFonts w:ascii="inter" w:hAnsi="inter" w:eastAsia="inter" w:cs="inter"/>
          <w:color w:val="000000"/>
          <w:sz w:val="21"/>
        </w:rPr>
        <w:t>保障房供给不再是"补充"，而是"主体"构成部分</w:t>
      </w:r>
    </w:p>
    <w:p w14:paraId="40B1F809">
      <w:pPr>
        <w:numPr>
          <w:ilvl w:val="0"/>
          <w:numId w:val="19"/>
        </w:numPr>
        <w:spacing w:before="105" w:after="105" w:line="360" w:lineRule="auto"/>
      </w:pPr>
      <w:r>
        <w:rPr>
          <w:rFonts w:ascii="inter" w:hAnsi="inter" w:eastAsia="inter" w:cs="inter"/>
          <w:color w:val="000000"/>
          <w:sz w:val="21"/>
        </w:rPr>
        <w:t>住房制度改革需要向低收入家庭、新市民倾斜</w:t>
      </w:r>
    </w:p>
    <w:p w14:paraId="481BAB2B">
      <w:pPr>
        <w:numPr>
          <w:ilvl w:val="0"/>
          <w:numId w:val="19"/>
        </w:numPr>
        <w:spacing w:before="105" w:after="105" w:line="360" w:lineRule="auto"/>
      </w:pPr>
      <w:r>
        <w:rPr>
          <w:rFonts w:ascii="inter" w:hAnsi="inter" w:eastAsia="inter" w:cs="inter"/>
          <w:color w:val="000000"/>
          <w:sz w:val="21"/>
        </w:rPr>
        <w:t>城市更新的收益分配需要向社区居民、原产权人让利</w:t>
      </w:r>
    </w:p>
    <w:p w14:paraId="2259E7D9">
      <w:pPr>
        <w:spacing w:before="315" w:after="105" w:line="360" w:lineRule="auto"/>
        <w:ind w:left="-30"/>
        <w:jc w:val="left"/>
      </w:pPr>
      <w:bookmarkStart w:id="102" w:name="bm_4_与_数字中国_的融合发展"/>
      <w:r>
        <w:rPr>
          <w:rFonts w:ascii="inter" w:hAnsi="inter" w:eastAsia="inter" w:cs="inter"/>
          <w:b/>
          <w:color w:val="000000"/>
          <w:sz w:val="24"/>
        </w:rPr>
        <w:t>4. 与"数字中国"的融合发展</w:t>
      </w:r>
      <w:bookmarkEnd w:id="102"/>
    </w:p>
    <w:p w14:paraId="3CB49EC9">
      <w:pPr>
        <w:spacing w:after="210" w:line="360" w:lineRule="auto"/>
      </w:pPr>
      <w:r>
        <w:rPr>
          <w:rFonts w:ascii="inter" w:hAnsi="inter" w:eastAsia="inter" w:cs="inter"/>
          <w:color w:val="000000"/>
        </w:rPr>
        <w:t>房地产与数字化的结合成为新质生产力的重要组成：</w:t>
      </w:r>
      <w:bookmarkStart w:id="103" w:name="fnref22_3"/>
      <w:bookmarkEnd w:id="103"/>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3C8152CB">
      <w:pPr>
        <w:numPr>
          <w:ilvl w:val="0"/>
          <w:numId w:val="20"/>
        </w:numPr>
        <w:spacing w:before="105" w:after="105" w:line="360" w:lineRule="auto"/>
      </w:pPr>
      <w:r>
        <w:rPr>
          <w:rFonts w:ascii="inter" w:hAnsi="inter" w:eastAsia="inter" w:cs="inter"/>
          <w:b/>
          <w:color w:val="000000"/>
          <w:sz w:val="21"/>
        </w:rPr>
        <w:t>BIM技术</w:t>
      </w:r>
      <w:r>
        <w:rPr>
          <w:rFonts w:ascii="inter" w:hAnsi="inter" w:eastAsia="inter" w:cs="inter"/>
          <w:color w:val="000000"/>
          <w:sz w:val="21"/>
        </w:rPr>
        <w:t>：麦肯锡研究显示，房地产和建筑行业数字化水平分别列第18、22位，有巨大提升空间。BIM市场2025年有望突破500亿元</w:t>
      </w:r>
      <w:bookmarkStart w:id="104" w:name="fnref26"/>
      <w:bookmarkEnd w:id="104"/>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526D5CF4">
      <w:pPr>
        <w:numPr>
          <w:ilvl w:val="0"/>
          <w:numId w:val="20"/>
        </w:numPr>
        <w:spacing w:before="105" w:after="105" w:line="360" w:lineRule="auto"/>
      </w:pPr>
      <w:r>
        <w:rPr>
          <w:rFonts w:ascii="inter" w:hAnsi="inter" w:eastAsia="inter" w:cs="inter"/>
          <w:b/>
          <w:color w:val="000000"/>
          <w:sz w:val="21"/>
        </w:rPr>
        <w:t>智慧社区</w:t>
      </w:r>
      <w:r>
        <w:rPr>
          <w:rFonts w:ascii="inter" w:hAnsi="inter" w:eastAsia="inter" w:cs="inter"/>
          <w:color w:val="000000"/>
          <w:sz w:val="21"/>
        </w:rPr>
        <w:t>：利用物联网、AI、大数据实时监测能耗，提升ESG信息透明度</w:t>
      </w:r>
    </w:p>
    <w:p w14:paraId="7F1B1486">
      <w:pPr>
        <w:numPr>
          <w:ilvl w:val="0"/>
          <w:numId w:val="20"/>
        </w:numPr>
        <w:spacing w:before="105" w:after="105" w:line="360" w:lineRule="auto"/>
      </w:pPr>
      <w:r>
        <w:rPr>
          <w:rFonts w:ascii="inter" w:hAnsi="inter" w:eastAsia="inter" w:cs="inter"/>
          <w:b/>
          <w:color w:val="000000"/>
          <w:sz w:val="21"/>
        </w:rPr>
        <w:t>数字建造</w:t>
      </w:r>
      <w:r>
        <w:rPr>
          <w:rFonts w:ascii="inter" w:hAnsi="inter" w:eastAsia="inter" w:cs="inter"/>
          <w:color w:val="000000"/>
          <w:sz w:val="21"/>
        </w:rPr>
        <w:t>：推广智能建造、绿色建造，减少建材浪费与现场污染</w:t>
      </w:r>
    </w:p>
    <w:p w14:paraId="636D901B">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45B52C7E">
      <w:pPr>
        <w:spacing w:before="315" w:after="105" w:line="360" w:lineRule="auto"/>
        <w:ind w:left="-30"/>
        <w:jc w:val="left"/>
      </w:pPr>
      <w:bookmarkStart w:id="105" w:name="四_主要风险与实施挑战"/>
      <w:r>
        <w:rPr>
          <w:rFonts w:ascii="inter" w:hAnsi="inter" w:eastAsia="inter" w:cs="inter"/>
          <w:b/>
          <w:color w:val="000000"/>
          <w:sz w:val="24"/>
        </w:rPr>
        <w:t>四、主要风险与实施挑战</w:t>
      </w:r>
      <w:bookmarkEnd w:id="105"/>
    </w:p>
    <w:p w14:paraId="798A3AA4">
      <w:pPr>
        <w:spacing w:before="315" w:after="105" w:line="360" w:lineRule="auto"/>
        <w:ind w:left="-30"/>
        <w:jc w:val="left"/>
      </w:pPr>
      <w:bookmarkStart w:id="106" w:name="一_政策转换期的不确定性"/>
      <w:r>
        <w:rPr>
          <w:rFonts w:ascii="inter" w:hAnsi="inter" w:eastAsia="inter" w:cs="inter"/>
          <w:b/>
          <w:color w:val="000000"/>
          <w:sz w:val="24"/>
        </w:rPr>
        <w:t>（一）政策转换期的不确定性</w:t>
      </w:r>
      <w:bookmarkEnd w:id="106"/>
    </w:p>
    <w:p w14:paraId="0A486791">
      <w:pPr>
        <w:spacing w:after="210" w:line="360" w:lineRule="auto"/>
      </w:pPr>
      <w:r>
        <w:rPr>
          <w:rFonts w:ascii="inter" w:hAnsi="inter" w:eastAsia="inter" w:cs="inter"/>
          <w:b/>
          <w:color w:val="000000"/>
        </w:rPr>
        <w:t>潜在局限性</w:t>
      </w:r>
      <w:r>
        <w:rPr>
          <w:rFonts w:ascii="inter" w:hAnsi="inter" w:eastAsia="inter" w:cs="inter"/>
          <w:color w:val="000000"/>
        </w:rPr>
        <w:t>：</w:t>
      </w:r>
    </w:p>
    <w:p w14:paraId="0517682B">
      <w:pPr>
        <w:spacing w:after="210" w:line="360" w:lineRule="auto"/>
      </w:pPr>
      <w:r>
        <w:rPr>
          <w:rFonts w:ascii="inter" w:hAnsi="inter" w:eastAsia="inter" w:cs="inter"/>
          <w:color w:val="000000"/>
        </w:rPr>
        <w:t>（1）</w:t>
      </w:r>
      <w:r>
        <w:rPr>
          <w:rFonts w:ascii="inter" w:hAnsi="inter" w:eastAsia="inter" w:cs="inter"/>
          <w:b/>
          <w:color w:val="000000"/>
        </w:rPr>
        <w:t>新旧模式平稳转换的难度</w:t>
      </w:r>
      <w:r>
        <w:rPr>
          <w:rFonts w:ascii="inter" w:hAnsi="inter" w:eastAsia="inter" w:cs="inter"/>
          <w:color w:val="000000"/>
        </w:rPr>
        <w:t>。传统高利润模式难以快速转向新质生产力驱动的低利润、轻资产模式。房企需要3-5年的人才重塑、业务流程再造周期。</w:t>
      </w:r>
    </w:p>
    <w:p w14:paraId="2F4D4B45">
      <w:pPr>
        <w:spacing w:after="210" w:line="360" w:lineRule="auto"/>
      </w:pPr>
      <w:r>
        <w:rPr>
          <w:rFonts w:ascii="inter" w:hAnsi="inter" w:eastAsia="inter" w:cs="inter"/>
          <w:color w:val="000000"/>
        </w:rPr>
        <w:t>（2）</w:t>
      </w:r>
      <w:r>
        <w:rPr>
          <w:rFonts w:ascii="inter" w:hAnsi="inter" w:eastAsia="inter" w:cs="inter"/>
          <w:b/>
          <w:color w:val="000000"/>
        </w:rPr>
        <w:t>地方财政可持续性问题</w:t>
      </w:r>
      <w:r>
        <w:rPr>
          <w:rFonts w:ascii="inter" w:hAnsi="inter" w:eastAsia="inter" w:cs="inter"/>
          <w:color w:val="000000"/>
        </w:rPr>
        <w:t>。土地财政占地方政府性基金预算收入的比重曾高达80%以上，收购存量房、城市更新等新模式的融资需求与地方财政压力的矛盾需要长期协调。</w:t>
      </w:r>
    </w:p>
    <w:p w14:paraId="5230F691">
      <w:pPr>
        <w:spacing w:after="210" w:line="360" w:lineRule="auto"/>
      </w:pPr>
      <w:r>
        <w:rPr>
          <w:rFonts w:ascii="inter" w:hAnsi="inter" w:eastAsia="inter" w:cs="inter"/>
          <w:b/>
          <w:color w:val="000000"/>
        </w:rPr>
        <w:t>应对建议</w:t>
      </w:r>
      <w:r>
        <w:rPr>
          <w:rFonts w:ascii="inter" w:hAnsi="inter" w:eastAsia="inter" w:cs="inter"/>
          <w:color w:val="000000"/>
        </w:rPr>
        <w:t>：</w:t>
      </w:r>
    </w:p>
    <w:p w14:paraId="71EC2B13">
      <w:pPr>
        <w:numPr>
          <w:ilvl w:val="0"/>
          <w:numId w:val="21"/>
        </w:numPr>
        <w:spacing w:before="105" w:after="105" w:line="360" w:lineRule="auto"/>
      </w:pPr>
      <w:r>
        <w:rPr>
          <w:rFonts w:ascii="inter" w:hAnsi="inter" w:eastAsia="inter" w:cs="inter"/>
          <w:color w:val="000000"/>
          <w:sz w:val="21"/>
        </w:rPr>
        <w:t>建立"新旧模式"平稳衔接的时间表与配套措施</w:t>
      </w:r>
    </w:p>
    <w:p w14:paraId="267A9EF2">
      <w:pPr>
        <w:numPr>
          <w:ilvl w:val="0"/>
          <w:numId w:val="21"/>
        </w:numPr>
        <w:spacing w:before="105" w:after="105" w:line="360" w:lineRule="auto"/>
      </w:pPr>
      <w:r>
        <w:rPr>
          <w:rFonts w:ascii="inter" w:hAnsi="inter" w:eastAsia="inter" w:cs="inter"/>
          <w:color w:val="000000"/>
          <w:sz w:val="21"/>
        </w:rPr>
        <w:t>完善"平急两用"公共基础设施政策，为地方政府提供多元化融资渠道</w:t>
      </w:r>
    </w:p>
    <w:p w14:paraId="134CF377">
      <w:pPr>
        <w:numPr>
          <w:ilvl w:val="0"/>
          <w:numId w:val="21"/>
        </w:numPr>
        <w:spacing w:before="105" w:after="105" w:line="360" w:lineRule="auto"/>
      </w:pPr>
      <w:r>
        <w:rPr>
          <w:rFonts w:ascii="inter" w:hAnsi="inter" w:eastAsia="inter" w:cs="inter"/>
          <w:color w:val="000000"/>
          <w:sz w:val="21"/>
        </w:rPr>
        <w:t>推动房企从"拿地-销售"单一模式向"投融管退"全周期能力升级</w:t>
      </w:r>
    </w:p>
    <w:p w14:paraId="49D7648C">
      <w:pPr>
        <w:spacing w:before="315" w:after="105" w:line="360" w:lineRule="auto"/>
        <w:ind w:left="-30"/>
        <w:jc w:val="left"/>
      </w:pPr>
      <w:bookmarkStart w:id="107" w:name="二_绿色融资与成本压力的权衡"/>
      <w:r>
        <w:rPr>
          <w:rFonts w:ascii="inter" w:hAnsi="inter" w:eastAsia="inter" w:cs="inter"/>
          <w:b/>
          <w:color w:val="000000"/>
          <w:sz w:val="24"/>
        </w:rPr>
        <w:t>（二）绿色融资与成本压力的权衡</w:t>
      </w:r>
      <w:bookmarkEnd w:id="107"/>
    </w:p>
    <w:p w14:paraId="67AA712E">
      <w:pPr>
        <w:spacing w:after="210" w:line="360" w:lineRule="auto"/>
      </w:pPr>
      <w:r>
        <w:rPr>
          <w:rFonts w:ascii="inter" w:hAnsi="inter" w:eastAsia="inter" w:cs="inter"/>
          <w:b/>
          <w:color w:val="000000"/>
        </w:rPr>
        <w:t>挑战表现</w:t>
      </w:r>
      <w:r>
        <w:rPr>
          <w:rFonts w:ascii="inter" w:hAnsi="inter" w:eastAsia="inter" w:cs="inter"/>
          <w:color w:val="000000"/>
        </w:rPr>
        <w:t>：</w:t>
      </w:r>
    </w:p>
    <w:p w14:paraId="19A2865C">
      <w:pPr>
        <w:spacing w:after="210" w:line="360" w:lineRule="auto"/>
      </w:pPr>
      <w:r>
        <w:rPr>
          <w:rFonts w:ascii="inter" w:hAnsi="inter" w:eastAsia="inter" w:cs="inter"/>
          <w:color w:val="000000"/>
        </w:rPr>
        <w:t>绿色建筑、超低能耗建筑等项目初期投资成本高20-30%，虽然长期运营成本可降低15-20%，但房企和购房者的资金压力在短期内仍然存在。</w:t>
      </w:r>
    </w:p>
    <w:p w14:paraId="696C2B73">
      <w:pPr>
        <w:spacing w:after="210" w:line="360" w:lineRule="auto"/>
      </w:pPr>
      <w:r>
        <w:rPr>
          <w:rFonts w:ascii="inter" w:hAnsi="inter" w:eastAsia="inter" w:cs="inter"/>
          <w:b/>
          <w:color w:val="000000"/>
        </w:rPr>
        <w:t>实施条件</w:t>
      </w:r>
      <w:r>
        <w:rPr>
          <w:rFonts w:ascii="inter" w:hAnsi="inter" w:eastAsia="inter" w:cs="inter"/>
          <w:color w:val="000000"/>
        </w:rPr>
        <w:t>：</w:t>
      </w:r>
    </w:p>
    <w:p w14:paraId="0FE3AD1A">
      <w:pPr>
        <w:numPr>
          <w:ilvl w:val="0"/>
          <w:numId w:val="22"/>
        </w:numPr>
        <w:spacing w:before="105" w:after="105" w:line="360" w:lineRule="auto"/>
      </w:pPr>
      <w:r>
        <w:rPr>
          <w:rFonts w:ascii="inter" w:hAnsi="inter" w:eastAsia="inter" w:cs="inter"/>
          <w:color w:val="000000"/>
          <w:sz w:val="21"/>
        </w:rPr>
        <w:t>绿债支持政策（最高可获80%融资）需要进一步细化落地条件</w:t>
      </w:r>
    </w:p>
    <w:p w14:paraId="1F3B3768">
      <w:pPr>
        <w:numPr>
          <w:ilvl w:val="0"/>
          <w:numId w:val="22"/>
        </w:numPr>
        <w:spacing w:before="105" w:after="105" w:line="360" w:lineRule="auto"/>
      </w:pPr>
      <w:r>
        <w:rPr>
          <w:rFonts w:ascii="inter" w:hAnsi="inter" w:eastAsia="inter" w:cs="inter"/>
          <w:color w:val="000000"/>
          <w:sz w:val="21"/>
        </w:rPr>
        <w:t>ESG评级与融资成本的直接关联机制有待强化</w:t>
      </w:r>
    </w:p>
    <w:p w14:paraId="45236FC3">
      <w:pPr>
        <w:numPr>
          <w:ilvl w:val="0"/>
          <w:numId w:val="22"/>
        </w:numPr>
        <w:spacing w:before="105" w:after="105" w:line="360" w:lineRule="auto"/>
      </w:pPr>
      <w:r>
        <w:rPr>
          <w:rFonts w:ascii="inter" w:hAnsi="inter" w:eastAsia="inter" w:cs="inter"/>
          <w:color w:val="000000"/>
          <w:sz w:val="21"/>
        </w:rPr>
        <w:t>购房者对绿色溢价的接受度需通过市场教育来提高</w:t>
      </w:r>
    </w:p>
    <w:p w14:paraId="1DC54879">
      <w:pPr>
        <w:spacing w:before="315" w:after="105" w:line="360" w:lineRule="auto"/>
        <w:ind w:left="-30"/>
        <w:jc w:val="left"/>
      </w:pPr>
      <w:bookmarkStart w:id="108" w:name="三_reits市场的流动性与收益风险"/>
      <w:r>
        <w:rPr>
          <w:rFonts w:ascii="inter" w:hAnsi="inter" w:eastAsia="inter" w:cs="inter"/>
          <w:b/>
          <w:color w:val="000000"/>
          <w:sz w:val="24"/>
        </w:rPr>
        <w:t>（三）REITs市场的流动性与收益风险</w:t>
      </w:r>
      <w:bookmarkEnd w:id="108"/>
    </w:p>
    <w:p w14:paraId="4ECD936A">
      <w:pPr>
        <w:spacing w:after="210" w:line="360" w:lineRule="auto"/>
      </w:pPr>
      <w:r>
        <w:rPr>
          <w:rFonts w:ascii="inter" w:hAnsi="inter" w:eastAsia="inter" w:cs="inter"/>
          <w:b/>
          <w:color w:val="000000"/>
        </w:rPr>
        <w:t>市场现状</w:t>
      </w:r>
      <w:r>
        <w:rPr>
          <w:rFonts w:ascii="inter" w:hAnsi="inter" w:eastAsia="inter" w:cs="inter"/>
          <w:color w:val="000000"/>
        </w:rPr>
        <w:t>：</w:t>
      </w:r>
    </w:p>
    <w:p w14:paraId="02580761">
      <w:pPr>
        <w:numPr>
          <w:ilvl w:val="0"/>
          <w:numId w:val="23"/>
        </w:numPr>
        <w:spacing w:before="105" w:after="105" w:line="360" w:lineRule="auto"/>
      </w:pPr>
      <w:r>
        <w:rPr>
          <w:rFonts w:ascii="inter" w:hAnsi="inter" w:eastAsia="inter" w:cs="inter"/>
          <w:color w:val="000000"/>
          <w:sz w:val="21"/>
        </w:rPr>
        <w:t>保障性租赁住房REITs二级市场年化分红率仅3%，对机构投资者吸引力有限</w:t>
      </w:r>
    </w:p>
    <w:p w14:paraId="7BAA33DF">
      <w:pPr>
        <w:numPr>
          <w:ilvl w:val="0"/>
          <w:numId w:val="23"/>
        </w:numPr>
        <w:spacing w:before="105" w:after="105" w:line="360" w:lineRule="auto"/>
      </w:pPr>
      <w:r>
        <w:rPr>
          <w:rFonts w:ascii="inter" w:hAnsi="inter" w:eastAsia="inter" w:cs="inter"/>
          <w:color w:val="000000"/>
          <w:sz w:val="21"/>
        </w:rPr>
        <w:t>商业不动产REITs试点刚推出，运营模式、风险定价等仍需市场验证</w:t>
      </w:r>
    </w:p>
    <w:p w14:paraId="62F14977">
      <w:pPr>
        <w:numPr>
          <w:ilvl w:val="0"/>
          <w:numId w:val="23"/>
        </w:numPr>
        <w:spacing w:before="105" w:after="105" w:line="360" w:lineRule="auto"/>
      </w:pPr>
      <w:r>
        <w:rPr>
          <w:rFonts w:ascii="inter" w:hAnsi="inter" w:eastAsia="inter" w:cs="inter"/>
          <w:color w:val="000000"/>
          <w:sz w:val="21"/>
        </w:rPr>
        <w:t>预期REITs市场发展需要3-5年方能形成成熟的投融生态</w:t>
      </w:r>
    </w:p>
    <w:p w14:paraId="6A971542">
      <w:pPr>
        <w:spacing w:after="210" w:line="360" w:lineRule="auto"/>
      </w:pPr>
      <w:r>
        <w:rPr>
          <w:rFonts w:ascii="inter" w:hAnsi="inter" w:eastAsia="inter" w:cs="inter"/>
          <w:b/>
          <w:color w:val="000000"/>
        </w:rPr>
        <w:t>适用条件与边界</w:t>
      </w:r>
      <w:r>
        <w:rPr>
          <w:rFonts w:ascii="inter" w:hAnsi="inter" w:eastAsia="inter" w:cs="inter"/>
          <w:color w:val="000000"/>
        </w:rPr>
        <w:t>：</w:t>
      </w:r>
    </w:p>
    <w:p w14:paraId="0E83A7F8">
      <w:pPr>
        <w:numPr>
          <w:ilvl w:val="0"/>
          <w:numId w:val="24"/>
        </w:numPr>
        <w:spacing w:before="105" w:after="105" w:line="360" w:lineRule="auto"/>
      </w:pPr>
      <w:r>
        <w:rPr>
          <w:rFonts w:ascii="inter" w:hAnsi="inter" w:eastAsia="inter" w:cs="inter"/>
          <w:color w:val="000000"/>
          <w:sz w:val="21"/>
        </w:rPr>
        <w:t>REITs适用于现金流稳定、长期持有的优质资产，不适合高杠杆、周期性强的项目</w:t>
      </w:r>
    </w:p>
    <w:p w14:paraId="637BA795">
      <w:pPr>
        <w:numPr>
          <w:ilvl w:val="0"/>
          <w:numId w:val="24"/>
        </w:numPr>
        <w:spacing w:before="105" w:after="105" w:line="360" w:lineRule="auto"/>
      </w:pPr>
      <w:r>
        <w:rPr>
          <w:rFonts w:ascii="inter" w:hAnsi="inter" w:eastAsia="inter" w:cs="inter"/>
          <w:color w:val="000000"/>
          <w:sz w:val="21"/>
        </w:rPr>
        <w:t>小微房企因信用评级低，参与REITs融资的成本与难度较大</w:t>
      </w:r>
    </w:p>
    <w:p w14:paraId="675A24F4">
      <w:pPr>
        <w:numPr>
          <w:ilvl w:val="0"/>
          <w:numId w:val="24"/>
        </w:numPr>
        <w:spacing w:before="105" w:after="105" w:line="360" w:lineRule="auto"/>
      </w:pPr>
      <w:r>
        <w:rPr>
          <w:rFonts w:ascii="inter" w:hAnsi="inter" w:eastAsia="inter" w:cs="inter"/>
          <w:color w:val="000000"/>
          <w:sz w:val="21"/>
        </w:rPr>
        <w:t>二线及以下城市的存量资产，由于收益率预期较低，可能难以通过REITs成功退出</w:t>
      </w:r>
    </w:p>
    <w:p w14:paraId="414D5950">
      <w:pPr>
        <w:spacing w:before="315" w:after="105" w:line="360" w:lineRule="auto"/>
        <w:ind w:left="-30"/>
        <w:jc w:val="left"/>
      </w:pPr>
      <w:bookmarkStart w:id="109" w:name="四_城市更新项目的长周期风险"/>
      <w:r>
        <w:rPr>
          <w:rFonts w:ascii="inter" w:hAnsi="inter" w:eastAsia="inter" w:cs="inter"/>
          <w:b/>
          <w:color w:val="000000"/>
          <w:sz w:val="24"/>
        </w:rPr>
        <w:t>（四）城市更新项目的长周期风险</w:t>
      </w:r>
      <w:bookmarkEnd w:id="109"/>
    </w:p>
    <w:p w14:paraId="0C6E1FB5">
      <w:pPr>
        <w:spacing w:after="210" w:line="360" w:lineRule="auto"/>
      </w:pPr>
      <w:r>
        <w:rPr>
          <w:rFonts w:ascii="inter" w:hAnsi="inter" w:eastAsia="inter" w:cs="inter"/>
          <w:b/>
          <w:color w:val="000000"/>
        </w:rPr>
        <w:t>项目特征与风险</w:t>
      </w:r>
      <w:r>
        <w:rPr>
          <w:rFonts w:ascii="inter" w:hAnsi="inter" w:eastAsia="inter" w:cs="inter"/>
          <w:color w:val="000000"/>
        </w:rPr>
        <w:t>：</w:t>
      </w:r>
    </w:p>
    <w:p w14:paraId="156848A6">
      <w:pPr>
        <w:spacing w:after="210" w:line="360" w:lineRule="auto"/>
      </w:pPr>
      <w:r>
        <w:rPr>
          <w:rFonts w:ascii="inter" w:hAnsi="inter" w:eastAsia="inter" w:cs="inter"/>
          <w:color w:val="000000"/>
        </w:rPr>
        <w:t>城市更新项目周期较长，现金流呈现"前期投入大、中期回报慢、后期持续产出"的特征。</w:t>
      </w:r>
      <w:bookmarkStart w:id="110" w:name="fnref21_3"/>
      <w:bookmarkEnd w:id="110"/>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5"/>
        <w:gridCol w:w="2432"/>
        <w:gridCol w:w="2726"/>
      </w:tblGrid>
      <w:tr w14:paraId="1C47F1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4DDE759">
            <w:pPr>
              <w:spacing w:after="0" w:line="360" w:lineRule="auto"/>
            </w:pPr>
            <w:r>
              <w:rPr>
                <w:rFonts w:ascii="inter" w:hAnsi="inter" w:eastAsia="inter" w:cs="inter"/>
                <w:color w:val="000000"/>
                <w:sz w:val="17"/>
              </w:rPr>
              <w:t>风险维度</w:t>
            </w:r>
          </w:p>
        </w:tc>
        <w:tc>
          <w:tcPr>
            <w:tcBorders>
              <w:top w:val="single" w:color="000000" w:sz="0" w:space="0"/>
              <w:bottom w:val="single" w:color="000000" w:sz="0" w:space="0"/>
              <w:right w:val="single" w:color="000000" w:sz="0" w:space="0"/>
            </w:tcBorders>
          </w:tcPr>
          <w:p w14:paraId="35CFCEE8">
            <w:pPr>
              <w:spacing w:after="0" w:line="360" w:lineRule="auto"/>
            </w:pPr>
            <w:r>
              <w:rPr>
                <w:rFonts w:ascii="inter" w:hAnsi="inter" w:eastAsia="inter" w:cs="inter"/>
                <w:color w:val="000000"/>
                <w:sz w:val="17"/>
              </w:rPr>
              <w:t>具体表现</w:t>
            </w:r>
          </w:p>
        </w:tc>
        <w:tc>
          <w:tcPr>
            <w:tcBorders>
              <w:top w:val="single" w:color="000000" w:sz="0" w:space="0"/>
              <w:bottom w:val="single" w:color="000000" w:sz="0" w:space="0"/>
            </w:tcBorders>
          </w:tcPr>
          <w:p w14:paraId="02196171">
            <w:pPr>
              <w:spacing w:after="0" w:line="360" w:lineRule="auto"/>
            </w:pPr>
            <w:r>
              <w:rPr>
                <w:rFonts w:ascii="inter" w:hAnsi="inter" w:eastAsia="inter" w:cs="inter"/>
                <w:color w:val="000000"/>
                <w:sz w:val="17"/>
              </w:rPr>
              <w:t>防控措施</w:t>
            </w:r>
          </w:p>
        </w:tc>
      </w:tr>
      <w:tr w14:paraId="2388CA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688CA51">
            <w:pPr>
              <w:spacing w:after="0" w:line="360" w:lineRule="auto"/>
            </w:pPr>
            <w:r>
              <w:rPr>
                <w:rFonts w:ascii="inter" w:hAnsi="inter" w:eastAsia="inter" w:cs="inter"/>
                <w:color w:val="000000"/>
                <w:sz w:val="17"/>
              </w:rPr>
              <w:t>资金风险</w:t>
            </w:r>
          </w:p>
        </w:tc>
        <w:tc>
          <w:tcPr>
            <w:tcBorders>
              <w:top w:val="single" w:color="000000" w:sz="0" w:space="0"/>
              <w:bottom w:val="single" w:color="000000" w:sz="0" w:space="0"/>
              <w:right w:val="single" w:color="000000" w:sz="0" w:space="0"/>
            </w:tcBorders>
          </w:tcPr>
          <w:p w14:paraId="568D1E1B">
            <w:pPr>
              <w:spacing w:after="0" w:line="360" w:lineRule="auto"/>
            </w:pPr>
            <w:r>
              <w:rPr>
                <w:rFonts w:ascii="inter" w:hAnsi="inter" w:eastAsia="inter" w:cs="inter"/>
                <w:color w:val="000000"/>
                <w:sz w:val="17"/>
              </w:rPr>
              <w:t>前期投入大（5-10年）</w:t>
            </w:r>
          </w:p>
        </w:tc>
        <w:tc>
          <w:tcPr>
            <w:tcBorders>
              <w:top w:val="single" w:color="000000" w:sz="0" w:space="0"/>
              <w:bottom w:val="single" w:color="000000" w:sz="0" w:space="0"/>
            </w:tcBorders>
          </w:tcPr>
          <w:p w14:paraId="0759E7D4">
            <w:pPr>
              <w:spacing w:after="0" w:line="360" w:lineRule="auto"/>
            </w:pPr>
            <w:r>
              <w:rPr>
                <w:rFonts w:ascii="inter" w:hAnsi="inter" w:eastAsia="inter" w:cs="inter"/>
                <w:color w:val="000000"/>
                <w:sz w:val="17"/>
              </w:rPr>
              <w:t>专项基金、PPP、政府引导基金</w:t>
            </w:r>
          </w:p>
        </w:tc>
      </w:tr>
      <w:tr w14:paraId="5564B8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7B10D7A">
            <w:pPr>
              <w:spacing w:after="0" w:line="360" w:lineRule="auto"/>
            </w:pPr>
            <w:r>
              <w:rPr>
                <w:rFonts w:ascii="inter" w:hAnsi="inter" w:eastAsia="inter" w:cs="inter"/>
                <w:color w:val="000000"/>
                <w:sz w:val="17"/>
              </w:rPr>
              <w:t>运营风险</w:t>
            </w:r>
          </w:p>
        </w:tc>
        <w:tc>
          <w:tcPr>
            <w:tcBorders>
              <w:top w:val="single" w:color="000000" w:sz="0" w:space="0"/>
              <w:bottom w:val="single" w:color="000000" w:sz="0" w:space="0"/>
              <w:right w:val="single" w:color="000000" w:sz="0" w:space="0"/>
            </w:tcBorders>
          </w:tcPr>
          <w:p w14:paraId="17556F32">
            <w:pPr>
              <w:spacing w:after="0" w:line="360" w:lineRule="auto"/>
            </w:pPr>
            <w:r>
              <w:rPr>
                <w:rFonts w:ascii="inter" w:hAnsi="inter" w:eastAsia="inter" w:cs="inter"/>
                <w:color w:val="000000"/>
                <w:sz w:val="17"/>
              </w:rPr>
              <w:t>中期回报见效慢（3-7年）</w:t>
            </w:r>
          </w:p>
        </w:tc>
        <w:tc>
          <w:tcPr>
            <w:tcBorders>
              <w:top w:val="single" w:color="000000" w:sz="0" w:space="0"/>
              <w:bottom w:val="single" w:color="000000" w:sz="0" w:space="0"/>
            </w:tcBorders>
          </w:tcPr>
          <w:p w14:paraId="036C2F94">
            <w:pPr>
              <w:spacing w:after="0" w:line="360" w:lineRule="auto"/>
            </w:pPr>
            <w:r>
              <w:rPr>
                <w:rFonts w:ascii="inter" w:hAnsi="inter" w:eastAsia="inter" w:cs="inter"/>
                <w:color w:val="000000"/>
                <w:sz w:val="17"/>
              </w:rPr>
              <w:t>市场化运营、产业导入</w:t>
            </w:r>
          </w:p>
        </w:tc>
      </w:tr>
      <w:tr w14:paraId="0C1514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562E234">
            <w:pPr>
              <w:spacing w:after="0" w:line="360" w:lineRule="auto"/>
            </w:pPr>
            <w:r>
              <w:rPr>
                <w:rFonts w:ascii="inter" w:hAnsi="inter" w:eastAsia="inter" w:cs="inter"/>
                <w:color w:val="000000"/>
                <w:sz w:val="17"/>
              </w:rPr>
              <w:t>政策风险</w:t>
            </w:r>
          </w:p>
        </w:tc>
        <w:tc>
          <w:tcPr>
            <w:tcBorders>
              <w:top w:val="single" w:color="000000" w:sz="0" w:space="0"/>
              <w:bottom w:val="single" w:color="000000" w:sz="0" w:space="0"/>
              <w:right w:val="single" w:color="000000" w:sz="0" w:space="0"/>
            </w:tcBorders>
          </w:tcPr>
          <w:p w14:paraId="0F4E67E2">
            <w:pPr>
              <w:spacing w:after="0" w:line="360" w:lineRule="auto"/>
            </w:pPr>
            <w:r>
              <w:rPr>
                <w:rFonts w:ascii="inter" w:hAnsi="inter" w:eastAsia="inter" w:cs="inter"/>
                <w:color w:val="000000"/>
                <w:sz w:val="17"/>
              </w:rPr>
              <w:t>规划调整、审批变化</w:t>
            </w:r>
          </w:p>
        </w:tc>
        <w:tc>
          <w:tcPr>
            <w:tcBorders>
              <w:top w:val="single" w:color="000000" w:sz="0" w:space="0"/>
              <w:bottom w:val="single" w:color="000000" w:sz="0" w:space="0"/>
            </w:tcBorders>
          </w:tcPr>
          <w:p w14:paraId="03EC9BBB">
            <w:pPr>
              <w:spacing w:after="0" w:line="360" w:lineRule="auto"/>
            </w:pPr>
            <w:r>
              <w:rPr>
                <w:rFonts w:ascii="inter" w:hAnsi="inter" w:eastAsia="inter" w:cs="inter"/>
                <w:color w:val="000000"/>
                <w:sz w:val="17"/>
              </w:rPr>
              <w:t>规划统筹、制度化推进</w:t>
            </w:r>
          </w:p>
        </w:tc>
      </w:tr>
      <w:tr w14:paraId="631E6B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8DEEEA">
            <w:pPr>
              <w:spacing w:after="0" w:line="360" w:lineRule="auto"/>
            </w:pPr>
            <w:r>
              <w:rPr>
                <w:rFonts w:ascii="inter" w:hAnsi="inter" w:eastAsia="inter" w:cs="inter"/>
                <w:color w:val="000000"/>
                <w:sz w:val="17"/>
              </w:rPr>
              <w:t>市场风险</w:t>
            </w:r>
          </w:p>
        </w:tc>
        <w:tc>
          <w:tcPr>
            <w:tcBorders>
              <w:top w:val="single" w:color="000000" w:sz="0" w:space="0"/>
              <w:bottom w:val="single" w:color="000000" w:sz="0" w:space="0"/>
              <w:right w:val="single" w:color="000000" w:sz="0" w:space="0"/>
            </w:tcBorders>
          </w:tcPr>
          <w:p w14:paraId="73C545D5">
            <w:pPr>
              <w:spacing w:after="0" w:line="360" w:lineRule="auto"/>
            </w:pPr>
            <w:r>
              <w:rPr>
                <w:rFonts w:ascii="inter" w:hAnsi="inter" w:eastAsia="inter" w:cs="inter"/>
                <w:color w:val="000000"/>
                <w:sz w:val="17"/>
              </w:rPr>
              <w:t>商业业态需求变化</w:t>
            </w:r>
          </w:p>
        </w:tc>
        <w:tc>
          <w:tcPr>
            <w:tcBorders>
              <w:top w:val="single" w:color="000000" w:sz="0" w:space="0"/>
              <w:bottom w:val="single" w:color="000000" w:sz="0" w:space="0"/>
            </w:tcBorders>
          </w:tcPr>
          <w:p w14:paraId="4147973B">
            <w:pPr>
              <w:spacing w:after="0" w:line="360" w:lineRule="auto"/>
            </w:pPr>
            <w:r>
              <w:rPr>
                <w:rFonts w:ascii="inter" w:hAnsi="inter" w:eastAsia="inter" w:cs="inter"/>
                <w:color w:val="000000"/>
                <w:sz w:val="17"/>
              </w:rPr>
              <w:t>混合功能设置、动态适配</w:t>
            </w:r>
          </w:p>
        </w:tc>
      </w:tr>
    </w:tbl>
    <w:p w14:paraId="12466B8F"/>
    <w:p w14:paraId="563681A3">
      <w:pPr>
        <w:spacing w:after="210" w:line="360" w:lineRule="auto"/>
      </w:pPr>
      <w:r>
        <w:rPr>
          <w:rFonts w:ascii="inter" w:hAnsi="inter" w:eastAsia="inter" w:cs="inter"/>
          <w:b/>
          <w:color w:val="000000"/>
        </w:rPr>
        <w:t>建议</w:t>
      </w:r>
      <w:r>
        <w:rPr>
          <w:rFonts w:ascii="inter" w:hAnsi="inter" w:eastAsia="inter" w:cs="inter"/>
          <w:color w:val="000000"/>
        </w:rPr>
        <w:t>：</w:t>
      </w:r>
    </w:p>
    <w:p w14:paraId="0B716060">
      <w:pPr>
        <w:numPr>
          <w:ilvl w:val="0"/>
          <w:numId w:val="25"/>
        </w:numPr>
        <w:spacing w:before="105" w:after="105" w:line="360" w:lineRule="auto"/>
      </w:pPr>
      <w:r>
        <w:rPr>
          <w:rFonts w:ascii="inter" w:hAnsi="inter" w:eastAsia="inter" w:cs="inter"/>
          <w:color w:val="000000"/>
          <w:sz w:val="21"/>
        </w:rPr>
        <w:t>建立多元支持体系：资金、政策、技术三位一体</w:t>
      </w:r>
    </w:p>
    <w:p w14:paraId="7A9F12EB">
      <w:pPr>
        <w:numPr>
          <w:ilvl w:val="0"/>
          <w:numId w:val="25"/>
        </w:numPr>
        <w:spacing w:before="105" w:after="105" w:line="360" w:lineRule="auto"/>
      </w:pPr>
      <w:r>
        <w:rPr>
          <w:rFonts w:ascii="inter" w:hAnsi="inter" w:eastAsia="inter" w:cs="inter"/>
          <w:color w:val="000000"/>
          <w:sz w:val="21"/>
        </w:rPr>
        <w:t>创新盈利模式：价值分层运营（空间分层、时间梯度释放、功能混合）</w:t>
      </w:r>
    </w:p>
    <w:p w14:paraId="2C4D11B0">
      <w:pPr>
        <w:numPr>
          <w:ilvl w:val="0"/>
          <w:numId w:val="25"/>
        </w:numPr>
        <w:spacing w:before="105" w:after="105" w:line="360" w:lineRule="auto"/>
      </w:pPr>
      <w:r>
        <w:rPr>
          <w:rFonts w:ascii="inter" w:hAnsi="inter" w:eastAsia="inter" w:cs="inter"/>
          <w:color w:val="000000"/>
          <w:sz w:val="21"/>
        </w:rPr>
        <w:t>强化社会参与：完善政府引导、市场运作、公众参与的联动机制</w:t>
      </w:r>
    </w:p>
    <w:p w14:paraId="4CC00D0A">
      <w:pPr>
        <w:spacing w:before="315" w:after="105" w:line="360" w:lineRule="auto"/>
        <w:ind w:left="-30"/>
        <w:jc w:val="left"/>
      </w:pPr>
      <w:bookmarkStart w:id="111" w:name="五_esg披露与数据一致性问题"/>
      <w:r>
        <w:rPr>
          <w:rFonts w:ascii="inter" w:hAnsi="inter" w:eastAsia="inter" w:cs="inter"/>
          <w:b/>
          <w:color w:val="000000"/>
          <w:sz w:val="24"/>
        </w:rPr>
        <w:t>（五）ESG披露与数据一致性问题</w:t>
      </w:r>
      <w:bookmarkEnd w:id="111"/>
    </w:p>
    <w:p w14:paraId="18477A94">
      <w:pPr>
        <w:spacing w:after="210" w:line="360" w:lineRule="auto"/>
      </w:pPr>
      <w:r>
        <w:rPr>
          <w:rFonts w:ascii="inter" w:hAnsi="inter" w:eastAsia="inter" w:cs="inter"/>
          <w:b/>
          <w:color w:val="000000"/>
        </w:rPr>
        <w:t>实施挑战</w:t>
      </w:r>
      <w:r>
        <w:rPr>
          <w:rFonts w:ascii="inter" w:hAnsi="inter" w:eastAsia="inter" w:cs="inter"/>
          <w:color w:val="000000"/>
        </w:rPr>
        <w:t>：</w:t>
      </w:r>
    </w:p>
    <w:p w14:paraId="18D65981">
      <w:pPr>
        <w:spacing w:after="210" w:line="360" w:lineRule="auto"/>
      </w:pPr>
      <w:r>
        <w:rPr>
          <w:rFonts w:ascii="inter" w:hAnsi="inter" w:eastAsia="inter" w:cs="inter"/>
          <w:color w:val="000000"/>
        </w:rPr>
        <w:t>虽然房地产企业ESG披露率达60%以上，但存在深度与一致性问题：</w:t>
      </w:r>
      <w:bookmarkStart w:id="112" w:name="fnref18_6"/>
      <w:bookmarkEnd w:id="11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2E5CE999">
      <w:pPr>
        <w:numPr>
          <w:ilvl w:val="0"/>
          <w:numId w:val="26"/>
        </w:numPr>
        <w:spacing w:before="105" w:after="105" w:line="360" w:lineRule="auto"/>
      </w:pPr>
      <w:r>
        <w:rPr>
          <w:rFonts w:ascii="inter" w:hAnsi="inter" w:eastAsia="inter" w:cs="inter"/>
          <w:color w:val="000000"/>
          <w:sz w:val="21"/>
        </w:rPr>
        <w:t>49家典型房企中，仅39%环境数据覆盖指标全面</w:t>
      </w:r>
    </w:p>
    <w:p w14:paraId="07BDED81">
      <w:pPr>
        <w:numPr>
          <w:ilvl w:val="0"/>
          <w:numId w:val="26"/>
        </w:numPr>
        <w:spacing w:before="105" w:after="105" w:line="360" w:lineRule="auto"/>
      </w:pPr>
      <w:r>
        <w:rPr>
          <w:rFonts w:ascii="inter" w:hAnsi="inter" w:eastAsia="inter" w:cs="inter"/>
          <w:color w:val="000000"/>
          <w:sz w:val="21"/>
        </w:rPr>
        <w:t>企业间环境数据统计范围差异大，可比性不足</w:t>
      </w:r>
    </w:p>
    <w:p w14:paraId="1EFCEC11">
      <w:pPr>
        <w:numPr>
          <w:ilvl w:val="0"/>
          <w:numId w:val="26"/>
        </w:numPr>
        <w:spacing w:before="105" w:after="105" w:line="360" w:lineRule="auto"/>
      </w:pPr>
      <w:r>
        <w:rPr>
          <w:rFonts w:ascii="inter" w:hAnsi="inter" w:eastAsia="inter" w:cs="inter"/>
          <w:color w:val="000000"/>
          <w:sz w:val="21"/>
        </w:rPr>
        <w:t>部分房企因经营压力缩减绿色投入，导致ESG评分波动</w:t>
      </w:r>
    </w:p>
    <w:p w14:paraId="64DEE466">
      <w:pPr>
        <w:spacing w:after="210" w:line="360" w:lineRule="auto"/>
      </w:pPr>
      <w:r>
        <w:rPr>
          <w:rFonts w:ascii="inter" w:hAnsi="inter" w:eastAsia="inter" w:cs="inter"/>
          <w:b/>
          <w:color w:val="000000"/>
        </w:rPr>
        <w:t>解决方向</w:t>
      </w:r>
      <w:r>
        <w:rPr>
          <w:rFonts w:ascii="inter" w:hAnsi="inter" w:eastAsia="inter" w:cs="inter"/>
          <w:color w:val="000000"/>
        </w:rPr>
        <w:t>：</w:t>
      </w:r>
    </w:p>
    <w:p w14:paraId="43F2960A">
      <w:pPr>
        <w:numPr>
          <w:ilvl w:val="0"/>
          <w:numId w:val="27"/>
        </w:numPr>
        <w:spacing w:before="105" w:after="105" w:line="360" w:lineRule="auto"/>
      </w:pPr>
      <w:r>
        <w:rPr>
          <w:rFonts w:ascii="inter" w:hAnsi="inter" w:eastAsia="inter" w:cs="inter"/>
          <w:color w:val="000000"/>
          <w:sz w:val="21"/>
        </w:rPr>
        <w:t>统一数据统计口径，建立房地产行业级碳数据平台</w:t>
      </w:r>
    </w:p>
    <w:p w14:paraId="4803EED6">
      <w:pPr>
        <w:numPr>
          <w:ilvl w:val="0"/>
          <w:numId w:val="27"/>
        </w:numPr>
        <w:spacing w:before="105" w:after="105" w:line="360" w:lineRule="auto"/>
      </w:pPr>
      <w:r>
        <w:rPr>
          <w:rFonts w:ascii="inter" w:hAnsi="inter" w:eastAsia="inter" w:cs="inter"/>
          <w:color w:val="000000"/>
          <w:sz w:val="21"/>
        </w:rPr>
        <w:t>推动ESG与土地出让、融资配套挂钩，形成市场化驱动机制</w:t>
      </w:r>
    </w:p>
    <w:p w14:paraId="5FED5826">
      <w:pPr>
        <w:numPr>
          <w:ilvl w:val="0"/>
          <w:numId w:val="27"/>
        </w:numPr>
        <w:spacing w:before="105" w:after="105" w:line="360" w:lineRule="auto"/>
      </w:pPr>
      <w:r>
        <w:rPr>
          <w:rFonts w:ascii="inter" w:hAnsi="inter" w:eastAsia="inter" w:cs="inter"/>
          <w:color w:val="000000"/>
          <w:sz w:val="21"/>
        </w:rPr>
        <w:t>建立"ESG报告→现场展示→产品竞争力"的完整传导链条</w:t>
      </w:r>
    </w:p>
    <w:p w14:paraId="3CFF82B9">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1D5D7292">
      <w:pPr>
        <w:spacing w:before="315" w:after="105" w:line="360" w:lineRule="auto"/>
        <w:ind w:left="-30"/>
        <w:jc w:val="left"/>
      </w:pPr>
      <w:bookmarkStart w:id="113" w:name="五_展望与战略建议"/>
      <w:r>
        <w:rPr>
          <w:rFonts w:ascii="inter" w:hAnsi="inter" w:eastAsia="inter" w:cs="inter"/>
          <w:b/>
          <w:color w:val="000000"/>
          <w:sz w:val="24"/>
        </w:rPr>
        <w:t>五、展望与战略建议</w:t>
      </w:r>
      <w:bookmarkEnd w:id="113"/>
    </w:p>
    <w:p w14:paraId="4A62A1F5">
      <w:pPr>
        <w:spacing w:before="315" w:after="105" w:line="360" w:lineRule="auto"/>
        <w:ind w:left="-30"/>
        <w:jc w:val="left"/>
      </w:pPr>
      <w:bookmarkStart w:id="114" w:name="一_十年发展的战略愿景"/>
      <w:r>
        <w:rPr>
          <w:rFonts w:ascii="inter" w:hAnsi="inter" w:eastAsia="inter" w:cs="inter"/>
          <w:b/>
          <w:color w:val="000000"/>
          <w:sz w:val="24"/>
        </w:rPr>
        <w:t>（一）十年发展的战略愿景</w:t>
      </w:r>
      <w:bookmarkEnd w:id="114"/>
    </w:p>
    <w:p w14:paraId="5439691B">
      <w:pPr>
        <w:spacing w:after="210" w:line="360" w:lineRule="auto"/>
      </w:pPr>
      <w:r>
        <w:rPr>
          <w:rFonts w:ascii="inter" w:hAnsi="inter" w:eastAsia="inter" w:cs="inter"/>
          <w:color w:val="000000"/>
        </w:rPr>
        <w:t>到2035年，中国房地产行业将完成以下三个战略目标的实现：</w:t>
      </w:r>
    </w:p>
    <w:p w14:paraId="54A01D4F">
      <w:pPr>
        <w:spacing w:after="210" w:line="360" w:lineRule="auto"/>
      </w:pPr>
      <w:r>
        <w:rPr>
          <w:rFonts w:ascii="inter" w:hAnsi="inter" w:eastAsia="inter" w:cs="inter"/>
          <w:b/>
          <w:color w:val="000000"/>
        </w:rPr>
        <w:t>1. 供给体系的现代化重构</w:t>
      </w:r>
    </w:p>
    <w:p w14:paraId="65B81DD7">
      <w:pPr>
        <w:numPr>
          <w:ilvl w:val="0"/>
          <w:numId w:val="28"/>
        </w:numPr>
        <w:spacing w:before="105" w:after="105" w:line="360" w:lineRule="auto"/>
      </w:pPr>
      <w:r>
        <w:rPr>
          <w:rFonts w:ascii="inter" w:hAnsi="inter" w:eastAsia="inter" w:cs="inter"/>
          <w:color w:val="000000"/>
          <w:sz w:val="21"/>
        </w:rPr>
        <w:t>形成"市场+保障"双轨制的住房供应体系，其中保障房占比从当前的5-10%上升至15-20%</w:t>
      </w:r>
    </w:p>
    <w:p w14:paraId="2A74368A">
      <w:pPr>
        <w:numPr>
          <w:ilvl w:val="0"/>
          <w:numId w:val="28"/>
        </w:numPr>
        <w:spacing w:before="105" w:after="105" w:line="360" w:lineRule="auto"/>
      </w:pPr>
      <w:r>
        <w:rPr>
          <w:rFonts w:ascii="inter" w:hAnsi="inter" w:eastAsia="inter" w:cs="inter"/>
          <w:color w:val="000000"/>
          <w:sz w:val="21"/>
        </w:rPr>
        <w:t>"好房子"成为市场主流产品，超低能耗建筑、装配式建筑、智慧社区占新增房屋的50%以上</w:t>
      </w:r>
    </w:p>
    <w:p w14:paraId="495F484F">
      <w:pPr>
        <w:numPr>
          <w:ilvl w:val="0"/>
          <w:numId w:val="28"/>
        </w:numPr>
        <w:spacing w:before="105" w:after="105" w:line="360" w:lineRule="auto"/>
      </w:pPr>
      <w:r>
        <w:rPr>
          <w:rFonts w:ascii="inter" w:hAnsi="inter" w:eastAsia="inter" w:cs="inter"/>
          <w:color w:val="000000"/>
          <w:sz w:val="21"/>
        </w:rPr>
        <w:t>城市更新投资规模超过9万亿元，存量房屋更新比例达30%以上</w:t>
      </w:r>
    </w:p>
    <w:p w14:paraId="07823646">
      <w:pPr>
        <w:spacing w:after="210" w:line="360" w:lineRule="auto"/>
      </w:pPr>
      <w:r>
        <w:rPr>
          <w:rFonts w:ascii="inter" w:hAnsi="inter" w:eastAsia="inter" w:cs="inter"/>
          <w:b/>
          <w:color w:val="000000"/>
        </w:rPr>
        <w:t>2. 金融生态的成熟化演进</w:t>
      </w:r>
    </w:p>
    <w:p w14:paraId="2C9A4DA9">
      <w:pPr>
        <w:numPr>
          <w:ilvl w:val="0"/>
          <w:numId w:val="29"/>
        </w:numPr>
        <w:spacing w:before="105" w:after="105" w:line="360" w:lineRule="auto"/>
      </w:pPr>
      <w:r>
        <w:rPr>
          <w:rFonts w:ascii="inter" w:hAnsi="inter" w:eastAsia="inter" w:cs="inter"/>
          <w:color w:val="000000"/>
          <w:sz w:val="21"/>
        </w:rPr>
        <w:t>REITs市场规模突破5000亿元，覆盖住宅、商办、文旅、养老等多个赛道</w:t>
      </w:r>
    </w:p>
    <w:p w14:paraId="75B182EC">
      <w:pPr>
        <w:numPr>
          <w:ilvl w:val="0"/>
          <w:numId w:val="29"/>
        </w:numPr>
        <w:spacing w:before="105" w:after="105" w:line="360" w:lineRule="auto"/>
      </w:pPr>
      <w:r>
        <w:rPr>
          <w:rFonts w:ascii="inter" w:hAnsi="inter" w:eastAsia="inter" w:cs="inter"/>
          <w:color w:val="000000"/>
          <w:sz w:val="21"/>
        </w:rPr>
        <w:t>绿色债券、绿色贷款占房地产融资总额的40%以上</w:t>
      </w:r>
    </w:p>
    <w:p w14:paraId="4C547328">
      <w:pPr>
        <w:numPr>
          <w:ilvl w:val="0"/>
          <w:numId w:val="29"/>
        </w:numPr>
        <w:spacing w:before="105" w:after="105" w:line="360" w:lineRule="auto"/>
      </w:pPr>
      <w:r>
        <w:rPr>
          <w:rFonts w:ascii="inter" w:hAnsi="inter" w:eastAsia="inter" w:cs="inter"/>
          <w:color w:val="000000"/>
          <w:sz w:val="21"/>
        </w:rPr>
        <w:t>房企从"高杠杆"模式转向"轻资产"运营，资产负债率从70%降至50%</w:t>
      </w:r>
    </w:p>
    <w:p w14:paraId="734CFE77">
      <w:pPr>
        <w:spacing w:after="210" w:line="360" w:lineRule="auto"/>
      </w:pPr>
      <w:r>
        <w:rPr>
          <w:rFonts w:ascii="inter" w:hAnsi="inter" w:eastAsia="inter" w:cs="inter"/>
          <w:b/>
          <w:color w:val="000000"/>
        </w:rPr>
        <w:t>3. 行业高质量发展的全面实现</w:t>
      </w:r>
    </w:p>
    <w:p w14:paraId="18829D09">
      <w:pPr>
        <w:numPr>
          <w:ilvl w:val="0"/>
          <w:numId w:val="30"/>
        </w:numPr>
        <w:spacing w:before="105" w:after="105" w:line="360" w:lineRule="auto"/>
      </w:pPr>
      <w:r>
        <w:rPr>
          <w:rFonts w:ascii="inter" w:hAnsi="inter" w:eastAsia="inter" w:cs="inter"/>
          <w:color w:val="000000"/>
          <w:sz w:val="21"/>
        </w:rPr>
        <w:t>房地产增加值占GDP比重稳定在5-6%，相关产业合计占比10-12%</w:t>
      </w:r>
    </w:p>
    <w:p w14:paraId="02F720C6">
      <w:pPr>
        <w:numPr>
          <w:ilvl w:val="0"/>
          <w:numId w:val="30"/>
        </w:numPr>
        <w:spacing w:before="105" w:after="105" w:line="360" w:lineRule="auto"/>
      </w:pPr>
      <w:r>
        <w:rPr>
          <w:rFonts w:ascii="inter" w:hAnsi="inter" w:eastAsia="inter" w:cs="inter"/>
          <w:color w:val="000000"/>
          <w:sz w:val="21"/>
        </w:rPr>
        <w:t>企业绿色低碳转型全面完成，建筑碳排放强度下降40%以上</w:t>
      </w:r>
    </w:p>
    <w:p w14:paraId="3E382881">
      <w:pPr>
        <w:numPr>
          <w:ilvl w:val="0"/>
          <w:numId w:val="30"/>
        </w:numPr>
        <w:spacing w:before="105" w:after="105" w:line="360" w:lineRule="auto"/>
      </w:pPr>
      <w:r>
        <w:rPr>
          <w:rFonts w:ascii="inter" w:hAnsi="inter" w:eastAsia="inter" w:cs="inter"/>
          <w:color w:val="000000"/>
          <w:sz w:val="21"/>
        </w:rPr>
        <w:t>人居环境质量显著提升，城市更新带动社会综合效益（就业、文化、生态）的全面改善</w:t>
      </w:r>
    </w:p>
    <w:p w14:paraId="1CD675EB">
      <w:pPr>
        <w:spacing w:before="315" w:after="105" w:line="360" w:lineRule="auto"/>
        <w:ind w:left="-30"/>
        <w:jc w:val="left"/>
      </w:pPr>
      <w:bookmarkStart w:id="115" w:name="二_国家促进机制的优化方向"/>
      <w:r>
        <w:rPr>
          <w:rFonts w:ascii="inter" w:hAnsi="inter" w:eastAsia="inter" w:cs="inter"/>
          <w:b/>
          <w:color w:val="000000"/>
          <w:sz w:val="24"/>
        </w:rPr>
        <w:t>（二）国家促进机制的优化方向</w:t>
      </w:r>
      <w:bookmarkEnd w:id="115"/>
    </w:p>
    <w:p w14:paraId="72451CF5">
      <w:pPr>
        <w:spacing w:before="315" w:after="105" w:line="360" w:lineRule="auto"/>
        <w:ind w:left="-30"/>
        <w:jc w:val="left"/>
      </w:pPr>
      <w:bookmarkStart w:id="116" w:name="bm_1_制度创新的优先序列"/>
      <w:r>
        <w:rPr>
          <w:rFonts w:ascii="inter" w:hAnsi="inter" w:eastAsia="inter" w:cs="inter"/>
          <w:b/>
          <w:color w:val="000000"/>
          <w:sz w:val="24"/>
        </w:rPr>
        <w:t>1. 制度创新的优先序列</w:t>
      </w:r>
      <w:bookmarkEnd w:id="116"/>
    </w:p>
    <w:p w14:paraId="5CA2BD94">
      <w:pPr>
        <w:spacing w:after="210" w:line="360" w:lineRule="auto"/>
      </w:pPr>
      <w:r>
        <w:rPr>
          <w:rFonts w:ascii="inter" w:hAnsi="inter" w:eastAsia="inter" w:cs="inter"/>
          <w:b/>
          <w:color w:val="000000"/>
        </w:rPr>
        <w:t>短期（2026-2027）</w:t>
      </w:r>
      <w:r>
        <w:rPr>
          <w:rFonts w:ascii="inter" w:hAnsi="inter" w:eastAsia="inter" w:cs="inter"/>
          <w:color w:val="000000"/>
        </w:rPr>
        <w:t>：</w:t>
      </w:r>
    </w:p>
    <w:p w14:paraId="54A71042">
      <w:pPr>
        <w:numPr>
          <w:ilvl w:val="0"/>
          <w:numId w:val="31"/>
        </w:numPr>
        <w:spacing w:before="105" w:after="105" w:line="360" w:lineRule="auto"/>
      </w:pPr>
      <w:r>
        <w:rPr>
          <w:rFonts w:ascii="inter" w:hAnsi="inter" w:eastAsia="inter" w:cs="inter"/>
          <w:color w:val="000000"/>
          <w:sz w:val="21"/>
        </w:rPr>
        <w:t>完善"人房地钱"联动机制，使规划与配置真正实现科学化</w:t>
      </w:r>
    </w:p>
    <w:p w14:paraId="07ACD2A0">
      <w:pPr>
        <w:numPr>
          <w:ilvl w:val="0"/>
          <w:numId w:val="31"/>
        </w:numPr>
        <w:spacing w:before="105" w:after="105" w:line="360" w:lineRule="auto"/>
      </w:pPr>
      <w:r>
        <w:rPr>
          <w:rFonts w:ascii="inter" w:hAnsi="inter" w:eastAsia="inter" w:cs="inter"/>
          <w:color w:val="000000"/>
          <w:sz w:val="21"/>
        </w:rPr>
        <w:t>推动保障房与市场房的联动定价机制，避免市场扭曲</w:t>
      </w:r>
    </w:p>
    <w:p w14:paraId="68EABAB2">
      <w:pPr>
        <w:numPr>
          <w:ilvl w:val="0"/>
          <w:numId w:val="31"/>
        </w:numPr>
        <w:spacing w:before="105" w:after="105" w:line="360" w:lineRule="auto"/>
      </w:pPr>
      <w:r>
        <w:rPr>
          <w:rFonts w:ascii="inter" w:hAnsi="inter" w:eastAsia="inter" w:cs="inter"/>
          <w:color w:val="000000"/>
          <w:sz w:val="21"/>
        </w:rPr>
        <w:t>简化企业参与城市更新的审批流程，降低制度成本</w:t>
      </w:r>
    </w:p>
    <w:p w14:paraId="58AB4480">
      <w:pPr>
        <w:spacing w:after="210" w:line="360" w:lineRule="auto"/>
      </w:pPr>
      <w:r>
        <w:rPr>
          <w:rFonts w:ascii="inter" w:hAnsi="inter" w:eastAsia="inter" w:cs="inter"/>
          <w:b/>
          <w:color w:val="000000"/>
        </w:rPr>
        <w:t>中期（2027-2030）</w:t>
      </w:r>
      <w:r>
        <w:rPr>
          <w:rFonts w:ascii="inter" w:hAnsi="inter" w:eastAsia="inter" w:cs="inter"/>
          <w:color w:val="000000"/>
        </w:rPr>
        <w:t>：</w:t>
      </w:r>
    </w:p>
    <w:p w14:paraId="3B7D3086">
      <w:pPr>
        <w:numPr>
          <w:ilvl w:val="0"/>
          <w:numId w:val="32"/>
        </w:numPr>
        <w:spacing w:before="105" w:after="105" w:line="360" w:lineRule="auto"/>
      </w:pPr>
      <w:r>
        <w:rPr>
          <w:rFonts w:ascii="inter" w:hAnsi="inter" w:eastAsia="inter" w:cs="inter"/>
          <w:color w:val="000000"/>
          <w:sz w:val="21"/>
        </w:rPr>
        <w:t>建立全国统一的房地产数据监测平台，为精细化调控提供支撑</w:t>
      </w:r>
    </w:p>
    <w:p w14:paraId="1A459BD1">
      <w:pPr>
        <w:numPr>
          <w:ilvl w:val="0"/>
          <w:numId w:val="32"/>
        </w:numPr>
        <w:spacing w:before="105" w:after="105" w:line="360" w:lineRule="auto"/>
      </w:pPr>
      <w:r>
        <w:rPr>
          <w:rFonts w:ascii="inter" w:hAnsi="inter" w:eastAsia="inter" w:cs="inter"/>
          <w:color w:val="000000"/>
          <w:sz w:val="21"/>
        </w:rPr>
        <w:t>推进房产税试点与房屋全生命周期管理制度的融合</w:t>
      </w:r>
    </w:p>
    <w:p w14:paraId="29B06993">
      <w:pPr>
        <w:numPr>
          <w:ilvl w:val="0"/>
          <w:numId w:val="32"/>
        </w:numPr>
        <w:spacing w:before="105" w:after="105" w:line="360" w:lineRule="auto"/>
      </w:pPr>
      <w:r>
        <w:rPr>
          <w:rFonts w:ascii="inter" w:hAnsi="inter" w:eastAsia="inter" w:cs="inter"/>
          <w:color w:val="000000"/>
          <w:sz w:val="21"/>
        </w:rPr>
        <w:t>完善长租房、共有产权房、保障房的退出与流转机制</w:t>
      </w:r>
    </w:p>
    <w:p w14:paraId="047183FF">
      <w:pPr>
        <w:spacing w:after="210" w:line="360" w:lineRule="auto"/>
      </w:pPr>
      <w:r>
        <w:rPr>
          <w:rFonts w:ascii="inter" w:hAnsi="inter" w:eastAsia="inter" w:cs="inter"/>
          <w:b/>
          <w:color w:val="000000"/>
        </w:rPr>
        <w:t>长期（2030-2035）</w:t>
      </w:r>
      <w:r>
        <w:rPr>
          <w:rFonts w:ascii="inter" w:hAnsi="inter" w:eastAsia="inter" w:cs="inter"/>
          <w:color w:val="000000"/>
        </w:rPr>
        <w:t>：</w:t>
      </w:r>
    </w:p>
    <w:p w14:paraId="57F4C9CD">
      <w:pPr>
        <w:numPr>
          <w:ilvl w:val="0"/>
          <w:numId w:val="33"/>
        </w:numPr>
        <w:spacing w:before="105" w:after="105" w:line="360" w:lineRule="auto"/>
      </w:pPr>
      <w:r>
        <w:rPr>
          <w:rFonts w:ascii="inter" w:hAnsi="inter" w:eastAsia="inter" w:cs="inter"/>
          <w:color w:val="000000"/>
          <w:sz w:val="21"/>
        </w:rPr>
        <w:t>构建房地产行业高质量发展评价体系，纳入ESG、人居质量、社会贡献等指标</w:t>
      </w:r>
    </w:p>
    <w:p w14:paraId="470177CB">
      <w:pPr>
        <w:numPr>
          <w:ilvl w:val="0"/>
          <w:numId w:val="33"/>
        </w:numPr>
        <w:spacing w:before="105" w:after="105" w:line="360" w:lineRule="auto"/>
      </w:pPr>
      <w:r>
        <w:rPr>
          <w:rFonts w:ascii="inter" w:hAnsi="inter" w:eastAsia="inter" w:cs="inter"/>
          <w:color w:val="000000"/>
          <w:sz w:val="21"/>
        </w:rPr>
        <w:t>探索房地产与养老、教育、医疗等民生领域的深度融合</w:t>
      </w:r>
    </w:p>
    <w:p w14:paraId="4EA2F2F1">
      <w:pPr>
        <w:numPr>
          <w:ilvl w:val="0"/>
          <w:numId w:val="33"/>
        </w:numPr>
        <w:spacing w:before="105" w:after="105" w:line="360" w:lineRule="auto"/>
      </w:pPr>
      <w:r>
        <w:rPr>
          <w:rFonts w:ascii="inter" w:hAnsi="inter" w:eastAsia="inter" w:cs="inter"/>
          <w:color w:val="000000"/>
          <w:sz w:val="21"/>
        </w:rPr>
        <w:t>推动"房地一体化"改革，完善国土空间规划与住房规划的协同</w:t>
      </w:r>
    </w:p>
    <w:p w14:paraId="649FCC4A">
      <w:pPr>
        <w:spacing w:before="315" w:after="105" w:line="360" w:lineRule="auto"/>
        <w:ind w:left="-30"/>
        <w:jc w:val="left"/>
      </w:pPr>
      <w:bookmarkStart w:id="117" w:name="bm_2_金融工具的进阶优化"/>
      <w:r>
        <w:rPr>
          <w:rFonts w:ascii="inter" w:hAnsi="inter" w:eastAsia="inter" w:cs="inter"/>
          <w:b/>
          <w:color w:val="000000"/>
          <w:sz w:val="24"/>
        </w:rPr>
        <w:t>2. 金融工具的进阶优化</w:t>
      </w:r>
      <w:bookmarkEnd w:id="117"/>
    </w:p>
    <w:p w14:paraId="0792FC48">
      <w:pPr>
        <w:spacing w:after="210" w:line="360" w:lineRule="auto"/>
      </w:pPr>
      <w:r>
        <w:rPr>
          <w:rFonts w:ascii="inter" w:hAnsi="inter" w:eastAsia="inter" w:cs="inter"/>
          <w:b/>
          <w:color w:val="000000"/>
        </w:rPr>
        <w:t>绿色金融的深化</w:t>
      </w:r>
      <w:r>
        <w:rPr>
          <w:rFonts w:ascii="inter" w:hAnsi="inter" w:eastAsia="inter" w:cs="inter"/>
          <w:color w:val="000000"/>
        </w:rPr>
        <w:t>：</w:t>
      </w:r>
    </w:p>
    <w:p w14:paraId="55617A75">
      <w:pPr>
        <w:numPr>
          <w:ilvl w:val="0"/>
          <w:numId w:val="34"/>
        </w:numPr>
        <w:spacing w:before="105" w:after="105" w:line="360" w:lineRule="auto"/>
      </w:pPr>
      <w:r>
        <w:rPr>
          <w:rFonts w:ascii="inter" w:hAnsi="inter" w:eastAsia="inter" w:cs="inter"/>
          <w:color w:val="000000"/>
          <w:sz w:val="21"/>
        </w:rPr>
        <w:t>扩大绿色债券、绿色贷款的覆盖范围，降低绿色溢价至2-3%</w:t>
      </w:r>
    </w:p>
    <w:p w14:paraId="43DABC36">
      <w:pPr>
        <w:numPr>
          <w:ilvl w:val="0"/>
          <w:numId w:val="34"/>
        </w:numPr>
        <w:spacing w:before="105" w:after="105" w:line="360" w:lineRule="auto"/>
      </w:pPr>
      <w:r>
        <w:rPr>
          <w:rFonts w:ascii="inter" w:hAnsi="inter" w:eastAsia="inter" w:cs="inter"/>
          <w:color w:val="000000"/>
          <w:sz w:val="21"/>
        </w:rPr>
        <w:t>建立碳市场与绿色建筑融资的联动机制</w:t>
      </w:r>
    </w:p>
    <w:p w14:paraId="32819DD1">
      <w:pPr>
        <w:numPr>
          <w:ilvl w:val="0"/>
          <w:numId w:val="34"/>
        </w:numPr>
        <w:spacing w:before="105" w:after="105" w:line="360" w:lineRule="auto"/>
      </w:pPr>
      <w:r>
        <w:rPr>
          <w:rFonts w:ascii="inter" w:hAnsi="inter" w:eastAsia="inter" w:cs="inter"/>
          <w:color w:val="000000"/>
          <w:sz w:val="21"/>
        </w:rPr>
        <w:t>推动供应链金融创新，支持上下游企业绿色升级</w:t>
      </w:r>
    </w:p>
    <w:p w14:paraId="463EC245">
      <w:pPr>
        <w:spacing w:after="210" w:line="360" w:lineRule="auto"/>
      </w:pPr>
      <w:r>
        <w:rPr>
          <w:rFonts w:ascii="inter" w:hAnsi="inter" w:eastAsia="inter" w:cs="inter"/>
          <w:b/>
          <w:color w:val="000000"/>
        </w:rPr>
        <w:t>REITs市场的成熟化</w:t>
      </w:r>
      <w:r>
        <w:rPr>
          <w:rFonts w:ascii="inter" w:hAnsi="inter" w:eastAsia="inter" w:cs="inter"/>
          <w:color w:val="000000"/>
        </w:rPr>
        <w:t>：</w:t>
      </w:r>
    </w:p>
    <w:p w14:paraId="455CD919">
      <w:pPr>
        <w:numPr>
          <w:ilvl w:val="0"/>
          <w:numId w:val="35"/>
        </w:numPr>
        <w:spacing w:before="105" w:after="105" w:line="360" w:lineRule="auto"/>
      </w:pPr>
      <w:r>
        <w:rPr>
          <w:rFonts w:ascii="inter" w:hAnsi="inter" w:eastAsia="inter" w:cs="inter"/>
          <w:color w:val="000000"/>
          <w:sz w:val="21"/>
        </w:rPr>
        <w:t>推进租赁住房REITs的收益率优化，引入保险、养老基金等长期资本</w:t>
      </w:r>
    </w:p>
    <w:p w14:paraId="32093095">
      <w:pPr>
        <w:numPr>
          <w:ilvl w:val="0"/>
          <w:numId w:val="35"/>
        </w:numPr>
        <w:spacing w:before="105" w:after="105" w:line="360" w:lineRule="auto"/>
      </w:pPr>
      <w:r>
        <w:rPr>
          <w:rFonts w:ascii="inter" w:hAnsi="inter" w:eastAsia="inter" w:cs="inter"/>
          <w:color w:val="000000"/>
          <w:sz w:val="21"/>
        </w:rPr>
        <w:t>探索混合型REITs（多业态、多期望收益率产品）</w:t>
      </w:r>
    </w:p>
    <w:p w14:paraId="57405322">
      <w:pPr>
        <w:numPr>
          <w:ilvl w:val="0"/>
          <w:numId w:val="35"/>
        </w:numPr>
        <w:spacing w:before="105" w:after="105" w:line="360" w:lineRule="auto"/>
      </w:pPr>
      <w:r>
        <w:rPr>
          <w:rFonts w:ascii="inter" w:hAnsi="inter" w:eastAsia="inter" w:cs="inter"/>
          <w:color w:val="000000"/>
          <w:sz w:val="21"/>
        </w:rPr>
        <w:t>建立REITs与产业基金的协同投资机制</w:t>
      </w:r>
    </w:p>
    <w:p w14:paraId="40E39519">
      <w:pPr>
        <w:spacing w:after="210" w:line="360" w:lineRule="auto"/>
      </w:pPr>
      <w:r>
        <w:rPr>
          <w:rFonts w:ascii="inter" w:hAnsi="inter" w:eastAsia="inter" w:cs="inter"/>
          <w:b/>
          <w:color w:val="000000"/>
        </w:rPr>
        <w:t>公积金制度的现代化</w:t>
      </w:r>
      <w:r>
        <w:rPr>
          <w:rFonts w:ascii="inter" w:hAnsi="inter" w:eastAsia="inter" w:cs="inter"/>
          <w:color w:val="000000"/>
        </w:rPr>
        <w:t>：</w:t>
      </w:r>
    </w:p>
    <w:p w14:paraId="42BACFA7">
      <w:pPr>
        <w:numPr>
          <w:ilvl w:val="0"/>
          <w:numId w:val="36"/>
        </w:numPr>
        <w:spacing w:before="105" w:after="105" w:line="360" w:lineRule="auto"/>
      </w:pPr>
      <w:r>
        <w:rPr>
          <w:rFonts w:ascii="inter" w:hAnsi="inter" w:eastAsia="inter" w:cs="inter"/>
          <w:color w:val="000000"/>
          <w:sz w:val="21"/>
        </w:rPr>
        <w:t>将公积金与租赁市场深度融合，支持租房提取</w:t>
      </w:r>
    </w:p>
    <w:p w14:paraId="0F28B656">
      <w:pPr>
        <w:numPr>
          <w:ilvl w:val="0"/>
          <w:numId w:val="36"/>
        </w:numPr>
        <w:spacing w:before="105" w:after="105" w:line="360" w:lineRule="auto"/>
      </w:pPr>
      <w:r>
        <w:rPr>
          <w:rFonts w:ascii="inter" w:hAnsi="inter" w:eastAsia="inter" w:cs="inter"/>
          <w:color w:val="000000"/>
          <w:sz w:val="21"/>
        </w:rPr>
        <w:t>探索公积金与商业保险的结合产品</w:t>
      </w:r>
    </w:p>
    <w:p w14:paraId="7D301FD9">
      <w:pPr>
        <w:numPr>
          <w:ilvl w:val="0"/>
          <w:numId w:val="36"/>
        </w:numPr>
        <w:spacing w:before="105" w:after="105" w:line="360" w:lineRule="auto"/>
      </w:pPr>
      <w:r>
        <w:rPr>
          <w:rFonts w:ascii="inter" w:hAnsi="inter" w:eastAsia="inter" w:cs="inter"/>
          <w:color w:val="000000"/>
          <w:sz w:val="21"/>
        </w:rPr>
        <w:t>推进公积金跨区域互认，支持流动人口的住房保障</w:t>
      </w:r>
    </w:p>
    <w:p w14:paraId="2DC16394">
      <w:pPr>
        <w:spacing w:before="315" w:after="105" w:line="360" w:lineRule="auto"/>
        <w:ind w:left="-30"/>
        <w:jc w:val="left"/>
      </w:pPr>
      <w:bookmarkStart w:id="118" w:name="三_利益相关者的角色定位与激励机制"/>
      <w:r>
        <w:rPr>
          <w:rFonts w:ascii="inter" w:hAnsi="inter" w:eastAsia="inter" w:cs="inter"/>
          <w:b/>
          <w:color w:val="000000"/>
          <w:sz w:val="24"/>
        </w:rPr>
        <w:t>（三）利益相关者的角色定位与激励机制</w:t>
      </w:r>
      <w:bookmarkEnd w:id="118"/>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5"/>
        <w:gridCol w:w="2360"/>
        <w:gridCol w:w="3750"/>
      </w:tblGrid>
      <w:tr w14:paraId="207DE1C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D62268A">
            <w:pPr>
              <w:spacing w:after="0" w:line="360" w:lineRule="auto"/>
            </w:pPr>
            <w:r>
              <w:rPr>
                <w:rFonts w:ascii="inter" w:hAnsi="inter" w:eastAsia="inter" w:cs="inter"/>
                <w:color w:val="000000"/>
                <w:sz w:val="17"/>
              </w:rPr>
              <w:t>利益相关者</w:t>
            </w:r>
          </w:p>
        </w:tc>
        <w:tc>
          <w:tcPr>
            <w:tcBorders>
              <w:top w:val="single" w:color="000000" w:sz="0" w:space="0"/>
              <w:bottom w:val="single" w:color="000000" w:sz="0" w:space="0"/>
              <w:right w:val="single" w:color="000000" w:sz="0" w:space="0"/>
            </w:tcBorders>
          </w:tcPr>
          <w:p w14:paraId="1967154D">
            <w:pPr>
              <w:spacing w:after="0" w:line="360" w:lineRule="auto"/>
            </w:pPr>
            <w:r>
              <w:rPr>
                <w:rFonts w:ascii="inter" w:hAnsi="inter" w:eastAsia="inter" w:cs="inter"/>
                <w:color w:val="000000"/>
                <w:sz w:val="17"/>
              </w:rPr>
              <w:t>主要职能</w:t>
            </w:r>
          </w:p>
        </w:tc>
        <w:tc>
          <w:tcPr>
            <w:tcBorders>
              <w:top w:val="single" w:color="000000" w:sz="0" w:space="0"/>
              <w:bottom w:val="single" w:color="000000" w:sz="0" w:space="0"/>
            </w:tcBorders>
          </w:tcPr>
          <w:p w14:paraId="7FA3E34A">
            <w:pPr>
              <w:spacing w:after="0" w:line="360" w:lineRule="auto"/>
            </w:pPr>
            <w:r>
              <w:rPr>
                <w:rFonts w:ascii="inter" w:hAnsi="inter" w:eastAsia="inter" w:cs="inter"/>
                <w:color w:val="000000"/>
                <w:sz w:val="17"/>
              </w:rPr>
              <w:t>激励机制</w:t>
            </w:r>
          </w:p>
        </w:tc>
      </w:tr>
      <w:tr w14:paraId="2917E9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72108D">
            <w:pPr>
              <w:spacing w:after="0" w:line="360" w:lineRule="auto"/>
            </w:pPr>
            <w:r>
              <w:rPr>
                <w:rFonts w:ascii="inter" w:hAnsi="inter" w:eastAsia="inter" w:cs="inter"/>
                <w:color w:val="000000"/>
                <w:sz w:val="17"/>
              </w:rPr>
              <w:t>房企</w:t>
            </w:r>
          </w:p>
        </w:tc>
        <w:tc>
          <w:tcPr>
            <w:tcBorders>
              <w:top w:val="single" w:color="000000" w:sz="0" w:space="0"/>
              <w:bottom w:val="single" w:color="000000" w:sz="0" w:space="0"/>
              <w:right w:val="single" w:color="000000" w:sz="0" w:space="0"/>
            </w:tcBorders>
          </w:tcPr>
          <w:p w14:paraId="640972CB">
            <w:pPr>
              <w:spacing w:after="0" w:line="360" w:lineRule="auto"/>
            </w:pPr>
            <w:r>
              <w:rPr>
                <w:rFonts w:ascii="inter" w:hAnsi="inter" w:eastAsia="inter" w:cs="inter"/>
                <w:color w:val="000000"/>
                <w:sz w:val="17"/>
              </w:rPr>
              <w:t>从开发商向服务商转变</w:t>
            </w:r>
          </w:p>
        </w:tc>
        <w:tc>
          <w:tcPr>
            <w:tcBorders>
              <w:top w:val="single" w:color="000000" w:sz="0" w:space="0"/>
              <w:bottom w:val="single" w:color="000000" w:sz="0" w:space="0"/>
            </w:tcBorders>
          </w:tcPr>
          <w:p w14:paraId="2755D603">
            <w:pPr>
              <w:spacing w:after="0" w:line="360" w:lineRule="auto"/>
            </w:pPr>
            <w:r>
              <w:rPr>
                <w:rFonts w:ascii="inter" w:hAnsi="inter" w:eastAsia="inter" w:cs="inter"/>
                <w:color w:val="000000"/>
                <w:sz w:val="17"/>
              </w:rPr>
              <w:t>绿色融资优先、REITs退出渠道、容积率奖励</w:t>
            </w:r>
          </w:p>
        </w:tc>
      </w:tr>
      <w:tr w14:paraId="40C70BD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EFF54AC">
            <w:pPr>
              <w:spacing w:after="0" w:line="360" w:lineRule="auto"/>
            </w:pPr>
            <w:r>
              <w:rPr>
                <w:rFonts w:ascii="inter" w:hAnsi="inter" w:eastAsia="inter" w:cs="inter"/>
                <w:color w:val="000000"/>
                <w:sz w:val="17"/>
              </w:rPr>
              <w:t>地方政府</w:t>
            </w:r>
          </w:p>
        </w:tc>
        <w:tc>
          <w:tcPr>
            <w:tcBorders>
              <w:top w:val="single" w:color="000000" w:sz="0" w:space="0"/>
              <w:bottom w:val="single" w:color="000000" w:sz="0" w:space="0"/>
              <w:right w:val="single" w:color="000000" w:sz="0" w:space="0"/>
            </w:tcBorders>
          </w:tcPr>
          <w:p w14:paraId="406803D2">
            <w:pPr>
              <w:spacing w:after="0" w:line="360" w:lineRule="auto"/>
            </w:pPr>
            <w:r>
              <w:rPr>
                <w:rFonts w:ascii="inter" w:hAnsi="inter" w:eastAsia="inter" w:cs="inter"/>
                <w:color w:val="000000"/>
                <w:sz w:val="17"/>
              </w:rPr>
              <w:t>从卖地财政向运营财政转变</w:t>
            </w:r>
          </w:p>
        </w:tc>
        <w:tc>
          <w:tcPr>
            <w:tcBorders>
              <w:top w:val="single" w:color="000000" w:sz="0" w:space="0"/>
              <w:bottom w:val="single" w:color="000000" w:sz="0" w:space="0"/>
            </w:tcBorders>
          </w:tcPr>
          <w:p w14:paraId="6023D199">
            <w:pPr>
              <w:spacing w:after="0" w:line="360" w:lineRule="auto"/>
            </w:pPr>
            <w:r>
              <w:rPr>
                <w:rFonts w:ascii="inter" w:hAnsi="inter" w:eastAsia="inter" w:cs="inter"/>
                <w:color w:val="000000"/>
                <w:sz w:val="17"/>
              </w:rPr>
              <w:t>专项债额度、转移支付、中央财政奖补</w:t>
            </w:r>
          </w:p>
        </w:tc>
      </w:tr>
      <w:tr w14:paraId="7F3CE11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7F03009">
            <w:pPr>
              <w:spacing w:after="0" w:line="360" w:lineRule="auto"/>
            </w:pPr>
            <w:r>
              <w:rPr>
                <w:rFonts w:ascii="inter" w:hAnsi="inter" w:eastAsia="inter" w:cs="inter"/>
                <w:color w:val="000000"/>
                <w:sz w:val="17"/>
              </w:rPr>
              <w:t>金融机构</w:t>
            </w:r>
          </w:p>
        </w:tc>
        <w:tc>
          <w:tcPr>
            <w:tcBorders>
              <w:top w:val="single" w:color="000000" w:sz="0" w:space="0"/>
              <w:bottom w:val="single" w:color="000000" w:sz="0" w:space="0"/>
              <w:right w:val="single" w:color="000000" w:sz="0" w:space="0"/>
            </w:tcBorders>
          </w:tcPr>
          <w:p w14:paraId="7415FC29">
            <w:pPr>
              <w:spacing w:after="0" w:line="360" w:lineRule="auto"/>
            </w:pPr>
            <w:r>
              <w:rPr>
                <w:rFonts w:ascii="inter" w:hAnsi="inter" w:eastAsia="inter" w:cs="inter"/>
                <w:color w:val="000000"/>
                <w:sz w:val="17"/>
              </w:rPr>
              <w:t>从短期放贷向长期配置转变</w:t>
            </w:r>
          </w:p>
        </w:tc>
        <w:tc>
          <w:tcPr>
            <w:tcBorders>
              <w:top w:val="single" w:color="000000" w:sz="0" w:space="0"/>
              <w:bottom w:val="single" w:color="000000" w:sz="0" w:space="0"/>
            </w:tcBorders>
          </w:tcPr>
          <w:p w14:paraId="738C86B6">
            <w:pPr>
              <w:spacing w:after="0" w:line="360" w:lineRule="auto"/>
            </w:pPr>
            <w:r>
              <w:rPr>
                <w:rFonts w:ascii="inter" w:hAnsi="inter" w:eastAsia="inter" w:cs="inter"/>
                <w:color w:val="000000"/>
                <w:sz w:val="17"/>
              </w:rPr>
              <w:t>风险补偿、监管激励、市场化定价</w:t>
            </w:r>
          </w:p>
        </w:tc>
      </w:tr>
      <w:tr w14:paraId="15D68A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AA97021">
            <w:pPr>
              <w:spacing w:after="0" w:line="360" w:lineRule="auto"/>
            </w:pPr>
            <w:r>
              <w:rPr>
                <w:rFonts w:ascii="inter" w:hAnsi="inter" w:eastAsia="inter" w:cs="inter"/>
                <w:color w:val="000000"/>
                <w:sz w:val="17"/>
              </w:rPr>
              <w:t>购房者</w:t>
            </w:r>
          </w:p>
        </w:tc>
        <w:tc>
          <w:tcPr>
            <w:tcBorders>
              <w:top w:val="single" w:color="000000" w:sz="0" w:space="0"/>
              <w:bottom w:val="single" w:color="000000" w:sz="0" w:space="0"/>
              <w:right w:val="single" w:color="000000" w:sz="0" w:space="0"/>
            </w:tcBorders>
          </w:tcPr>
          <w:p w14:paraId="2BA3E8B0">
            <w:pPr>
              <w:spacing w:after="0" w:line="360" w:lineRule="auto"/>
            </w:pPr>
            <w:r>
              <w:rPr>
                <w:rFonts w:ascii="inter" w:hAnsi="inter" w:eastAsia="inter" w:cs="inter"/>
                <w:color w:val="000000"/>
                <w:sz w:val="17"/>
              </w:rPr>
              <w:t>从资产投机向居住需求转变</w:t>
            </w:r>
          </w:p>
        </w:tc>
        <w:tc>
          <w:tcPr>
            <w:tcBorders>
              <w:top w:val="single" w:color="000000" w:sz="0" w:space="0"/>
              <w:bottom w:val="single" w:color="000000" w:sz="0" w:space="0"/>
            </w:tcBorders>
          </w:tcPr>
          <w:p w14:paraId="5B5B08B3">
            <w:pPr>
              <w:spacing w:after="0" w:line="360" w:lineRule="auto"/>
            </w:pPr>
            <w:r>
              <w:rPr>
                <w:rFonts w:ascii="inter" w:hAnsi="inter" w:eastAsia="inter" w:cs="inter"/>
                <w:color w:val="000000"/>
                <w:sz w:val="17"/>
              </w:rPr>
              <w:t>税费优惠、贷款优惠、保障房供给</w:t>
            </w:r>
          </w:p>
        </w:tc>
      </w:tr>
      <w:tr w14:paraId="6DBE4CB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5C7AF65">
            <w:pPr>
              <w:spacing w:after="0" w:line="360" w:lineRule="auto"/>
            </w:pPr>
            <w:r>
              <w:rPr>
                <w:rFonts w:ascii="inter" w:hAnsi="inter" w:eastAsia="inter" w:cs="inter"/>
                <w:color w:val="000000"/>
                <w:sz w:val="17"/>
              </w:rPr>
              <w:t>社会资本</w:t>
            </w:r>
          </w:p>
        </w:tc>
        <w:tc>
          <w:tcPr>
            <w:tcBorders>
              <w:top w:val="single" w:color="000000" w:sz="0" w:space="0"/>
              <w:bottom w:val="single" w:color="000000" w:sz="0" w:space="0"/>
              <w:right w:val="single" w:color="000000" w:sz="0" w:space="0"/>
            </w:tcBorders>
          </w:tcPr>
          <w:p w14:paraId="694EFB81">
            <w:pPr>
              <w:spacing w:after="0" w:line="360" w:lineRule="auto"/>
            </w:pPr>
            <w:r>
              <w:rPr>
                <w:rFonts w:ascii="inter" w:hAnsi="inter" w:eastAsia="inter" w:cs="inter"/>
                <w:color w:val="000000"/>
                <w:sz w:val="17"/>
              </w:rPr>
              <w:t>从旁观向深度参与转变</w:t>
            </w:r>
          </w:p>
        </w:tc>
        <w:tc>
          <w:tcPr>
            <w:tcBorders>
              <w:top w:val="single" w:color="000000" w:sz="0" w:space="0"/>
              <w:bottom w:val="single" w:color="000000" w:sz="0" w:space="0"/>
            </w:tcBorders>
          </w:tcPr>
          <w:p w14:paraId="087AE0D2">
            <w:pPr>
              <w:spacing w:after="0" w:line="360" w:lineRule="auto"/>
            </w:pPr>
            <w:r>
              <w:rPr>
                <w:rFonts w:ascii="inter" w:hAnsi="inter" w:eastAsia="inter" w:cs="inter"/>
                <w:color w:val="000000"/>
                <w:sz w:val="17"/>
              </w:rPr>
              <w:t>投资回报率保障、参与决策权</w:t>
            </w:r>
          </w:p>
        </w:tc>
      </w:tr>
    </w:tbl>
    <w:p w14:paraId="688F5A19"/>
    <w:p w14:paraId="41C7332E">
      <w:pPr>
        <w:spacing w:before="315" w:after="105" w:line="360" w:lineRule="auto"/>
        <w:ind w:left="-30"/>
        <w:jc w:val="left"/>
      </w:pPr>
      <w:bookmarkStart w:id="119" w:name="四_与国家重大战略的协同发力"/>
      <w:r>
        <w:rPr>
          <w:rFonts w:ascii="inter" w:hAnsi="inter" w:eastAsia="inter" w:cs="inter"/>
          <w:b/>
          <w:color w:val="000000"/>
          <w:sz w:val="24"/>
        </w:rPr>
        <w:t>（四）与国家重大战略的协同发力</w:t>
      </w:r>
      <w:bookmarkEnd w:id="119"/>
    </w:p>
    <w:p w14:paraId="00424DFA">
      <w:pPr>
        <w:spacing w:after="210" w:line="360" w:lineRule="auto"/>
      </w:pPr>
      <w:r>
        <w:rPr>
          <w:rFonts w:ascii="inter" w:hAnsi="inter" w:eastAsia="inter" w:cs="inter"/>
          <w:color w:val="000000"/>
        </w:rPr>
        <w:t>房地产行业可持续发展需要与以下国家战略形成合力：</w:t>
      </w:r>
      <w:bookmarkStart w:id="120" w:name="fnref1_4"/>
      <w:bookmarkEnd w:id="12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21" w:name="fnref25_2"/>
      <w:bookmarkEnd w:id="121"/>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122" w:name="fnref22_4"/>
      <w:bookmarkEnd w:id="122"/>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4248754B">
      <w:pPr>
        <w:spacing w:after="210" w:line="360" w:lineRule="auto"/>
      </w:pPr>
      <w:r>
        <w:rPr>
          <w:rFonts w:ascii="inter" w:hAnsi="inter" w:eastAsia="inter" w:cs="inter"/>
          <w:b/>
          <w:color w:val="000000"/>
        </w:rPr>
        <w:t>1. 双碳战略的深度融合</w:t>
      </w:r>
    </w:p>
    <w:p w14:paraId="00120FBA">
      <w:pPr>
        <w:numPr>
          <w:ilvl w:val="0"/>
          <w:numId w:val="37"/>
        </w:numPr>
        <w:spacing w:before="105" w:after="105" w:line="360" w:lineRule="auto"/>
      </w:pPr>
      <w:r>
        <w:rPr>
          <w:rFonts w:ascii="inter" w:hAnsi="inter" w:eastAsia="inter" w:cs="inter"/>
          <w:color w:val="000000"/>
          <w:sz w:val="21"/>
        </w:rPr>
        <w:t>建筑运行阶段碳排放强度下降40%以上的目标纳入房企评价</w:t>
      </w:r>
    </w:p>
    <w:p w14:paraId="172707F2">
      <w:pPr>
        <w:numPr>
          <w:ilvl w:val="0"/>
          <w:numId w:val="37"/>
        </w:numPr>
        <w:spacing w:before="105" w:after="105" w:line="360" w:lineRule="auto"/>
      </w:pPr>
      <w:r>
        <w:rPr>
          <w:rFonts w:ascii="inter" w:hAnsi="inter" w:eastAsia="inter" w:cs="inter"/>
          <w:color w:val="000000"/>
          <w:sz w:val="21"/>
        </w:rPr>
        <w:t>绿色建筑标准化与强制性要求相结合</w:t>
      </w:r>
    </w:p>
    <w:p w14:paraId="13540550">
      <w:pPr>
        <w:numPr>
          <w:ilvl w:val="0"/>
          <w:numId w:val="37"/>
        </w:numPr>
        <w:spacing w:before="105" w:after="105" w:line="360" w:lineRule="auto"/>
      </w:pPr>
      <w:r>
        <w:rPr>
          <w:rFonts w:ascii="inter" w:hAnsi="inter" w:eastAsia="inter" w:cs="inter"/>
          <w:color w:val="000000"/>
          <w:sz w:val="21"/>
        </w:rPr>
        <w:t>城市更新与减污、扩绿、增长协同推进</w:t>
      </w:r>
    </w:p>
    <w:p w14:paraId="7546A9BB">
      <w:pPr>
        <w:spacing w:after="210" w:line="360" w:lineRule="auto"/>
      </w:pPr>
      <w:r>
        <w:rPr>
          <w:rFonts w:ascii="inter" w:hAnsi="inter" w:eastAsia="inter" w:cs="inter"/>
          <w:b/>
          <w:color w:val="000000"/>
        </w:rPr>
        <w:t>2. 新型城镇化的体制创新</w:t>
      </w:r>
    </w:p>
    <w:p w14:paraId="19F51C91">
      <w:pPr>
        <w:numPr>
          <w:ilvl w:val="0"/>
          <w:numId w:val="38"/>
        </w:numPr>
        <w:spacing w:before="105" w:after="105" w:line="360" w:lineRule="auto"/>
      </w:pPr>
      <w:r>
        <w:rPr>
          <w:rFonts w:ascii="inter" w:hAnsi="inter" w:eastAsia="inter" w:cs="inter"/>
          <w:color w:val="000000"/>
          <w:sz w:val="21"/>
        </w:rPr>
        <w:t>以"人"为中心的住房规划体系，而非以土地为中心</w:t>
      </w:r>
    </w:p>
    <w:p w14:paraId="354188F5">
      <w:pPr>
        <w:numPr>
          <w:ilvl w:val="0"/>
          <w:numId w:val="38"/>
        </w:numPr>
        <w:spacing w:before="105" w:after="105" w:line="360" w:lineRule="auto"/>
      </w:pPr>
      <w:r>
        <w:rPr>
          <w:rFonts w:ascii="inter" w:hAnsi="inter" w:eastAsia="inter" w:cs="inter"/>
          <w:color w:val="000000"/>
          <w:sz w:val="21"/>
        </w:rPr>
        <w:t>推进农业转移人口市民化，破除限购等不合理政策</w:t>
      </w:r>
    </w:p>
    <w:p w14:paraId="2E4392E3">
      <w:pPr>
        <w:numPr>
          <w:ilvl w:val="0"/>
          <w:numId w:val="38"/>
        </w:numPr>
        <w:spacing w:before="105" w:after="105" w:line="360" w:lineRule="auto"/>
      </w:pPr>
      <w:r>
        <w:rPr>
          <w:rFonts w:ascii="inter" w:hAnsi="inter" w:eastAsia="inter" w:cs="inter"/>
          <w:color w:val="000000"/>
          <w:sz w:val="21"/>
        </w:rPr>
        <w:t>推动城乡建设用地市场的统一，优化资源配置</w:t>
      </w:r>
    </w:p>
    <w:p w14:paraId="5AB34A53">
      <w:pPr>
        <w:spacing w:after="210" w:line="360" w:lineRule="auto"/>
      </w:pPr>
      <w:r>
        <w:rPr>
          <w:rFonts w:ascii="inter" w:hAnsi="inter" w:eastAsia="inter" w:cs="inter"/>
          <w:b/>
          <w:color w:val="000000"/>
        </w:rPr>
        <w:t>3. 新质生产力的科技赋能</w:t>
      </w:r>
    </w:p>
    <w:p w14:paraId="3BA15206">
      <w:pPr>
        <w:numPr>
          <w:ilvl w:val="0"/>
          <w:numId w:val="39"/>
        </w:numPr>
        <w:spacing w:before="105" w:after="105" w:line="360" w:lineRule="auto"/>
      </w:pPr>
      <w:r>
        <w:rPr>
          <w:rFonts w:ascii="inter" w:hAnsi="inter" w:eastAsia="inter" w:cs="inter"/>
          <w:color w:val="000000"/>
          <w:sz w:val="21"/>
        </w:rPr>
        <w:t>BIM、物联网、AI在建筑全生命周期的应用</w:t>
      </w:r>
    </w:p>
    <w:p w14:paraId="02215A9A">
      <w:pPr>
        <w:numPr>
          <w:ilvl w:val="0"/>
          <w:numId w:val="39"/>
        </w:numPr>
        <w:spacing w:before="105" w:after="105" w:line="360" w:lineRule="auto"/>
      </w:pPr>
      <w:r>
        <w:rPr>
          <w:rFonts w:ascii="inter" w:hAnsi="inter" w:eastAsia="inter" w:cs="inter"/>
          <w:color w:val="000000"/>
          <w:sz w:val="21"/>
        </w:rPr>
        <w:t>建筑信息化水平从第18位提升至国际竞争力水平</w:t>
      </w:r>
    </w:p>
    <w:p w14:paraId="00FAEFC2">
      <w:pPr>
        <w:numPr>
          <w:ilvl w:val="0"/>
          <w:numId w:val="39"/>
        </w:numPr>
        <w:spacing w:before="105" w:after="105" w:line="360" w:lineRule="auto"/>
      </w:pPr>
      <w:r>
        <w:rPr>
          <w:rFonts w:ascii="inter" w:hAnsi="inter" w:eastAsia="inter" w:cs="inter"/>
          <w:color w:val="000000"/>
          <w:sz w:val="21"/>
        </w:rPr>
        <w:t>数字孪生技术在城市更新规划中的应用</w:t>
      </w:r>
    </w:p>
    <w:p w14:paraId="4B6E0A4E">
      <w:pPr>
        <w:spacing w:after="210" w:line="360" w:lineRule="auto"/>
      </w:pPr>
      <w:r>
        <w:rPr>
          <w:rFonts w:ascii="inter" w:hAnsi="inter" w:eastAsia="inter" w:cs="inter"/>
          <w:b/>
          <w:color w:val="000000"/>
        </w:rPr>
        <w:t>4. 共同富裕的公平导向</w:t>
      </w:r>
    </w:p>
    <w:p w14:paraId="19698A6E">
      <w:pPr>
        <w:numPr>
          <w:ilvl w:val="0"/>
          <w:numId w:val="40"/>
        </w:numPr>
        <w:spacing w:before="105" w:after="105" w:line="360" w:lineRule="auto"/>
      </w:pPr>
      <w:r>
        <w:rPr>
          <w:rFonts w:ascii="inter" w:hAnsi="inter" w:eastAsia="inter" w:cs="inter"/>
          <w:color w:val="000000"/>
          <w:sz w:val="21"/>
        </w:rPr>
        <w:t>保障房与市场房的"和谐共存"机制</w:t>
      </w:r>
    </w:p>
    <w:p w14:paraId="7C9AEB09">
      <w:pPr>
        <w:numPr>
          <w:ilvl w:val="0"/>
          <w:numId w:val="40"/>
        </w:numPr>
        <w:spacing w:before="105" w:after="105" w:line="360" w:lineRule="auto"/>
      </w:pPr>
      <w:r>
        <w:rPr>
          <w:rFonts w:ascii="inter" w:hAnsi="inter" w:eastAsia="inter" w:cs="inter"/>
          <w:color w:val="000000"/>
          <w:sz w:val="21"/>
        </w:rPr>
        <w:t>城市更新收益的合理分配，保护原住民权益</w:t>
      </w:r>
    </w:p>
    <w:p w14:paraId="38DA4713">
      <w:pPr>
        <w:numPr>
          <w:ilvl w:val="0"/>
          <w:numId w:val="40"/>
        </w:numPr>
        <w:spacing w:before="105" w:after="105" w:line="360" w:lineRule="auto"/>
      </w:pPr>
      <w:r>
        <w:rPr>
          <w:rFonts w:ascii="inter" w:hAnsi="inter" w:eastAsia="inter" w:cs="inter"/>
          <w:color w:val="000000"/>
          <w:sz w:val="21"/>
        </w:rPr>
        <w:t>新市民、青年人、低收入群体的住房权益保障</w:t>
      </w:r>
    </w:p>
    <w:p w14:paraId="554ADB80">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24F9BA2B">
      <w:pPr>
        <w:spacing w:before="315" w:after="105" w:line="360" w:lineRule="auto"/>
        <w:ind w:left="-30"/>
        <w:jc w:val="left"/>
      </w:pPr>
      <w:bookmarkStart w:id="123" w:name="六_结论"/>
      <w:r>
        <w:rPr>
          <w:rFonts w:ascii="inter" w:hAnsi="inter" w:eastAsia="inter" w:cs="inter"/>
          <w:b/>
          <w:color w:val="000000"/>
          <w:sz w:val="24"/>
        </w:rPr>
        <w:t>六、结论</w:t>
      </w:r>
      <w:bookmarkEnd w:id="123"/>
    </w:p>
    <w:p w14:paraId="50B35211">
      <w:pPr>
        <w:spacing w:after="210" w:line="360" w:lineRule="auto"/>
      </w:pPr>
      <w:r>
        <w:rPr>
          <w:rFonts w:ascii="inter" w:hAnsi="inter" w:eastAsia="inter" w:cs="inter"/>
          <w:color w:val="000000"/>
        </w:rPr>
        <w:t>中国房地产行业正处于百年未有之大变局的关键时期。从"有房住"到"住好房"，从"规模扩张"到"高质量发展"，这不是简单的政策调整，而是涉及产业模式、金融生态、城市治理的全方位重塑。</w:t>
      </w:r>
    </w:p>
    <w:p w14:paraId="05EE14F4">
      <w:pPr>
        <w:spacing w:after="210" w:line="360" w:lineRule="auto"/>
      </w:pPr>
      <w:r>
        <w:rPr>
          <w:rFonts w:ascii="inter" w:hAnsi="inter" w:eastAsia="inter" w:cs="inter"/>
          <w:b/>
          <w:color w:val="000000"/>
        </w:rPr>
        <w:t>十年路线图的核心逻辑</w:t>
      </w:r>
      <w:r>
        <w:rPr>
          <w:rFonts w:ascii="inter" w:hAnsi="inter" w:eastAsia="inter" w:cs="inter"/>
          <w:color w:val="000000"/>
        </w:rPr>
        <w:t>：通过</w:t>
      </w:r>
      <w:r>
        <w:rPr>
          <w:rFonts w:ascii="inter" w:hAnsi="inter" w:eastAsia="inter" w:cs="inter"/>
          <w:b/>
          <w:color w:val="000000"/>
        </w:rPr>
        <w:t>政策供给侧创新、金融工具创新、ESG规范化、城市更新赋能</w:t>
      </w:r>
      <w:r>
        <w:rPr>
          <w:rFonts w:ascii="inter" w:hAnsi="inter" w:eastAsia="inter" w:cs="inter"/>
          <w:color w:val="000000"/>
        </w:rPr>
        <w:t>四轮并驱，激发房地产行业的内生动力，配以</w:t>
      </w:r>
      <w:r>
        <w:rPr>
          <w:rFonts w:ascii="inter" w:hAnsi="inter" w:eastAsia="inter" w:cs="inter"/>
          <w:b/>
          <w:color w:val="000000"/>
        </w:rPr>
        <w:t>完善的制度框架、精准的金融支撑、有效的风险防控、战略关联的高度整合</w:t>
      </w:r>
      <w:r>
        <w:rPr>
          <w:rFonts w:ascii="inter" w:hAnsi="inter" w:eastAsia="inter" w:cs="inter"/>
          <w:color w:val="000000"/>
        </w:rPr>
        <w:t>，实现房地产行业的可持续、高质量、包容性发展。</w:t>
      </w:r>
    </w:p>
    <w:p w14:paraId="396F8950">
      <w:pPr>
        <w:spacing w:after="210" w:line="360" w:lineRule="auto"/>
      </w:pPr>
      <w:r>
        <w:rPr>
          <w:rFonts w:ascii="inter" w:hAnsi="inter" w:eastAsia="inter" w:cs="inter"/>
          <w:b/>
          <w:color w:val="000000"/>
        </w:rPr>
        <w:t>政策确定性强</w:t>
      </w:r>
      <w:r>
        <w:rPr>
          <w:rFonts w:ascii="inter" w:hAnsi="inter" w:eastAsia="inter" w:cs="inter"/>
          <w:color w:val="000000"/>
        </w:rPr>
        <w:t>：从《十五五规划建议》到中央经济工作会议，再到各部委的具体部署，房地产高质量发展的政策方向已经明确，2026年将进入"立"的关键阶段。</w:t>
      </w:r>
    </w:p>
    <w:p w14:paraId="26C2898D">
      <w:pPr>
        <w:spacing w:after="210" w:line="360" w:lineRule="auto"/>
      </w:pPr>
      <w:r>
        <w:rPr>
          <w:rFonts w:ascii="inter" w:hAnsi="inter" w:eastAsia="inter" w:cs="inter"/>
          <w:b/>
          <w:color w:val="000000"/>
        </w:rPr>
        <w:t>实施挑战不容回避</w:t>
      </w:r>
      <w:r>
        <w:rPr>
          <w:rFonts w:ascii="inter" w:hAnsi="inter" w:eastAsia="inter" w:cs="inter"/>
          <w:color w:val="000000"/>
        </w:rPr>
        <w:t>：新旧模式转换的成本、地方财政的压力、企业利润空间的压缩、市场分化的加剧，都需要政策的耐心与制度的创新。</w:t>
      </w:r>
    </w:p>
    <w:p w14:paraId="2691812D">
      <w:pPr>
        <w:spacing w:after="210" w:line="360" w:lineRule="auto"/>
      </w:pPr>
      <w:r>
        <w:rPr>
          <w:rFonts w:ascii="inter" w:hAnsi="inter" w:eastAsia="inter" w:cs="inter"/>
          <w:b/>
          <w:color w:val="000000"/>
        </w:rPr>
        <w:t>国家战略的高度统一</w:t>
      </w:r>
      <w:r>
        <w:rPr>
          <w:rFonts w:ascii="inter" w:hAnsi="inter" w:eastAsia="inter" w:cs="inter"/>
          <w:color w:val="000000"/>
        </w:rPr>
        <w:t>：房地产行业的可持续发展已不是单纯的房地产问题，而是与"双碳"、"新型城镇化"、"新质生产力"、"共同富裕"等国家重大战略深度结合，这种结合既提升了房地产的战略地位，也赋予了其更高的社会责任。</w:t>
      </w:r>
    </w:p>
    <w:p w14:paraId="5374E523">
      <w:pPr>
        <w:spacing w:after="210" w:line="360" w:lineRule="auto"/>
      </w:pPr>
      <w:r>
        <w:rPr>
          <w:rFonts w:ascii="inter" w:hAnsi="inter" w:eastAsia="inter" w:cs="inter"/>
          <w:color w:val="000000"/>
        </w:rPr>
        <w:t>展望2025-2035年，在科学的政策设计、有效的金融支撑、社会各界的共同努力下，中国房地产行业将从昔日的"经济增长引擎"转变为"民生福祉保障"与"城市高质量发展"的双重支撑，为中国式现代化建设做出新的、更加可持续的贡献。</w:t>
      </w:r>
    </w:p>
    <w:p w14:paraId="33903E23">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656A2B0F">
      <w:pPr>
        <w:spacing w:before="315" w:after="105" w:line="360" w:lineRule="auto"/>
        <w:ind w:left="-30"/>
        <w:jc w:val="left"/>
      </w:pPr>
      <w:bookmarkStart w:id="124" w:name="参考文献"/>
      <w:r>
        <w:rPr>
          <w:rFonts w:ascii="inter" w:hAnsi="inter" w:eastAsia="inter" w:cs="inter"/>
          <w:b/>
          <w:color w:val="000000"/>
          <w:sz w:val="24"/>
        </w:rPr>
        <w:t>参考文献</w:t>
      </w:r>
      <w:bookmarkEnd w:id="124"/>
    </w:p>
    <w:p w14:paraId="083C1378">
      <w:pPr>
        <w:spacing w:after="210" w:line="360" w:lineRule="auto"/>
      </w:pPr>
      <w:r>
        <w:rPr>
          <w:rFonts w:ascii="inter" w:hAnsi="inter" w:eastAsia="inter" w:cs="inter"/>
          <w:color w:val="000000"/>
        </w:rPr>
        <w:t>中国经济网，2025年房地产行业十大关键词</w:t>
      </w:r>
      <w:bookmarkStart w:id="125" w:name="fnref11_6"/>
      <w:bookmarkEnd w:id="125"/>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4DBB1A2D">
      <w:pPr>
        <w:spacing w:after="210" w:line="360" w:lineRule="auto"/>
      </w:pPr>
      <w:r>
        <w:rPr>
          <w:rFonts w:ascii="inter" w:hAnsi="inter" w:eastAsia="inter" w:cs="inter"/>
          <w:color w:val="000000"/>
        </w:rPr>
        <w:t>证券时报，房地产企稳2025：推动"好房子"建设激活城市更新动能</w:t>
      </w:r>
      <w:bookmarkStart w:id="126" w:name="fnref5_4"/>
      <w:bookmarkEnd w:id="12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0C41B988">
      <w:pPr>
        <w:spacing w:after="210" w:line="360" w:lineRule="auto"/>
      </w:pPr>
      <w:r>
        <w:rPr>
          <w:rFonts w:ascii="inter" w:hAnsi="inter" w:eastAsia="inter" w:cs="inter"/>
          <w:color w:val="000000"/>
        </w:rPr>
        <w:t>新华网，去库存、优供给——2026年我国房地产市场供给侧三大重点解读</w:t>
      </w:r>
      <w:bookmarkStart w:id="127" w:name="fnref4_3"/>
      <w:bookmarkEnd w:id="12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02096BD">
      <w:pPr>
        <w:spacing w:after="210" w:line="360" w:lineRule="auto"/>
      </w:pPr>
      <w:r>
        <w:rPr>
          <w:rFonts w:ascii="inter" w:hAnsi="inter" w:eastAsia="inter" w:cs="inter"/>
          <w:color w:val="000000"/>
        </w:rPr>
        <w:t>新京报，中国建科：锚定住宅高质量发展以产业现代化擘画"好房子"蓝图</w:t>
      </w:r>
      <w:bookmarkStart w:id="128" w:name="fnref27"/>
      <w:bookmarkEnd w:id="128"/>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40FDCE3B">
      <w:pPr>
        <w:spacing w:after="210" w:line="360" w:lineRule="auto"/>
      </w:pPr>
      <w:r>
        <w:rPr>
          <w:rFonts w:ascii="inter" w:hAnsi="inter" w:eastAsia="inter" w:cs="inter"/>
          <w:color w:val="000000"/>
        </w:rPr>
        <w:t>求是网，推动房地产高质量发展</w:t>
      </w:r>
      <w:bookmarkStart w:id="129" w:name="fnref1_5"/>
      <w:bookmarkEnd w:id="12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3595D2D4">
      <w:pPr>
        <w:spacing w:after="210" w:line="360" w:lineRule="auto"/>
      </w:pPr>
      <w:r>
        <w:rPr>
          <w:rFonts w:ascii="inter" w:hAnsi="inter" w:eastAsia="inter" w:cs="inter"/>
          <w:color w:val="000000"/>
        </w:rPr>
        <w:t>新浪财经，任泽平：未来中国房地产十大趋势</w:t>
      </w:r>
      <w:bookmarkStart w:id="130" w:name="fnref3_7"/>
      <w:bookmarkEnd w:id="13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21C0756">
      <w:pPr>
        <w:spacing w:after="210" w:line="360" w:lineRule="auto"/>
      </w:pPr>
      <w:r>
        <w:rPr>
          <w:rFonts w:ascii="inter" w:hAnsi="inter" w:eastAsia="inter" w:cs="inter"/>
          <w:color w:val="000000"/>
        </w:rPr>
        <w:t>新华网，立"新"破"旧" 加快构建房地产发展新模式</w:t>
      </w:r>
      <w:bookmarkStart w:id="131" w:name="fnref23_2"/>
      <w:bookmarkEnd w:id="131"/>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77A63F02">
      <w:pPr>
        <w:spacing w:after="210" w:line="360" w:lineRule="auto"/>
      </w:pPr>
      <w:r>
        <w:rPr>
          <w:rFonts w:ascii="inter" w:hAnsi="inter" w:eastAsia="inter" w:cs="inter"/>
          <w:color w:val="000000"/>
        </w:rPr>
        <w:t>住建部，供给端精准施策推动房地产高质量发展</w:t>
      </w:r>
      <w:bookmarkStart w:id="132" w:name="fnref10_2"/>
      <w:bookmarkEnd w:id="13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570252CD">
      <w:pPr>
        <w:spacing w:after="210" w:line="360" w:lineRule="auto"/>
      </w:pPr>
      <w:r>
        <w:rPr>
          <w:rFonts w:ascii="inter" w:hAnsi="inter" w:eastAsia="inter" w:cs="inter"/>
          <w:color w:val="000000"/>
        </w:rPr>
        <w:t>中国房地产指数系统（中指研究院）内部报告</w:t>
      </w:r>
      <w:bookmarkStart w:id="133" w:name="fnref9_1"/>
      <w:bookmarkEnd w:id="13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0792C13">
      <w:pPr>
        <w:spacing w:after="210" w:line="360" w:lineRule="auto"/>
      </w:pPr>
      <w:r>
        <w:rPr>
          <w:rFonts w:ascii="inter" w:hAnsi="inter" w:eastAsia="inter" w:cs="inter"/>
          <w:color w:val="000000"/>
        </w:rPr>
        <w:t>商务部，《关于持续推进城市更新行动的意见》引用</w:t>
      </w:r>
      <w:bookmarkStart w:id="134" w:name="fnref28"/>
      <w:bookmarkEnd w:id="134"/>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07AE26A3">
      <w:pPr>
        <w:spacing w:after="210" w:line="360" w:lineRule="auto"/>
      </w:pPr>
      <w:r>
        <w:rPr>
          <w:rFonts w:ascii="inter" w:hAnsi="inter" w:eastAsia="inter" w:cs="inter"/>
          <w:color w:val="000000"/>
        </w:rPr>
        <w:t>新快报，绿色建造迈向精细化管理助推"好房子"高质量落地</w:t>
      </w:r>
      <w:bookmarkStart w:id="135" w:name="fnref18_7"/>
      <w:bookmarkEnd w:id="13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6845CA13">
      <w:pPr>
        <w:spacing w:after="210" w:line="360" w:lineRule="auto"/>
      </w:pPr>
      <w:r>
        <w:rPr>
          <w:rFonts w:ascii="inter" w:hAnsi="inter" w:eastAsia="inter" w:cs="inter"/>
          <w:color w:val="000000"/>
        </w:rPr>
        <w:t>戴德梁行，房地产市场潜力犹存，REITs扩围开启不动产金融化新阶段</w:t>
      </w:r>
      <w:bookmarkStart w:id="136" w:name="fnref15_2"/>
      <w:bookmarkEnd w:id="136"/>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50700F40">
      <w:pPr>
        <w:spacing w:after="210" w:line="360" w:lineRule="auto"/>
      </w:pPr>
      <w:r>
        <w:rPr>
          <w:rFonts w:ascii="inter" w:hAnsi="inter" w:eastAsia="inter" w:cs="inter"/>
          <w:color w:val="000000"/>
        </w:rPr>
        <w:t>观点指数，汇添富上海地产租赁住房REIT加码浦东资产里的扩募潮</w:t>
      </w:r>
      <w:bookmarkStart w:id="137" w:name="fnref17_2"/>
      <w:bookmarkEnd w:id="13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7CE12845">
      <w:pPr>
        <w:spacing w:after="210" w:line="360" w:lineRule="auto"/>
      </w:pPr>
      <w:r>
        <w:rPr>
          <w:rFonts w:ascii="inter" w:hAnsi="inter" w:eastAsia="inter" w:cs="inter"/>
          <w:color w:val="000000"/>
        </w:rPr>
        <w:t>中房网，2025房地产公司ESG测评研究报告发布</w:t>
      </w:r>
      <w:bookmarkStart w:id="138" w:name="fnref19_1"/>
      <w:bookmarkEnd w:id="138"/>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5826E026">
      <w:pPr>
        <w:spacing w:after="210" w:line="360" w:lineRule="auto"/>
      </w:pPr>
      <w:r>
        <w:rPr>
          <w:rFonts w:ascii="inter" w:hAnsi="inter" w:eastAsia="inter" w:cs="inter"/>
          <w:color w:val="000000"/>
        </w:rPr>
        <w:t>新浪财经，去年REITs新增20单、规模2100亿，消费与保租房成亮点</w:t>
      </w:r>
      <w:bookmarkStart w:id="139" w:name="fnref16_2"/>
      <w:bookmarkEnd w:id="13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6DC084B5">
      <w:pPr>
        <w:spacing w:after="210" w:line="360" w:lineRule="auto"/>
      </w:pPr>
      <w:r>
        <w:rPr>
          <w:rFonts w:ascii="inter" w:hAnsi="inter" w:eastAsia="inter" w:cs="inter"/>
          <w:color w:val="000000"/>
        </w:rPr>
        <w:t>证券时报，落细落实经济工作八项重点任务实现"十五五"良好开局</w:t>
      </w:r>
      <w:bookmarkStart w:id="140" w:name="fnref12_1"/>
      <w:bookmarkEnd w:id="14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4C0090CE">
      <w:pPr>
        <w:spacing w:after="210" w:line="360" w:lineRule="auto"/>
      </w:pPr>
      <w:r>
        <w:rPr>
          <w:rFonts w:ascii="inter" w:hAnsi="inter" w:eastAsia="inter" w:cs="inter"/>
          <w:color w:val="000000"/>
        </w:rPr>
        <w:t>网易，2025-2030年中国城市更新行业投资规划及前景预测报告</w:t>
      </w:r>
      <w:bookmarkStart w:id="141" w:name="fnref20_4"/>
      <w:bookmarkEnd w:id="14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63F30EE7">
      <w:pPr>
        <w:spacing w:after="210" w:line="360" w:lineRule="auto"/>
      </w:pPr>
      <w:r>
        <w:rPr>
          <w:rFonts w:ascii="inter" w:hAnsi="inter" w:eastAsia="inter" w:cs="inter"/>
          <w:color w:val="000000"/>
        </w:rPr>
        <w:t>中国经营报，央行将会同金融监管总局，进一步下调商业用房购房贷款最低首付比例</w:t>
      </w:r>
      <w:bookmarkStart w:id="142" w:name="fnref13_2"/>
      <w:bookmarkEnd w:id="142"/>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403C53A0">
      <w:pPr>
        <w:spacing w:after="210" w:line="360" w:lineRule="auto"/>
      </w:pPr>
      <w:r>
        <w:rPr>
          <w:rFonts w:ascii="inter" w:hAnsi="inter" w:eastAsia="inter" w:cs="inter"/>
          <w:color w:val="000000"/>
        </w:rPr>
        <w:t>北京政务网，央行出台八项政策降准降息仍有空间</w:t>
      </w:r>
      <w:bookmarkStart w:id="143" w:name="fnref14_1"/>
      <w:bookmarkEnd w:id="14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338C8F19">
      <w:pPr>
        <w:spacing w:after="210" w:line="360" w:lineRule="auto"/>
      </w:pPr>
      <w:r>
        <w:rPr>
          <w:rFonts w:ascii="inter" w:hAnsi="inter" w:eastAsia="inter" w:cs="inter"/>
          <w:color w:val="000000"/>
        </w:rPr>
        <w:t>新华网，从中央经济工作会议看"十五五"开局之年中国经济着力点</w:t>
      </w:r>
      <w:bookmarkStart w:id="144" w:name="fnref6_4"/>
      <w:bookmarkEnd w:id="14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FD75993">
      <w:pPr>
        <w:spacing w:after="210" w:line="360" w:lineRule="auto"/>
      </w:pPr>
      <w:r>
        <w:rPr>
          <w:rFonts w:ascii="inter" w:hAnsi="inter" w:eastAsia="inter" w:cs="inter"/>
          <w:color w:val="000000"/>
        </w:rPr>
        <w:t>商务部，中共中央关于制定国民经济和社会发展第十五个五年规划的建议</w:t>
      </w:r>
      <w:bookmarkStart w:id="145" w:name="fnref2_2"/>
      <w:bookmarkEnd w:id="14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44E8201">
      <w:pPr>
        <w:spacing w:after="210" w:line="360" w:lineRule="auto"/>
      </w:pPr>
      <w:r>
        <w:rPr>
          <w:rFonts w:ascii="inter" w:hAnsi="inter" w:eastAsia="inter" w:cs="inter"/>
          <w:color w:val="000000"/>
        </w:rPr>
        <w:t>国家移民管理局网站，政策加码城市更新"旧空间"酿出"新价值"</w:t>
      </w:r>
      <w:bookmarkStart w:id="146" w:name="fnref21_4"/>
      <w:bookmarkEnd w:id="146"/>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4E8C6091">
      <w:pPr>
        <w:spacing w:after="210" w:line="360" w:lineRule="auto"/>
      </w:pPr>
      <w:r>
        <w:rPr>
          <w:rFonts w:ascii="inter" w:hAnsi="inter" w:eastAsia="inter" w:cs="inter"/>
          <w:color w:val="000000"/>
        </w:rPr>
        <w:t>共产党员网，从"十五五"规划建议看奋力开创中国式现代化建设新局面</w:t>
      </w:r>
      <w:bookmarkStart w:id="147" w:name="fnref22_5"/>
      <w:bookmarkEnd w:id="14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76AEE768">
      <w:pPr>
        <w:spacing w:after="210" w:line="360" w:lineRule="auto"/>
      </w:pPr>
      <w:r>
        <w:rPr>
          <w:rFonts w:ascii="inter" w:hAnsi="inter" w:eastAsia="inter" w:cs="inter"/>
          <w:color w:val="000000"/>
        </w:rPr>
        <w:t>湖南省地质院，发改委：25年双碳工作方向</w:t>
      </w:r>
      <w:bookmarkStart w:id="148" w:name="fnref25_3"/>
      <w:bookmarkEnd w:id="148"/>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764EBD00">
      <w:pPr>
        <w:spacing w:after="210" w:line="360" w:lineRule="auto"/>
      </w:pPr>
      <w:r>
        <w:rPr>
          <w:rFonts w:ascii="inter" w:hAnsi="inter" w:eastAsia="inter" w:cs="inter"/>
          <w:color w:val="000000"/>
        </w:rPr>
        <w:t>东方财富，规模突破2100亿，公募REITs成房企转型关键抓手</w:t>
      </w:r>
      <w:bookmarkStart w:id="149" w:name="fnref29"/>
      <w:bookmarkEnd w:id="149"/>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70E33029">
      <w:pPr>
        <w:spacing w:after="210" w:line="360" w:lineRule="auto"/>
      </w:pPr>
      <w:r>
        <w:rPr>
          <w:rFonts w:ascii="inter" w:hAnsi="inter" w:eastAsia="inter" w:cs="inter"/>
          <w:color w:val="000000"/>
        </w:rPr>
        <w:t>北京市人民政府网站，北京市"十五五"规划建议</w:t>
      </w:r>
      <w:bookmarkStart w:id="150" w:name="fnref30"/>
      <w:bookmarkEnd w:id="150"/>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73E22BD6">
      <w:pPr>
        <w:spacing w:after="210" w:line="360" w:lineRule="auto"/>
      </w:pPr>
      <w:r>
        <w:rPr>
          <w:rFonts w:ascii="inter" w:hAnsi="inter" w:eastAsia="inter" w:cs="inter"/>
          <w:color w:val="000000"/>
        </w:rPr>
        <w:t>中国政府网，习近平：在中央城市工作会议上的讲话</w:t>
      </w:r>
      <w:bookmarkStart w:id="151" w:name="fnref31"/>
      <w:bookmarkEnd w:id="151"/>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3123292F">
      <w:pPr>
        <w:spacing w:after="210" w:line="360" w:lineRule="auto"/>
      </w:pPr>
      <w:r>
        <w:rPr>
          <w:rFonts w:ascii="inter" w:hAnsi="inter" w:eastAsia="inter" w:cs="inter"/>
          <w:color w:val="000000"/>
        </w:rPr>
        <w:t>中国社会科学院，从"十四五"到"十五五"中国经济化危为机的重大成就与展望</w:t>
      </w:r>
      <w:bookmarkStart w:id="152" w:name="fnref7_2"/>
      <w:bookmarkEnd w:id="15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6B6E711F">
      <w:pPr>
        <w:spacing w:after="210" w:line="360" w:lineRule="auto"/>
      </w:pPr>
      <w:r>
        <w:rPr>
          <w:rFonts w:ascii="inter" w:hAnsi="inter" w:eastAsia="inter" w:cs="inter"/>
          <w:color w:val="000000"/>
        </w:rPr>
        <w:t>证券时报，住建部：2024年全国各地共实施城市更新项目6万余个</w:t>
      </w:r>
      <w:bookmarkStart w:id="153" w:name="fnref8_1"/>
      <w:bookmarkEnd w:id="15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8F53D14">
      <w:pPr>
        <w:spacing w:after="210" w:line="360" w:lineRule="auto"/>
      </w:pPr>
      <w:r>
        <w:rPr>
          <w:rFonts w:ascii="inter" w:hAnsi="inter" w:eastAsia="inter" w:cs="inter"/>
          <w:color w:val="000000"/>
        </w:rPr>
        <w:t>东财财汇，房地产行业新技术系列报告：BIM乘"十四五"东风</w:t>
      </w:r>
      <w:bookmarkStart w:id="154" w:name="fnref26_1"/>
      <w:bookmarkEnd w:id="154"/>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2EF31765">
      <w:pPr>
        <w:spacing w:after="210" w:line="360" w:lineRule="auto"/>
      </w:pPr>
      <w:r>
        <w:rPr>
          <w:rFonts w:ascii="inter" w:hAnsi="inter" w:eastAsia="inter" w:cs="inter"/>
          <w:color w:val="000000"/>
        </w:rPr>
        <w:t>东财财汇，【中指观点】定了！2024房地产政策如何发力</w:t>
      </w:r>
      <w:bookmarkStart w:id="155" w:name="fnref32"/>
      <w:bookmarkEnd w:id="155"/>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2B8D55D6">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69C07F01">
      <w:pPr>
        <w:spacing w:after="210" w:line="360" w:lineRule="auto"/>
      </w:pPr>
      <w:r>
        <w:rPr>
          <w:rFonts w:ascii="inter" w:hAnsi="inter" w:eastAsia="inter" w:cs="inter"/>
          <w:b/>
          <w:color w:val="000000"/>
        </w:rPr>
        <w:t>报告完成时间</w:t>
      </w:r>
      <w:r>
        <w:rPr>
          <w:rFonts w:ascii="inter" w:hAnsi="inter" w:eastAsia="inter" w:cs="inter"/>
          <w:color w:val="000000"/>
        </w:rPr>
        <w:t>：2026年1月18日</w:t>
      </w:r>
    </w:p>
    <w:p w14:paraId="7DAE802C">
      <w:pPr>
        <w:spacing w:after="210" w:line="360" w:lineRule="auto"/>
      </w:pPr>
      <w:r>
        <w:rPr>
          <w:rFonts w:ascii="inter" w:hAnsi="inter" w:eastAsia="inter" w:cs="inter"/>
          <w:b/>
          <w:color w:val="000000"/>
        </w:rPr>
        <w:t>数据截止日期</w:t>
      </w:r>
      <w:r>
        <w:rPr>
          <w:rFonts w:ascii="inter" w:hAnsi="inter" w:eastAsia="inter" w:cs="inter"/>
          <w:color w:val="000000"/>
        </w:rPr>
        <w:t>：2026年1月中旬</w:t>
      </w:r>
    </w:p>
    <w:p w14:paraId="6481CABF">
      <w:pPr>
        <w:spacing w:after="210" w:line="360" w:lineRule="auto"/>
      </w:pPr>
      <w:r>
        <w:rPr>
          <w:rFonts w:ascii="inter" w:hAnsi="inter" w:eastAsia="inter" w:cs="inter"/>
          <w:b/>
          <w:color w:val="000000"/>
        </w:rPr>
        <w:t>编制机构</w:t>
      </w:r>
      <w:r>
        <w:rPr>
          <w:rFonts w:ascii="inter" w:hAnsi="inter" w:eastAsia="inter" w:cs="inter"/>
          <w:color w:val="000000"/>
        </w:rPr>
        <w:t>：战略研究智库</w:t>
      </w:r>
      <w:r>
        <w:rPr>
          <w:rFonts w:ascii="inter" w:hAnsi="inter" w:eastAsia="inter" w:cs="inter"/>
          <w:color w:val="000000"/>
        </w:rPr>
        <w:br w:type="textWrapping"/>
      </w:r>
    </w:p>
    <w:p w14:paraId="09CB03C7">
      <w:pPr>
        <w:spacing w:line="360" w:lineRule="auto"/>
      </w:pPr>
      <w:r>
        <w:rPr>
          <w:rFonts w:ascii="inter" w:hAnsi="inter" w:eastAsia="inter" w:cs="inter"/>
          <w:color w:val="000000"/>
        </w:rPr>
        <w:t>⁂</w:t>
      </w:r>
    </w:p>
    <w:p w14:paraId="1AA7194D">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727EDE96">
      <w:pPr>
        <w:numPr>
          <w:ilvl w:val="0"/>
          <w:numId w:val="41"/>
        </w:numPr>
        <w:spacing w:after="210" w:line="360" w:lineRule="auto"/>
      </w:pPr>
      <w:bookmarkStart w:id="156" w:name="fn1"/>
      <w:bookmarkEnd w:id="156"/>
      <w:r>
        <w:fldChar w:fldCharType="begin"/>
      </w:r>
      <w:r>
        <w:instrText xml:space="preserve"> HYPERLINK "https://www.qstheory.cn/20251216/993570a501264db6b188a4e4cdebae14/c.html" \h </w:instrText>
      </w:r>
      <w:r>
        <w:fldChar w:fldCharType="separate"/>
      </w:r>
      <w:r>
        <w:rPr>
          <w:rFonts w:ascii="inter" w:hAnsi="inter" w:eastAsia="inter" w:cs="inter"/>
          <w:color w:val="000000"/>
          <w:sz w:val="18"/>
          <w:u w:val="single"/>
        </w:rPr>
        <w:t>https://www.qstheory.cn/20251216/993570a501264db6b188a4e4cdebae14/c.html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F51F07">
      <w:pPr>
        <w:numPr>
          <w:ilvl w:val="0"/>
          <w:numId w:val="41"/>
        </w:numPr>
        <w:spacing w:after="210" w:line="360" w:lineRule="auto"/>
      </w:pPr>
      <w:bookmarkStart w:id="157" w:name="fn2"/>
      <w:bookmarkEnd w:id="157"/>
      <w:r>
        <w:fldChar w:fldCharType="begin"/>
      </w:r>
      <w:r>
        <w:instrText xml:space="preserve"> HYPERLINK "https://www.mofcom.gov.cn/syxwfb/art/2025/art_d5da513be3fe491582dd17eae6d805d9.html" \h </w:instrText>
      </w:r>
      <w:r>
        <w:fldChar w:fldCharType="separate"/>
      </w:r>
      <w:r>
        <w:rPr>
          <w:rFonts w:ascii="inter" w:hAnsi="inter" w:eastAsia="inter" w:cs="inter"/>
          <w:color w:val="000000"/>
          <w:sz w:val="18"/>
          <w:u w:val="single"/>
        </w:rPr>
        <w:t>https://www.mofcom.gov.cn/syxwfb/art/2025/art_d5da513be3fe491582dd17eae6d805d9.html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EC86F8">
      <w:pPr>
        <w:numPr>
          <w:ilvl w:val="0"/>
          <w:numId w:val="41"/>
        </w:numPr>
        <w:spacing w:after="210" w:line="360" w:lineRule="auto"/>
      </w:pPr>
      <w:bookmarkStart w:id="158" w:name="fn3"/>
      <w:bookmarkEnd w:id="158"/>
      <w:r>
        <w:fldChar w:fldCharType="begin"/>
      </w:r>
      <w:r>
        <w:instrText xml:space="preserve"> HYPERLINK "https://finance.sina.cn/2026-01-14/detail-inhhfmmf4309317.d.html?vt=4&amp;node_id=79649" \h </w:instrText>
      </w:r>
      <w:r>
        <w:fldChar w:fldCharType="separate"/>
      </w:r>
      <w:r>
        <w:rPr>
          <w:rFonts w:ascii="inter" w:hAnsi="inter" w:eastAsia="inter" w:cs="inter"/>
          <w:color w:val="000000"/>
          <w:sz w:val="18"/>
          <w:u w:val="single"/>
        </w:rPr>
        <w:t>https://finance.sina.cn/2026-01-14/detail-inhhfmmf4309317.d.html?vt=4&amp;node_id=79649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E85A3E">
      <w:pPr>
        <w:numPr>
          <w:ilvl w:val="0"/>
          <w:numId w:val="41"/>
        </w:numPr>
        <w:spacing w:after="210" w:line="360" w:lineRule="auto"/>
      </w:pPr>
      <w:bookmarkStart w:id="159" w:name="fn4"/>
      <w:bookmarkEnd w:id="159"/>
      <w:r>
        <w:fldChar w:fldCharType="begin"/>
      </w:r>
      <w:r>
        <w:instrText xml:space="preserve"> HYPERLINK "http://www.news.cn/fortune/20251225/2a793445e02645379c13754b1c0a38c0/c.html" \h </w:instrText>
      </w:r>
      <w:r>
        <w:fldChar w:fldCharType="separate"/>
      </w:r>
      <w:r>
        <w:rPr>
          <w:rFonts w:ascii="inter" w:hAnsi="inter" w:eastAsia="inter" w:cs="inter"/>
          <w:color w:val="000000"/>
          <w:sz w:val="18"/>
          <w:u w:val="single"/>
        </w:rPr>
        <w:t>http://www.news.cn/fortune/20251225/2a793445e02645379c13754b1c0a38c0/c.html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A7165D">
      <w:pPr>
        <w:numPr>
          <w:ilvl w:val="0"/>
          <w:numId w:val="41"/>
        </w:numPr>
        <w:spacing w:after="210" w:line="360" w:lineRule="auto"/>
      </w:pPr>
      <w:bookmarkStart w:id="160" w:name="fn5"/>
      <w:bookmarkEnd w:id="160"/>
      <w:r>
        <w:fldChar w:fldCharType="begin"/>
      </w:r>
      <w:r>
        <w:instrText xml:space="preserve"> HYPERLINK "https://www.stcn.com/article/detail/3570797.html" \h </w:instrText>
      </w:r>
      <w:r>
        <w:fldChar w:fldCharType="separate"/>
      </w:r>
      <w:r>
        <w:rPr>
          <w:rFonts w:ascii="inter" w:hAnsi="inter" w:eastAsia="inter" w:cs="inter"/>
          <w:color w:val="000000"/>
          <w:sz w:val="18"/>
          <w:u w:val="single"/>
        </w:rPr>
        <w:t>https://www.stcn.com/article/detail/3570797.html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271072">
      <w:pPr>
        <w:numPr>
          <w:ilvl w:val="0"/>
          <w:numId w:val="41"/>
        </w:numPr>
        <w:spacing w:after="210" w:line="360" w:lineRule="auto"/>
      </w:pPr>
      <w:bookmarkStart w:id="161" w:name="fn6"/>
      <w:bookmarkEnd w:id="161"/>
      <w:r>
        <w:fldChar w:fldCharType="begin"/>
      </w:r>
      <w:r>
        <w:instrText xml:space="preserve"> HYPERLINK "http://www.news.cn/fortune/20251212/2753adbe60924899826235888a2f4911/c.html" \h </w:instrText>
      </w:r>
      <w:r>
        <w:fldChar w:fldCharType="separate"/>
      </w:r>
      <w:r>
        <w:rPr>
          <w:rFonts w:ascii="inter" w:hAnsi="inter" w:eastAsia="inter" w:cs="inter"/>
          <w:color w:val="000000"/>
          <w:sz w:val="18"/>
          <w:u w:val="single"/>
        </w:rPr>
        <w:t>http://www.news.cn/fortune/20251212/2753adbe60924899826235888a2f4911/c.html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69D776">
      <w:pPr>
        <w:numPr>
          <w:ilvl w:val="0"/>
          <w:numId w:val="41"/>
        </w:numPr>
        <w:spacing w:after="210" w:line="360" w:lineRule="auto"/>
      </w:pPr>
      <w:bookmarkStart w:id="162" w:name="fn7"/>
      <w:bookmarkEnd w:id="162"/>
      <w:r>
        <w:fldChar w:fldCharType="begin"/>
      </w:r>
      <w:r>
        <w:instrText xml:space="preserve"> HYPERLINK "http://gjs.cssn.cn/kydt/kydt_kycg/202601/t20260116_5969631.shtml" \h </w:instrText>
      </w:r>
      <w:r>
        <w:fldChar w:fldCharType="separate"/>
      </w:r>
      <w:r>
        <w:rPr>
          <w:rFonts w:ascii="inter" w:hAnsi="inter" w:eastAsia="inter" w:cs="inter"/>
          <w:color w:val="000000"/>
          <w:sz w:val="18"/>
          <w:u w:val="single"/>
        </w:rPr>
        <w:t>http://gjs.cssn.cn/kydt/kydt_kycg/202601/t20260116_5969631.shtml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9E2014">
      <w:pPr>
        <w:numPr>
          <w:ilvl w:val="0"/>
          <w:numId w:val="41"/>
        </w:numPr>
        <w:spacing w:after="210" w:line="360" w:lineRule="auto"/>
      </w:pPr>
      <w:bookmarkStart w:id="163" w:name="fn8"/>
      <w:bookmarkEnd w:id="163"/>
      <w:r>
        <w:fldChar w:fldCharType="begin"/>
      </w:r>
      <w:r>
        <w:instrText xml:space="preserve"> HYPERLINK "https://stcn.com/article/detail/1503131.html?u_atoken=7b53b0f5912ebfde9d3b804e5c0afc4f&amp;u_asig=ffbfd" \h </w:instrText>
      </w:r>
      <w:r>
        <w:fldChar w:fldCharType="separate"/>
      </w:r>
      <w:r>
        <w:rPr>
          <w:rFonts w:ascii="inter" w:hAnsi="inter" w:eastAsia="inter" w:cs="inter"/>
          <w:color w:val="000000"/>
          <w:sz w:val="18"/>
          <w:u w:val="single"/>
        </w:rPr>
        <w:t>https://stcn.com/article/detail/1503131.html?u_atoken=7b53b0f5912ebfde9d3b804e5c0afc4f&amp;u_asig=ffbfd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CCA6FC">
      <w:pPr>
        <w:numPr>
          <w:ilvl w:val="0"/>
          <w:numId w:val="41"/>
        </w:numPr>
        <w:spacing w:after="210" w:line="360" w:lineRule="auto"/>
      </w:pPr>
      <w:bookmarkStart w:id="164" w:name="fn9"/>
      <w:bookmarkEnd w:id="164"/>
      <w:r>
        <w:fldChar w:fldCharType="begin"/>
      </w:r>
      <w:r>
        <w:instrText xml:space="preserve"> HYPERLINK "https://pdf.dfcfw.com/pdf/H3_AP202512271809094203_1.pdf?1766830597000.pdf" \h </w:instrText>
      </w:r>
      <w:r>
        <w:fldChar w:fldCharType="separate"/>
      </w:r>
      <w:r>
        <w:rPr>
          <w:rFonts w:ascii="inter" w:hAnsi="inter" w:eastAsia="inter" w:cs="inter"/>
          <w:color w:val="000000"/>
          <w:sz w:val="18"/>
          <w:u w:val="single"/>
        </w:rPr>
        <w:t>https://pdf.dfcfw.com/pdf/H3_AP202512271809094203_1.pdf?1766830597000.pdf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996ABF">
      <w:pPr>
        <w:numPr>
          <w:ilvl w:val="0"/>
          <w:numId w:val="41"/>
        </w:numPr>
        <w:spacing w:after="210" w:line="360" w:lineRule="auto"/>
      </w:pPr>
      <w:bookmarkStart w:id="165" w:name="fn10"/>
      <w:bookmarkEnd w:id="165"/>
      <w:r>
        <w:fldChar w:fldCharType="begin"/>
      </w:r>
      <w:r>
        <w:instrText xml:space="preserve"> HYPERLINK "https://www.mohurd.gov.cn/xinwen/gzdt/art/2025/art_aad49ff5903f4a8087a8465bab090363.html" \h </w:instrText>
      </w:r>
      <w:r>
        <w:fldChar w:fldCharType="separate"/>
      </w:r>
      <w:r>
        <w:rPr>
          <w:rFonts w:ascii="inter" w:hAnsi="inter" w:eastAsia="inter" w:cs="inter"/>
          <w:color w:val="000000"/>
          <w:sz w:val="18"/>
          <w:u w:val="single"/>
        </w:rPr>
        <w:t>https://www.mohurd.gov.cn/xinwen/gzdt/art/2025/art_aad49ff5903f4a8087a8465bab090363.html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B73550">
      <w:pPr>
        <w:numPr>
          <w:ilvl w:val="0"/>
          <w:numId w:val="41"/>
        </w:numPr>
        <w:spacing w:after="210" w:line="360" w:lineRule="auto"/>
      </w:pPr>
      <w:bookmarkStart w:id="166" w:name="fn11"/>
      <w:bookmarkEnd w:id="166"/>
      <w:r>
        <w:fldChar w:fldCharType="begin"/>
      </w:r>
      <w:r>
        <w:instrText xml:space="preserve"> HYPERLINK "http://www.ce.cn/cysc/fdc/fc/202512/t20251224_2663581.shtml" \h </w:instrText>
      </w:r>
      <w:r>
        <w:fldChar w:fldCharType="separate"/>
      </w:r>
      <w:r>
        <w:rPr>
          <w:rFonts w:ascii="inter" w:hAnsi="inter" w:eastAsia="inter" w:cs="inter"/>
          <w:color w:val="000000"/>
          <w:sz w:val="18"/>
          <w:u w:val="single"/>
        </w:rPr>
        <w:t>http://www.ce.cn/cysc/fdc/fc/202512/t20251224_2663581.shtml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25F977">
      <w:pPr>
        <w:numPr>
          <w:ilvl w:val="0"/>
          <w:numId w:val="41"/>
        </w:numPr>
        <w:spacing w:after="210" w:line="360" w:lineRule="auto"/>
      </w:pPr>
      <w:bookmarkStart w:id="167" w:name="fn12"/>
      <w:bookmarkEnd w:id="167"/>
      <w:r>
        <w:fldChar w:fldCharType="begin"/>
      </w:r>
      <w:r>
        <w:instrText xml:space="preserve"> HYPERLINK "https://www.stcn.com/article/detail/3536489.html" \h </w:instrText>
      </w:r>
      <w:r>
        <w:fldChar w:fldCharType="separate"/>
      </w:r>
      <w:r>
        <w:rPr>
          <w:rFonts w:ascii="inter" w:hAnsi="inter" w:eastAsia="inter" w:cs="inter"/>
          <w:color w:val="000000"/>
          <w:sz w:val="18"/>
          <w:u w:val="single"/>
        </w:rPr>
        <w:t>https://www.stcn.com/article/detail/3536489.html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8376E9">
      <w:pPr>
        <w:numPr>
          <w:ilvl w:val="0"/>
          <w:numId w:val="41"/>
        </w:numPr>
        <w:spacing w:after="210" w:line="360" w:lineRule="auto"/>
      </w:pPr>
      <w:bookmarkStart w:id="168" w:name="fn13"/>
      <w:bookmarkEnd w:id="168"/>
      <w:r>
        <w:fldChar w:fldCharType="begin"/>
      </w:r>
      <w:r>
        <w:instrText xml:space="preserve"> HYPERLINK "https://www.cebnet.com.cn/20260116/103000460.html" \h </w:instrText>
      </w:r>
      <w:r>
        <w:fldChar w:fldCharType="separate"/>
      </w:r>
      <w:r>
        <w:rPr>
          <w:rFonts w:ascii="inter" w:hAnsi="inter" w:eastAsia="inter" w:cs="inter"/>
          <w:color w:val="000000"/>
          <w:sz w:val="18"/>
          <w:u w:val="single"/>
        </w:rPr>
        <w:t>https://www.cebnet.com.cn/20260116/103000460.html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56FD65">
      <w:pPr>
        <w:numPr>
          <w:ilvl w:val="0"/>
          <w:numId w:val="41"/>
        </w:numPr>
        <w:spacing w:after="210" w:line="360" w:lineRule="auto"/>
      </w:pPr>
      <w:bookmarkStart w:id="169" w:name="fn14"/>
      <w:bookmarkEnd w:id="169"/>
      <w:r>
        <w:fldChar w:fldCharType="begin"/>
      </w:r>
      <w:r>
        <w:instrText xml:space="preserve"> HYPERLINK "https://www.beijing.gov.cn/ywdt/zybwdt/202601/t20260116_4436024.html" \h </w:instrText>
      </w:r>
      <w:r>
        <w:fldChar w:fldCharType="separate"/>
      </w:r>
      <w:r>
        <w:rPr>
          <w:rFonts w:ascii="inter" w:hAnsi="inter" w:eastAsia="inter" w:cs="inter"/>
          <w:color w:val="000000"/>
          <w:sz w:val="18"/>
          <w:u w:val="single"/>
        </w:rPr>
        <w:t>https://www.beijing.gov.cn/ywdt/zybwdt/202601/t20260116_4436024.html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563133">
      <w:pPr>
        <w:numPr>
          <w:ilvl w:val="0"/>
          <w:numId w:val="41"/>
        </w:numPr>
        <w:spacing w:after="210" w:line="360" w:lineRule="auto"/>
      </w:pPr>
      <w:bookmarkStart w:id="170" w:name="fn15"/>
      <w:bookmarkEnd w:id="170"/>
      <w:r>
        <w:fldChar w:fldCharType="begin"/>
      </w:r>
      <w:r>
        <w:instrText xml:space="preserve"> HYPERLINK "https://eu.36kr.com/zh/p/3636261248320771" \h </w:instrText>
      </w:r>
      <w:r>
        <w:fldChar w:fldCharType="separate"/>
      </w:r>
      <w:r>
        <w:rPr>
          <w:rFonts w:ascii="inter" w:hAnsi="inter" w:eastAsia="inter" w:cs="inter"/>
          <w:color w:val="000000"/>
          <w:sz w:val="18"/>
          <w:u w:val="single"/>
        </w:rPr>
        <w:t>https://eu.36kr.com/zh/p/3636261248320771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A290B8">
      <w:pPr>
        <w:numPr>
          <w:ilvl w:val="0"/>
          <w:numId w:val="41"/>
        </w:numPr>
        <w:spacing w:after="210" w:line="360" w:lineRule="auto"/>
      </w:pPr>
      <w:bookmarkStart w:id="171" w:name="fn16"/>
      <w:bookmarkEnd w:id="171"/>
      <w:r>
        <w:fldChar w:fldCharType="begin"/>
      </w:r>
      <w:r>
        <w:instrText xml:space="preserve"> HYPERLINK "https://m.bjnews.com.cn/detail/1768439910169448.html" \h </w:instrText>
      </w:r>
      <w:r>
        <w:fldChar w:fldCharType="separate"/>
      </w:r>
      <w:r>
        <w:rPr>
          <w:rFonts w:ascii="inter" w:hAnsi="inter" w:eastAsia="inter" w:cs="inter"/>
          <w:color w:val="000000"/>
          <w:sz w:val="18"/>
          <w:u w:val="single"/>
        </w:rPr>
        <w:t>https://m.bjnews.com.cn/detail/1768439910169448.html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C6FE17">
      <w:pPr>
        <w:numPr>
          <w:ilvl w:val="0"/>
          <w:numId w:val="41"/>
        </w:numPr>
        <w:spacing w:after="210" w:line="360" w:lineRule="auto"/>
      </w:pPr>
      <w:bookmarkStart w:id="172" w:name="fn17"/>
      <w:bookmarkEnd w:id="172"/>
      <w:r>
        <w:fldChar w:fldCharType="begin"/>
      </w:r>
      <w:r>
        <w:instrText xml:space="preserve"> HYPERLINK "https://www.guandian.cn/m/show/538009" \h </w:instrText>
      </w:r>
      <w:r>
        <w:fldChar w:fldCharType="separate"/>
      </w:r>
      <w:r>
        <w:rPr>
          <w:rFonts w:ascii="inter" w:hAnsi="inter" w:eastAsia="inter" w:cs="inter"/>
          <w:color w:val="000000"/>
          <w:sz w:val="18"/>
          <w:u w:val="single"/>
        </w:rPr>
        <w:t>https://www.guandian.cn/m/show/538009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0D6F15">
      <w:pPr>
        <w:numPr>
          <w:ilvl w:val="0"/>
          <w:numId w:val="41"/>
        </w:numPr>
        <w:spacing w:after="210" w:line="360" w:lineRule="auto"/>
      </w:pPr>
      <w:bookmarkStart w:id="173" w:name="fn18"/>
      <w:bookmarkEnd w:id="173"/>
      <w:r>
        <w:fldChar w:fldCharType="begin"/>
      </w:r>
      <w:r>
        <w:instrText xml:space="preserve"> HYPERLINK "https://epaper.xkb.com.cn/view/1259084" \h </w:instrText>
      </w:r>
      <w:r>
        <w:fldChar w:fldCharType="separate"/>
      </w:r>
      <w:r>
        <w:rPr>
          <w:rFonts w:ascii="inter" w:hAnsi="inter" w:eastAsia="inter" w:cs="inter"/>
          <w:color w:val="000000"/>
          <w:sz w:val="18"/>
          <w:u w:val="single"/>
        </w:rPr>
        <w:t>https://epaper.xkb.com.cn/view/1259084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B80330">
      <w:pPr>
        <w:numPr>
          <w:ilvl w:val="0"/>
          <w:numId w:val="41"/>
        </w:numPr>
        <w:spacing w:after="210" w:line="360" w:lineRule="auto"/>
      </w:pPr>
      <w:bookmarkStart w:id="174" w:name="fn19"/>
      <w:bookmarkEnd w:id="174"/>
      <w:r>
        <w:fldChar w:fldCharType="begin"/>
      </w:r>
      <w:r>
        <w:instrText xml:space="preserve"> HYPERLINK "http://m.fangchan.com/news/320/2025-07-28/7355502711229715096.html" \h </w:instrText>
      </w:r>
      <w:r>
        <w:fldChar w:fldCharType="separate"/>
      </w:r>
      <w:r>
        <w:rPr>
          <w:rFonts w:ascii="inter" w:hAnsi="inter" w:eastAsia="inter" w:cs="inter"/>
          <w:color w:val="000000"/>
          <w:sz w:val="18"/>
          <w:u w:val="single"/>
        </w:rPr>
        <w:t>http://m.fangchan.com/news/320/2025-07-28/7355502711229715096.html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3B07EF">
      <w:pPr>
        <w:numPr>
          <w:ilvl w:val="0"/>
          <w:numId w:val="41"/>
        </w:numPr>
        <w:spacing w:after="210" w:line="360" w:lineRule="auto"/>
      </w:pPr>
      <w:bookmarkStart w:id="175" w:name="fn20"/>
      <w:bookmarkEnd w:id="175"/>
      <w:r>
        <w:fldChar w:fldCharType="begin"/>
      </w:r>
      <w:r>
        <w:instrText xml:space="preserve"> HYPERLINK "https://www.163.com/dy/article/JCRKSGS90553BKOF.html" \h </w:instrText>
      </w:r>
      <w:r>
        <w:fldChar w:fldCharType="separate"/>
      </w:r>
      <w:r>
        <w:rPr>
          <w:rFonts w:ascii="inter" w:hAnsi="inter" w:eastAsia="inter" w:cs="inter"/>
          <w:color w:val="000000"/>
          <w:sz w:val="18"/>
          <w:u w:val="single"/>
        </w:rPr>
        <w:t>https://www.163.com/dy/article/JCRKSGS90553BKOF.html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500A7C">
      <w:pPr>
        <w:numPr>
          <w:ilvl w:val="0"/>
          <w:numId w:val="41"/>
        </w:numPr>
        <w:spacing w:after="210" w:line="360" w:lineRule="auto"/>
      </w:pPr>
      <w:bookmarkStart w:id="176" w:name="fn21"/>
      <w:bookmarkEnd w:id="176"/>
      <w:r>
        <w:fldChar w:fldCharType="begin"/>
      </w:r>
      <w:r>
        <w:instrText xml:space="preserve"> HYPERLINK "https://www.nia.gov.cn/n741440/n741577/c1740779/content.html" \h </w:instrText>
      </w:r>
      <w:r>
        <w:fldChar w:fldCharType="separate"/>
      </w:r>
      <w:r>
        <w:rPr>
          <w:rFonts w:ascii="inter" w:hAnsi="inter" w:eastAsia="inter" w:cs="inter"/>
          <w:color w:val="000000"/>
          <w:sz w:val="18"/>
          <w:u w:val="single"/>
        </w:rPr>
        <w:t>https://www.nia.gov.cn/n741440/n741577/c1740779/content.html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6B1F8C">
      <w:pPr>
        <w:numPr>
          <w:ilvl w:val="0"/>
          <w:numId w:val="41"/>
        </w:numPr>
        <w:spacing w:after="210" w:line="360" w:lineRule="auto"/>
      </w:pPr>
      <w:bookmarkStart w:id="177" w:name="fn22"/>
      <w:bookmarkEnd w:id="177"/>
      <w:r>
        <w:fldChar w:fldCharType="begin"/>
      </w:r>
      <w:r>
        <w:instrText xml:space="preserve"> HYPERLINK "https://www.12371.cn/2025/11/01/ARTI1761979856345239.shtml" \h </w:instrText>
      </w:r>
      <w:r>
        <w:fldChar w:fldCharType="separate"/>
      </w:r>
      <w:r>
        <w:rPr>
          <w:rFonts w:ascii="inter" w:hAnsi="inter" w:eastAsia="inter" w:cs="inter"/>
          <w:color w:val="000000"/>
          <w:sz w:val="18"/>
          <w:u w:val="single"/>
        </w:rPr>
        <w:t>https://www.12371.cn/2025/11/01/ARTI1761979856345239.shtml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1CCE5A">
      <w:pPr>
        <w:numPr>
          <w:ilvl w:val="0"/>
          <w:numId w:val="41"/>
        </w:numPr>
        <w:spacing w:after="210" w:line="360" w:lineRule="auto"/>
      </w:pPr>
      <w:bookmarkStart w:id="178" w:name="fn23"/>
      <w:bookmarkEnd w:id="178"/>
      <w:r>
        <w:fldChar w:fldCharType="begin"/>
      </w:r>
      <w:r>
        <w:instrText xml:space="preserve"> HYPERLINK "https://www.news.cn/house/20251230/7e0e7d5a346c4a499f0a60f675e7cba5/c.html" \h </w:instrText>
      </w:r>
      <w:r>
        <w:fldChar w:fldCharType="separate"/>
      </w:r>
      <w:r>
        <w:rPr>
          <w:rFonts w:ascii="inter" w:hAnsi="inter" w:eastAsia="inter" w:cs="inter"/>
          <w:color w:val="000000"/>
          <w:sz w:val="18"/>
          <w:u w:val="single"/>
        </w:rPr>
        <w:t>https://www.news.cn/house/20251230/7e0e7d5a346c4a499f0a60f675e7cba5/c.html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533541">
      <w:pPr>
        <w:numPr>
          <w:ilvl w:val="0"/>
          <w:numId w:val="41"/>
        </w:numPr>
        <w:spacing w:after="210" w:line="360" w:lineRule="auto"/>
      </w:pPr>
      <w:bookmarkStart w:id="179" w:name="fn24"/>
      <w:bookmarkEnd w:id="179"/>
      <w:r>
        <w:fldChar w:fldCharType="begin"/>
      </w:r>
      <w:r>
        <w:instrText xml:space="preserve"> HYPERLINK "http://www.xinhuanet.com/mrdx/sdbd.htm" \h </w:instrText>
      </w:r>
      <w:r>
        <w:fldChar w:fldCharType="separate"/>
      </w:r>
      <w:r>
        <w:rPr>
          <w:rFonts w:ascii="inter" w:hAnsi="inter" w:eastAsia="inter" w:cs="inter"/>
          <w:color w:val="000000"/>
          <w:sz w:val="18"/>
          <w:u w:val="single"/>
        </w:rPr>
        <w:t>http://www.xinhuanet.com/mrdx/sdbd.htm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0E5453">
      <w:pPr>
        <w:numPr>
          <w:ilvl w:val="0"/>
          <w:numId w:val="41"/>
        </w:numPr>
        <w:spacing w:after="210" w:line="360" w:lineRule="auto"/>
      </w:pPr>
      <w:bookmarkStart w:id="180" w:name="fn25"/>
      <w:bookmarkEnd w:id="180"/>
      <w:r>
        <w:fldChar w:fldCharType="begin"/>
      </w:r>
      <w:r>
        <w:instrText xml:space="preserve"> HYPERLINK "http://hnsdzy.hunan.gov.cn/dzy/ysdw/whs/wh12/stdz1/202502/t20250226_33596567.html" \h </w:instrText>
      </w:r>
      <w:r>
        <w:fldChar w:fldCharType="separate"/>
      </w:r>
      <w:r>
        <w:rPr>
          <w:rFonts w:ascii="inter" w:hAnsi="inter" w:eastAsia="inter" w:cs="inter"/>
          <w:color w:val="000000"/>
          <w:sz w:val="18"/>
          <w:u w:val="single"/>
        </w:rPr>
        <w:t>http://hnsdzy.hunan.gov.cn/dzy/ysdw/whs/wh12/stdz1/202502/t20250226_33596567.html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3F9C6E">
      <w:pPr>
        <w:numPr>
          <w:ilvl w:val="0"/>
          <w:numId w:val="41"/>
        </w:numPr>
        <w:spacing w:after="210" w:line="360" w:lineRule="auto"/>
      </w:pPr>
      <w:bookmarkStart w:id="181" w:name="fn26"/>
      <w:bookmarkEnd w:id="181"/>
      <w:r>
        <w:fldChar w:fldCharType="begin"/>
      </w:r>
      <w:r>
        <w:instrText xml:space="preserve"> HYPERLINK "https://pdf.dfcfw.com/pdf/H3_AP202205311569041599_1.pdf" \h </w:instrText>
      </w:r>
      <w:r>
        <w:fldChar w:fldCharType="separate"/>
      </w:r>
      <w:r>
        <w:rPr>
          <w:rFonts w:ascii="inter" w:hAnsi="inter" w:eastAsia="inter" w:cs="inter"/>
          <w:color w:val="000000"/>
          <w:sz w:val="18"/>
          <w:u w:val="single"/>
        </w:rPr>
        <w:t>https://pdf.dfcfw.com/pdf/H3_AP202205311569041599_1.pdf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7E0D3F">
      <w:pPr>
        <w:numPr>
          <w:ilvl w:val="0"/>
          <w:numId w:val="41"/>
        </w:numPr>
        <w:spacing w:after="210" w:line="360" w:lineRule="auto"/>
      </w:pPr>
      <w:bookmarkStart w:id="182" w:name="fn27"/>
      <w:bookmarkEnd w:id="182"/>
      <w:r>
        <w:fldChar w:fldCharType="begin"/>
      </w:r>
      <w:r>
        <w:instrText xml:space="preserve"> HYPERLINK "https://m.bjnews.com.cn/detail/1767066012129526.html" \h </w:instrText>
      </w:r>
      <w:r>
        <w:fldChar w:fldCharType="separate"/>
      </w:r>
      <w:r>
        <w:rPr>
          <w:rFonts w:ascii="inter" w:hAnsi="inter" w:eastAsia="inter" w:cs="inter"/>
          <w:color w:val="000000"/>
          <w:sz w:val="18"/>
          <w:u w:val="single"/>
        </w:rPr>
        <w:t>https://m.bjnews.com.cn/detail/1767066012129526.html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310E4C">
      <w:pPr>
        <w:numPr>
          <w:ilvl w:val="0"/>
          <w:numId w:val="41"/>
        </w:numPr>
        <w:spacing w:after="210" w:line="360" w:lineRule="auto"/>
      </w:pPr>
      <w:bookmarkStart w:id="183" w:name="fn28"/>
      <w:bookmarkEnd w:id="183"/>
      <w:r>
        <w:fldChar w:fldCharType="begin"/>
      </w:r>
      <w:r>
        <w:instrText xml:space="preserve"> HYPERLINK "https://www.puentehillssubaru.com/?s-news-22805816-2025-12-17-zhongyang-wending-2026nian-wuding-fangchan-zwinfang-signals" \h </w:instrText>
      </w:r>
      <w:r>
        <w:fldChar w:fldCharType="separate"/>
      </w:r>
      <w:r>
        <w:rPr>
          <w:rFonts w:ascii="inter" w:hAnsi="inter" w:eastAsia="inter" w:cs="inter"/>
          <w:color w:val="000000"/>
          <w:sz w:val="18"/>
          <w:u w:val="single"/>
        </w:rPr>
        <w:t>https://www.puentehillssubaru.com/?s-news-22805816-2025-12-17-zhongyang-wending-2026nian-wuding-fangchan-zwinfang-signals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B4218B">
      <w:pPr>
        <w:numPr>
          <w:ilvl w:val="0"/>
          <w:numId w:val="41"/>
        </w:numPr>
        <w:spacing w:after="210" w:line="360" w:lineRule="auto"/>
      </w:pPr>
      <w:bookmarkStart w:id="184" w:name="fn29"/>
      <w:bookmarkEnd w:id="184"/>
      <w:r>
        <w:fldChar w:fldCharType="begin"/>
      </w:r>
      <w:r>
        <w:instrText xml:space="preserve"> HYPERLINK "https://biz.eastmoney.com/a/202601113615120869.html" \h </w:instrText>
      </w:r>
      <w:r>
        <w:fldChar w:fldCharType="separate"/>
      </w:r>
      <w:r>
        <w:rPr>
          <w:rFonts w:ascii="inter" w:hAnsi="inter" w:eastAsia="inter" w:cs="inter"/>
          <w:color w:val="000000"/>
          <w:sz w:val="18"/>
          <w:u w:val="single"/>
        </w:rPr>
        <w:t>https://biz.eastmoney.com/a/202601113615120869.html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42BA8D">
      <w:pPr>
        <w:numPr>
          <w:ilvl w:val="0"/>
          <w:numId w:val="41"/>
        </w:numPr>
        <w:spacing w:after="210" w:line="360" w:lineRule="auto"/>
      </w:pPr>
      <w:bookmarkStart w:id="185" w:name="fn30"/>
      <w:bookmarkEnd w:id="185"/>
      <w:r>
        <w:fldChar w:fldCharType="begin"/>
      </w:r>
      <w:r>
        <w:instrText xml:space="preserve"> HYPERLINK "https://www.beijing.gov.cn/zhengce/zhengcefagui/202511/t20251126_4305109.html" \h </w:instrText>
      </w:r>
      <w:r>
        <w:fldChar w:fldCharType="separate"/>
      </w:r>
      <w:r>
        <w:rPr>
          <w:rFonts w:ascii="inter" w:hAnsi="inter" w:eastAsia="inter" w:cs="inter"/>
          <w:color w:val="000000"/>
          <w:sz w:val="18"/>
          <w:u w:val="single"/>
        </w:rPr>
        <w:t>https://www.beijing.gov.cn/zhengce/zhengcefagui/202511/t20251126_4305109.html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A8897E">
      <w:pPr>
        <w:numPr>
          <w:ilvl w:val="0"/>
          <w:numId w:val="41"/>
        </w:numPr>
        <w:spacing w:after="210" w:line="360" w:lineRule="auto"/>
      </w:pPr>
      <w:bookmarkStart w:id="186" w:name="fn31"/>
      <w:bookmarkEnd w:id="186"/>
      <w:r>
        <w:fldChar w:fldCharType="begin"/>
      </w:r>
      <w:r>
        <w:instrText xml:space="preserve"> HYPERLINK "https://www.spp.gov.cn/spp/tt/202601/t20260115_715981.shtml" \h </w:instrText>
      </w:r>
      <w:r>
        <w:fldChar w:fldCharType="separate"/>
      </w:r>
      <w:r>
        <w:rPr>
          <w:rFonts w:ascii="inter" w:hAnsi="inter" w:eastAsia="inter" w:cs="inter"/>
          <w:color w:val="000000"/>
          <w:sz w:val="18"/>
          <w:u w:val="single"/>
        </w:rPr>
        <w:t>https://www.spp.gov.cn/spp/tt/202601/t20260115_715981.shtml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C54601">
      <w:pPr>
        <w:numPr>
          <w:ilvl w:val="0"/>
          <w:numId w:val="41"/>
        </w:numPr>
        <w:spacing w:after="210" w:line="360" w:lineRule="auto"/>
      </w:pPr>
      <w:bookmarkStart w:id="187" w:name="fn32"/>
      <w:bookmarkEnd w:id="187"/>
      <w:r>
        <w:fldChar w:fldCharType="begin"/>
      </w:r>
      <w:r>
        <w:instrText xml:space="preserve"> HYPERLINK "https://pdf.dfcfw.com/pdf/H3_AP202312281615148933_1.pdf" \h </w:instrText>
      </w:r>
      <w:r>
        <w:fldChar w:fldCharType="separate"/>
      </w:r>
      <w:r>
        <w:rPr>
          <w:rFonts w:ascii="inter" w:hAnsi="inter" w:eastAsia="inter" w:cs="inter"/>
          <w:color w:val="000000"/>
          <w:sz w:val="18"/>
          <w:u w:val="single"/>
        </w:rPr>
        <w:t>https://pdf.dfcfw.com/pdf/H3_AP202312281615148933_1.pdf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47FC24">
      <w:pPr>
        <w:numPr>
          <w:ilvl w:val="0"/>
          <w:numId w:val="41"/>
        </w:numPr>
        <w:spacing w:after="210" w:line="360" w:lineRule="auto"/>
      </w:pPr>
      <w:bookmarkStart w:id="188" w:name="fn33"/>
      <w:bookmarkEnd w:id="188"/>
      <w:r>
        <w:fldChar w:fldCharType="begin"/>
      </w:r>
      <w:r>
        <w:instrText xml:space="preserve"> HYPERLINK "https://ws.ndc.gov.tw/001/administrator/10/relfile/5644/2690/0062507.pdf" \h </w:instrText>
      </w:r>
      <w:r>
        <w:fldChar w:fldCharType="separate"/>
      </w:r>
      <w:r>
        <w:rPr>
          <w:rFonts w:ascii="inter" w:hAnsi="inter" w:eastAsia="inter" w:cs="inter"/>
          <w:color w:val="000000"/>
          <w:sz w:val="18"/>
          <w:u w:val="single"/>
        </w:rPr>
        <w:t>https://ws.ndc.gov.tw/001/administrator/10/relfile/5644/2690/0062507.pdf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2FBD9A">
      <w:pPr>
        <w:numPr>
          <w:ilvl w:val="0"/>
          <w:numId w:val="41"/>
        </w:numPr>
        <w:spacing w:after="210" w:line="360" w:lineRule="auto"/>
      </w:pPr>
      <w:bookmarkStart w:id="189" w:name="fn34"/>
      <w:bookmarkEnd w:id="189"/>
      <w:r>
        <w:fldChar w:fldCharType="begin"/>
      </w:r>
      <w:r>
        <w:instrText xml:space="preserve"> HYPERLINK "https://www.castelli-cycling.com/II/en/search/?text=Genialer+Intelligenter+Roboter+5.0+adaptive+lernmatrix" \h </w:instrText>
      </w:r>
      <w:r>
        <w:fldChar w:fldCharType="separate"/>
      </w:r>
      <w:r>
        <w:rPr>
          <w:rFonts w:ascii="inter" w:hAnsi="inter" w:eastAsia="inter" w:cs="inter"/>
          <w:color w:val="000000"/>
          <w:sz w:val="18"/>
          <w:u w:val="single"/>
        </w:rPr>
        <w:t>https://www.castelli-cycling.com/II/en/search/?text=Genialer+Intelligenter+Roboter+5.0+adaptive+lernmatrix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F2FB20">
      <w:pPr>
        <w:numPr>
          <w:ilvl w:val="0"/>
          <w:numId w:val="41"/>
        </w:numPr>
        <w:spacing w:after="210" w:line="360" w:lineRule="auto"/>
      </w:pPr>
      <w:bookmarkStart w:id="190" w:name="fn35"/>
      <w:bookmarkEnd w:id="190"/>
      <w:r>
        <w:fldChar w:fldCharType="begin"/>
      </w:r>
      <w:r>
        <w:instrText xml:space="preserve"> HYPERLINK "https://www.zzxk1979.cn/Uploads/PdfFile/2020-07-24/5f1aa54ca2233.pdf" \h </w:instrText>
      </w:r>
      <w:r>
        <w:fldChar w:fldCharType="separate"/>
      </w:r>
      <w:r>
        <w:rPr>
          <w:rFonts w:ascii="inter" w:hAnsi="inter" w:eastAsia="inter" w:cs="inter"/>
          <w:color w:val="000000"/>
          <w:sz w:val="18"/>
          <w:u w:val="single"/>
        </w:rPr>
        <w:t>https://www.zzxk1979.cn/Uploads/PdfFile/2020-07-24/5f1aa54ca2233.pdf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8CF011">
      <w:pPr>
        <w:numPr>
          <w:ilvl w:val="0"/>
          <w:numId w:val="41"/>
        </w:numPr>
        <w:spacing w:after="210" w:line="360" w:lineRule="auto"/>
      </w:pPr>
      <w:bookmarkStart w:id="191" w:name="fn36"/>
      <w:bookmarkEnd w:id="191"/>
      <w:r>
        <w:fldChar w:fldCharType="begin"/>
      </w:r>
      <w:r>
        <w:instrText xml:space="preserve"> HYPERLINK "http://ws.kinmen.gov.tw/001/Upload/422/govopendata/8e22ed14-23de-4dc3-995d-05cff7f9a425.pdf" \h </w:instrText>
      </w:r>
      <w:r>
        <w:fldChar w:fldCharType="separate"/>
      </w:r>
      <w:r>
        <w:rPr>
          <w:rFonts w:ascii="inter" w:hAnsi="inter" w:eastAsia="inter" w:cs="inter"/>
          <w:color w:val="000000"/>
          <w:sz w:val="18"/>
          <w:u w:val="single"/>
        </w:rPr>
        <w:t>http://ws.kinmen.gov.tw/001/Upload/422/govopendata/8e22ed14-23de-4dc3-995d-05cff7f9a425.pdf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78A307">
      <w:pPr>
        <w:numPr>
          <w:ilvl w:val="0"/>
          <w:numId w:val="41"/>
        </w:numPr>
        <w:spacing w:after="210" w:line="360" w:lineRule="auto"/>
      </w:pPr>
      <w:bookmarkStart w:id="192" w:name="fn37"/>
      <w:bookmarkEnd w:id="192"/>
      <w:r>
        <w:fldChar w:fldCharType="begin"/>
      </w:r>
      <w:r>
        <w:instrText xml:space="preserve"> HYPERLINK "https://digitallibrary.un.org/record/4037522/files/A_C.2_78_SR.13-ZH.pdf" \h </w:instrText>
      </w:r>
      <w:r>
        <w:fldChar w:fldCharType="separate"/>
      </w:r>
      <w:r>
        <w:rPr>
          <w:rFonts w:ascii="inter" w:hAnsi="inter" w:eastAsia="inter" w:cs="inter"/>
          <w:color w:val="000000"/>
          <w:sz w:val="18"/>
          <w:u w:val="single"/>
        </w:rPr>
        <w:t>https://digitallibrary.un.org/record/4037522/files/A_C.2_78_SR.13-ZH.pdf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7B59BA">
      <w:pPr>
        <w:numPr>
          <w:ilvl w:val="0"/>
          <w:numId w:val="41"/>
        </w:numPr>
        <w:spacing w:after="210" w:line="360" w:lineRule="auto"/>
      </w:pPr>
      <w:bookmarkStart w:id="193" w:name="fn38"/>
      <w:bookmarkEnd w:id="193"/>
      <w:r>
        <w:fldChar w:fldCharType="begin"/>
      </w:r>
      <w:r>
        <w:instrText xml:space="preserve"> HYPERLINK "https://www.legco.gov.hk/yr09-10/chinese/counmtg/floor/cm1029-confirm-ec.pdf" \h </w:instrText>
      </w:r>
      <w:r>
        <w:fldChar w:fldCharType="separate"/>
      </w:r>
      <w:r>
        <w:rPr>
          <w:rFonts w:ascii="inter" w:hAnsi="inter" w:eastAsia="inter" w:cs="inter"/>
          <w:color w:val="000000"/>
          <w:sz w:val="18"/>
          <w:u w:val="single"/>
        </w:rPr>
        <w:t>https://www.legco.gov.hk/yr09-10/chinese/counmtg/floor/cm1029-confirm-ec.pdf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EB9475">
      <w:pPr>
        <w:numPr>
          <w:ilvl w:val="0"/>
          <w:numId w:val="41"/>
        </w:numPr>
        <w:spacing w:after="210" w:line="360" w:lineRule="auto"/>
      </w:pPr>
      <w:bookmarkStart w:id="194" w:name="fn39"/>
      <w:bookmarkEnd w:id="194"/>
      <w:r>
        <w:fldChar w:fldCharType="begin"/>
      </w:r>
      <w:r>
        <w:instrText xml:space="preserve"> HYPERLINK "https://nhzht.nanhai.gov.cn/zht/attachment/download/2a170b0e-5fd5-4047-8fda-2264b79df7aa" \h </w:instrText>
      </w:r>
      <w:r>
        <w:fldChar w:fldCharType="separate"/>
      </w:r>
      <w:r>
        <w:rPr>
          <w:rFonts w:ascii="inter" w:hAnsi="inter" w:eastAsia="inter" w:cs="inter"/>
          <w:color w:val="000000"/>
          <w:sz w:val="18"/>
          <w:u w:val="single"/>
        </w:rPr>
        <w:t>https://nhzht.nanhai.gov.cn/zht/attachment/download/2a170b0e-5fd5-4047-8fda-2264b79df7aa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347E4D">
      <w:pPr>
        <w:numPr>
          <w:ilvl w:val="0"/>
          <w:numId w:val="41"/>
        </w:numPr>
        <w:spacing w:after="210" w:line="360" w:lineRule="auto"/>
      </w:pPr>
      <w:bookmarkStart w:id="195" w:name="fn40"/>
      <w:bookmarkEnd w:id="195"/>
      <w:r>
        <w:fldChar w:fldCharType="begin"/>
      </w:r>
      <w:r>
        <w:instrText xml:space="preserve"> HYPERLINK "https://patents.google.com/patent/CN1293388A/zh" \h </w:instrText>
      </w:r>
      <w:r>
        <w:fldChar w:fldCharType="separate"/>
      </w:r>
      <w:r>
        <w:rPr>
          <w:rFonts w:ascii="inter" w:hAnsi="inter" w:eastAsia="inter" w:cs="inter"/>
          <w:color w:val="000000"/>
          <w:sz w:val="18"/>
          <w:u w:val="single"/>
        </w:rPr>
        <w:t>https://patents.google.com/patent/CN1293388A/zh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820ADC">
      <w:pPr>
        <w:numPr>
          <w:ilvl w:val="0"/>
          <w:numId w:val="41"/>
        </w:numPr>
        <w:spacing w:after="210" w:line="360" w:lineRule="auto"/>
      </w:pPr>
      <w:bookmarkStart w:id="196" w:name="fn41"/>
      <w:bookmarkEnd w:id="196"/>
      <w:r>
        <w:fldChar w:fldCharType="begin"/>
      </w:r>
      <w:r>
        <w:instrText xml:space="preserve"> HYPERLINK "https://tdr.lib.ntu.edu.tw/bitstream/123456789/89708/1/ntu-110-2.pdf" \h </w:instrText>
      </w:r>
      <w:r>
        <w:fldChar w:fldCharType="separate"/>
      </w:r>
      <w:r>
        <w:rPr>
          <w:rFonts w:ascii="inter" w:hAnsi="inter" w:eastAsia="inter" w:cs="inter"/>
          <w:color w:val="000000"/>
          <w:sz w:val="18"/>
          <w:u w:val="single"/>
        </w:rPr>
        <w:t>https://tdr.lib.ntu.edu.tw/bitstream/123456789/89708/1/ntu-110-2.pdf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6C2258">
      <w:pPr>
        <w:numPr>
          <w:ilvl w:val="0"/>
          <w:numId w:val="41"/>
        </w:numPr>
        <w:spacing w:after="210" w:line="360" w:lineRule="auto"/>
      </w:pPr>
      <w:bookmarkStart w:id="197" w:name="fn42"/>
      <w:bookmarkEnd w:id="197"/>
      <w:r>
        <w:fldChar w:fldCharType="begin"/>
      </w:r>
      <w:r>
        <w:instrText xml:space="preserve"> HYPERLINK "https://sites.google.com/uou.xintaitong.com/nss7/google%E7%AB%99%E7%BE%A4%E7%A8%8B%E5%BA%8F" \h </w:instrText>
      </w:r>
      <w:r>
        <w:fldChar w:fldCharType="separate"/>
      </w:r>
      <w:r>
        <w:rPr>
          <w:rFonts w:ascii="inter" w:hAnsi="inter" w:eastAsia="inter" w:cs="inter"/>
          <w:color w:val="000000"/>
          <w:sz w:val="18"/>
          <w:u w:val="single"/>
        </w:rPr>
        <w:t>https://sites.google.com/uou.xintaitong.com/nss7/google站群程序</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E35680">
      <w:pPr>
        <w:numPr>
          <w:ilvl w:val="0"/>
          <w:numId w:val="41"/>
        </w:numPr>
        <w:spacing w:after="210" w:line="360" w:lineRule="auto"/>
      </w:pPr>
      <w:bookmarkStart w:id="198" w:name="fn43"/>
      <w:bookmarkEnd w:id="198"/>
      <w:r>
        <w:fldChar w:fldCharType="begin"/>
      </w:r>
      <w:r>
        <w:instrText xml:space="preserve"> HYPERLINK "https://huggingface.co/espnet/myst_ogi_cmu_kids_owsm_v3.1" \h </w:instrText>
      </w:r>
      <w:r>
        <w:fldChar w:fldCharType="separate"/>
      </w:r>
      <w:r>
        <w:rPr>
          <w:rFonts w:ascii="inter" w:hAnsi="inter" w:eastAsia="inter" w:cs="inter"/>
          <w:color w:val="000000"/>
          <w:sz w:val="18"/>
          <w:u w:val="single"/>
        </w:rPr>
        <w:t>https://huggingface.co/espnet/myst_ogi_cmu_kids_owsm_v3.1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37EBEC">
      <w:pPr>
        <w:numPr>
          <w:ilvl w:val="0"/>
          <w:numId w:val="41"/>
        </w:numPr>
        <w:spacing w:after="210" w:line="360" w:lineRule="auto"/>
      </w:pPr>
      <w:bookmarkStart w:id="199" w:name="fn44"/>
      <w:bookmarkEnd w:id="199"/>
      <w:r>
        <w:fldChar w:fldCharType="begin"/>
      </w:r>
      <w:r>
        <w:instrText xml:space="preserve"> HYPERLINK "https://www.aisf.or.jp/sgrareport/Report86Chinese.pdf" \h </w:instrText>
      </w:r>
      <w:r>
        <w:fldChar w:fldCharType="separate"/>
      </w:r>
      <w:r>
        <w:rPr>
          <w:rFonts w:ascii="inter" w:hAnsi="inter" w:eastAsia="inter" w:cs="inter"/>
          <w:color w:val="000000"/>
          <w:sz w:val="18"/>
          <w:u w:val="single"/>
        </w:rPr>
        <w:t>https://www.aisf.or.jp/sgrareport/Report86Chinese.pdf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6DE3F9">
      <w:pPr>
        <w:numPr>
          <w:ilvl w:val="0"/>
          <w:numId w:val="41"/>
        </w:numPr>
        <w:spacing w:after="210" w:line="360" w:lineRule="auto"/>
      </w:pPr>
      <w:bookmarkStart w:id="200" w:name="fn45"/>
      <w:bookmarkEnd w:id="200"/>
      <w:r>
        <w:fldChar w:fldCharType="begin"/>
      </w:r>
      <w:r>
        <w:instrText xml:space="preserve"> HYPERLINK "https://ghzyj.gz.gov.cn/attachment/7/7555/7555749/9499281.pdf" \h </w:instrText>
      </w:r>
      <w:r>
        <w:fldChar w:fldCharType="separate"/>
      </w:r>
      <w:r>
        <w:rPr>
          <w:rFonts w:ascii="inter" w:hAnsi="inter" w:eastAsia="inter" w:cs="inter"/>
          <w:color w:val="000000"/>
          <w:sz w:val="18"/>
          <w:u w:val="single"/>
        </w:rPr>
        <w:t>https://ghzyj.gz.gov.cn/attachment/7/7555/7555749/9499281.pdf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02EE4F">
      <w:pPr>
        <w:numPr>
          <w:ilvl w:val="0"/>
          <w:numId w:val="41"/>
        </w:numPr>
        <w:spacing w:after="210" w:line="360" w:lineRule="auto"/>
      </w:pPr>
      <w:bookmarkStart w:id="201" w:name="fn46"/>
      <w:bookmarkEnd w:id="201"/>
      <w:r>
        <w:fldChar w:fldCharType="begin"/>
      </w:r>
      <w:r>
        <w:instrText xml:space="preserve"> HYPERLINK "https://github.com/YangBin1729/nlp_notes/blob/master/06-%E8%87%AA%E7%84%B6%E8%AF%AD%E8%A8%80%E5%A4%84%E7%90%86/51-XLNet%E6%A8%A1%E5%9E%8B.ipynb" \h </w:instrText>
      </w:r>
      <w:r>
        <w:fldChar w:fldCharType="separate"/>
      </w:r>
      <w:r>
        <w:rPr>
          <w:rFonts w:ascii="inter" w:hAnsi="inter" w:eastAsia="inter" w:cs="inter"/>
          <w:color w:val="000000"/>
          <w:sz w:val="18"/>
          <w:u w:val="single"/>
        </w:rPr>
        <w:t>https://github.com/YangBin1729/nlp_notes/blob/master/06-自然语言处理/51-XLNet模型.ipynb</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1FCF38">
      <w:pPr>
        <w:numPr>
          <w:ilvl w:val="0"/>
          <w:numId w:val="41"/>
        </w:numPr>
        <w:spacing w:after="210" w:line="360" w:lineRule="auto"/>
      </w:pPr>
      <w:bookmarkStart w:id="202" w:name="fn47"/>
      <w:bookmarkEnd w:id="202"/>
      <w:r>
        <w:fldChar w:fldCharType="begin"/>
      </w:r>
      <w:r>
        <w:instrText xml:space="preserve"> HYPERLINK "http://www.scio.gov.cn/live/2025/37532/index.html" \h </w:instrText>
      </w:r>
      <w:r>
        <w:fldChar w:fldCharType="separate"/>
      </w:r>
      <w:r>
        <w:rPr>
          <w:rFonts w:ascii="inter" w:hAnsi="inter" w:eastAsia="inter" w:cs="inter"/>
          <w:color w:val="000000"/>
          <w:sz w:val="18"/>
          <w:u w:val="single"/>
        </w:rPr>
        <w:t>http://www.scio.gov.cn/live/2025/37532/index.html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7E9EF1">
      <w:pPr>
        <w:numPr>
          <w:ilvl w:val="0"/>
          <w:numId w:val="41"/>
        </w:numPr>
        <w:spacing w:after="210" w:line="360" w:lineRule="auto"/>
      </w:pPr>
      <w:bookmarkStart w:id="203" w:name="fn48"/>
      <w:bookmarkEnd w:id="203"/>
      <w:r>
        <w:fldChar w:fldCharType="begin"/>
      </w:r>
      <w:r>
        <w:instrText xml:space="preserve"> HYPERLINK "https://www.shmet.com/news/newsDetail-2-907724.html" \h </w:instrText>
      </w:r>
      <w:r>
        <w:fldChar w:fldCharType="separate"/>
      </w:r>
      <w:r>
        <w:rPr>
          <w:rFonts w:ascii="inter" w:hAnsi="inter" w:eastAsia="inter" w:cs="inter"/>
          <w:color w:val="000000"/>
          <w:sz w:val="18"/>
          <w:u w:val="single"/>
        </w:rPr>
        <w:t>https://www.shmet.com/news/newsDetail-2-907724.html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4B225F">
      <w:pPr>
        <w:numPr>
          <w:ilvl w:val="0"/>
          <w:numId w:val="41"/>
        </w:numPr>
        <w:spacing w:after="210" w:line="360" w:lineRule="auto"/>
      </w:pPr>
      <w:bookmarkStart w:id="204" w:name="fn49"/>
      <w:bookmarkEnd w:id="204"/>
      <w:r>
        <w:fldChar w:fldCharType="begin"/>
      </w:r>
      <w:r>
        <w:instrText xml:space="preserve"> HYPERLINK "http://www.fangchan.com/news/320/2026-01-04/7413433760265605280.html" \h </w:instrText>
      </w:r>
      <w:r>
        <w:fldChar w:fldCharType="separate"/>
      </w:r>
      <w:r>
        <w:rPr>
          <w:rFonts w:ascii="inter" w:hAnsi="inter" w:eastAsia="inter" w:cs="inter"/>
          <w:color w:val="000000"/>
          <w:sz w:val="18"/>
          <w:u w:val="single"/>
        </w:rPr>
        <w:t>http://www.fangchan.com/news/320/2026-01-04/7413433760265605280.html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43E44C">
      <w:pPr>
        <w:numPr>
          <w:ilvl w:val="0"/>
          <w:numId w:val="41"/>
        </w:numPr>
        <w:spacing w:after="210" w:line="360" w:lineRule="auto"/>
      </w:pPr>
      <w:bookmarkStart w:id="205" w:name="fn50"/>
      <w:bookmarkEnd w:id="205"/>
      <w:r>
        <w:fldChar w:fldCharType="begin"/>
      </w:r>
      <w:r>
        <w:instrText xml:space="preserve"> HYPERLINK "http://www.news.cn/house/20251110/4115c21e93b34715aa0e9f7603eb1988/c.html" \h </w:instrText>
      </w:r>
      <w:r>
        <w:fldChar w:fldCharType="separate"/>
      </w:r>
      <w:r>
        <w:rPr>
          <w:rFonts w:ascii="inter" w:hAnsi="inter" w:eastAsia="inter" w:cs="inter"/>
          <w:color w:val="000000"/>
          <w:sz w:val="18"/>
          <w:u w:val="single"/>
        </w:rPr>
        <w:t>http://www.news.cn/house/20251110/4115c21e93b34715aa0e9f7603eb1988/c.html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A92B8D">
      <w:pPr>
        <w:numPr>
          <w:ilvl w:val="0"/>
          <w:numId w:val="41"/>
        </w:numPr>
        <w:spacing w:after="210" w:line="360" w:lineRule="auto"/>
      </w:pPr>
      <w:bookmarkStart w:id="206" w:name="fn51"/>
      <w:bookmarkEnd w:id="206"/>
      <w:r>
        <w:fldChar w:fldCharType="begin"/>
      </w:r>
      <w:r>
        <w:instrText xml:space="preserve"> HYPERLINK "https://www.cztv.com/newsDetail/823574" \h </w:instrText>
      </w:r>
      <w:r>
        <w:fldChar w:fldCharType="separate"/>
      </w:r>
      <w:r>
        <w:rPr>
          <w:rFonts w:ascii="inter" w:hAnsi="inter" w:eastAsia="inter" w:cs="inter"/>
          <w:color w:val="000000"/>
          <w:sz w:val="18"/>
          <w:u w:val="single"/>
        </w:rPr>
        <w:t>https://www.cztv.com/newsDetail/823574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B62950">
      <w:pPr>
        <w:numPr>
          <w:ilvl w:val="0"/>
          <w:numId w:val="41"/>
        </w:numPr>
        <w:spacing w:after="210" w:line="360" w:lineRule="auto"/>
      </w:pPr>
      <w:bookmarkStart w:id="207" w:name="fn52"/>
      <w:bookmarkEnd w:id="207"/>
      <w:r>
        <w:fldChar w:fldCharType="begin"/>
      </w:r>
      <w:r>
        <w:instrText xml:space="preserve"> HYPERLINK "http://www.cb.com.cn/index/show/gs3/cv/cv12544397157" \h </w:instrText>
      </w:r>
      <w:r>
        <w:fldChar w:fldCharType="separate"/>
      </w:r>
      <w:r>
        <w:rPr>
          <w:rFonts w:ascii="inter" w:hAnsi="inter" w:eastAsia="inter" w:cs="inter"/>
          <w:color w:val="000000"/>
          <w:sz w:val="18"/>
          <w:u w:val="single"/>
        </w:rPr>
        <w:t>http://www.cb.com.cn/index/show/gs3/cv/cv12544397157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71AE74">
      <w:pPr>
        <w:numPr>
          <w:ilvl w:val="0"/>
          <w:numId w:val="41"/>
        </w:numPr>
        <w:spacing w:after="210" w:line="360" w:lineRule="auto"/>
      </w:pPr>
      <w:bookmarkStart w:id="208" w:name="fn53"/>
      <w:bookmarkEnd w:id="208"/>
      <w:r>
        <w:fldChar w:fldCharType="begin"/>
      </w:r>
      <w:r>
        <w:instrText xml:space="preserve"> HYPERLINK "https://documents1.worldbank.org/curated/en/269021549374933472/pdf/123149-USF-1st-Edition-CN-V-0727.pdf" \h </w:instrText>
      </w:r>
      <w:r>
        <w:fldChar w:fldCharType="separate"/>
      </w:r>
      <w:r>
        <w:rPr>
          <w:rFonts w:ascii="inter" w:hAnsi="inter" w:eastAsia="inter" w:cs="inter"/>
          <w:color w:val="000000"/>
          <w:sz w:val="18"/>
          <w:u w:val="single"/>
        </w:rPr>
        <w:t>https://documents1.worldbank.org/curated/en/269021549374933472/pdf/123149-USF-1st-Edition-CN-V-0727.pdf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44ABD8">
      <w:pPr>
        <w:numPr>
          <w:ilvl w:val="0"/>
          <w:numId w:val="41"/>
        </w:numPr>
        <w:spacing w:after="210" w:line="360" w:lineRule="auto"/>
      </w:pPr>
      <w:bookmarkStart w:id="209" w:name="fn54"/>
      <w:bookmarkEnd w:id="209"/>
      <w:r>
        <w:fldChar w:fldCharType="begin"/>
      </w:r>
      <w:r>
        <w:instrText xml:space="preserve"> HYPERLINK "https://dkj.xizang.gov.cn/zwgk/zcfg/202004/P020210525636439308840.pdf" \h </w:instrText>
      </w:r>
      <w:r>
        <w:fldChar w:fldCharType="separate"/>
      </w:r>
      <w:r>
        <w:rPr>
          <w:rFonts w:ascii="inter" w:hAnsi="inter" w:eastAsia="inter" w:cs="inter"/>
          <w:color w:val="000000"/>
          <w:sz w:val="18"/>
          <w:u w:val="single"/>
        </w:rPr>
        <w:t>https://dkj.xizang.gov.cn/zwgk/zcfg/202004/P020210525636439308840.pdf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F9B412">
      <w:pPr>
        <w:numPr>
          <w:ilvl w:val="0"/>
          <w:numId w:val="41"/>
        </w:numPr>
        <w:spacing w:after="210" w:line="360" w:lineRule="auto"/>
      </w:pPr>
      <w:bookmarkStart w:id="210" w:name="fn55"/>
      <w:bookmarkEnd w:id="210"/>
      <w:r>
        <w:fldChar w:fldCharType="begin"/>
      </w:r>
      <w:r>
        <w:instrText xml:space="preserve"> HYPERLINK "http://www.archina.com/index.php?g=portal&amp;m=to&amp;a=index&amp;tg=Portal&amp;tm=index&amp;ta=show&amp;id=10531" \h </w:instrText>
      </w:r>
      <w:r>
        <w:fldChar w:fldCharType="separate"/>
      </w:r>
      <w:r>
        <w:rPr>
          <w:rFonts w:ascii="inter" w:hAnsi="inter" w:eastAsia="inter" w:cs="inter"/>
          <w:color w:val="000000"/>
          <w:sz w:val="18"/>
          <w:u w:val="single"/>
        </w:rPr>
        <w:t>http://www.archina.com/index.php?g=portal&amp;m=to&amp;a=index&amp;tg=Portal&amp;tm=index&amp;ta=show&amp;id=10531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B734CE">
      <w:pPr>
        <w:numPr>
          <w:ilvl w:val="0"/>
          <w:numId w:val="41"/>
        </w:numPr>
        <w:spacing w:after="210" w:line="360" w:lineRule="auto"/>
      </w:pPr>
      <w:bookmarkStart w:id="211" w:name="fn56"/>
      <w:bookmarkEnd w:id="211"/>
      <w:r>
        <w:fldChar w:fldCharType="begin"/>
      </w:r>
      <w:r>
        <w:instrText xml:space="preserve"> HYPERLINK "https://www.gsm.pku.edu.cn/info/1740/27061.htm" \h </w:instrText>
      </w:r>
      <w:r>
        <w:fldChar w:fldCharType="separate"/>
      </w:r>
      <w:r>
        <w:rPr>
          <w:rFonts w:ascii="inter" w:hAnsi="inter" w:eastAsia="inter" w:cs="inter"/>
          <w:color w:val="000000"/>
          <w:sz w:val="18"/>
          <w:u w:val="single"/>
        </w:rPr>
        <w:t>https://www.gsm.pku.edu.cn/info/1740/27061.htm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98858E">
      <w:pPr>
        <w:numPr>
          <w:ilvl w:val="0"/>
          <w:numId w:val="41"/>
        </w:numPr>
        <w:spacing w:after="210" w:line="360" w:lineRule="auto"/>
      </w:pPr>
      <w:bookmarkStart w:id="212" w:name="fn57"/>
      <w:bookmarkEnd w:id="212"/>
      <w:r>
        <w:fldChar w:fldCharType="begin"/>
      </w:r>
      <w:r>
        <w:instrText xml:space="preserve"> HYPERLINK "https://www.adb.org/sites/default/files/publication/29943/toward-environmentally-sustainable-future-prc-zh_0.pdf" \h </w:instrText>
      </w:r>
      <w:r>
        <w:fldChar w:fldCharType="separate"/>
      </w:r>
      <w:r>
        <w:rPr>
          <w:rFonts w:ascii="inter" w:hAnsi="inter" w:eastAsia="inter" w:cs="inter"/>
          <w:color w:val="000000"/>
          <w:sz w:val="18"/>
          <w:u w:val="single"/>
        </w:rPr>
        <w:t>https://www.adb.org/sites/default/files/publication/29943/toward-environmentally-sustainable-future-prc-zh_0.pdf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68F161">
      <w:pPr>
        <w:numPr>
          <w:ilvl w:val="0"/>
          <w:numId w:val="41"/>
        </w:numPr>
        <w:spacing w:after="210" w:line="360" w:lineRule="auto"/>
      </w:pPr>
      <w:bookmarkStart w:id="213" w:name="fn58"/>
      <w:bookmarkEnd w:id="213"/>
      <w:r>
        <w:fldChar w:fldCharType="begin"/>
      </w:r>
      <w:r>
        <w:instrText xml:space="preserve"> HYPERLINK "https://www.cscec.com/tzzgxnew/ESGbg/202508/P020250821538528334028.pdf" \h </w:instrText>
      </w:r>
      <w:r>
        <w:fldChar w:fldCharType="separate"/>
      </w:r>
      <w:r>
        <w:rPr>
          <w:rFonts w:ascii="inter" w:hAnsi="inter" w:eastAsia="inter" w:cs="inter"/>
          <w:color w:val="000000"/>
          <w:sz w:val="18"/>
          <w:u w:val="single"/>
        </w:rPr>
        <w:t>https://www.cscec.com/tzzgxnew/ESGbg/202508/P020250821538528334028.pdf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9EA116">
      <w:pPr>
        <w:numPr>
          <w:ilvl w:val="0"/>
          <w:numId w:val="41"/>
        </w:numPr>
        <w:spacing w:after="210" w:line="360" w:lineRule="auto"/>
      </w:pPr>
      <w:bookmarkStart w:id="214" w:name="fn59"/>
      <w:bookmarkEnd w:id="214"/>
      <w:r>
        <w:fldChar w:fldCharType="begin"/>
      </w:r>
      <w:r>
        <w:instrText xml:space="preserve"> HYPERLINK "http://www.fzzx.sh.gov.cn/13_edj/20230214/25ecf357872444b89d8e4148a0aaf9af.html" \h </w:instrText>
      </w:r>
      <w:r>
        <w:fldChar w:fldCharType="separate"/>
      </w:r>
      <w:r>
        <w:rPr>
          <w:rFonts w:ascii="inter" w:hAnsi="inter" w:eastAsia="inter" w:cs="inter"/>
          <w:color w:val="000000"/>
          <w:sz w:val="18"/>
          <w:u w:val="single"/>
        </w:rPr>
        <w:t>http://www.fzzx.sh.gov.cn/13_edj/20230214/25ecf357872444b89d8e4148a0aaf9af.html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67CFC3">
      <w:pPr>
        <w:numPr>
          <w:ilvl w:val="0"/>
          <w:numId w:val="41"/>
        </w:numPr>
        <w:spacing w:after="210" w:line="360" w:lineRule="auto"/>
      </w:pPr>
      <w:bookmarkStart w:id="215" w:name="fn60"/>
      <w:bookmarkEnd w:id="215"/>
      <w:r>
        <w:fldChar w:fldCharType="begin"/>
      </w:r>
      <w:r>
        <w:instrText xml:space="preserve"> HYPERLINK "https://www.eeas.europa.eu/sites/default/files/shi_xian_jing_ji_de_lu_se_fu_su_-zhong_ou_he_zuo_yan_jiu_cn_final.pdf" \h </w:instrText>
      </w:r>
      <w:r>
        <w:fldChar w:fldCharType="separate"/>
      </w:r>
      <w:r>
        <w:rPr>
          <w:rFonts w:ascii="inter" w:hAnsi="inter" w:eastAsia="inter" w:cs="inter"/>
          <w:color w:val="000000"/>
          <w:sz w:val="18"/>
          <w:u w:val="single"/>
        </w:rPr>
        <w:t>https://www.eeas.europa.eu/sites/default/files/shi_xian_jing_ji_de_lu_se_fu_su_-zhong_ou_he_zuo_yan_jiu_cn_final.pdf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4F0157">
      <w:pPr>
        <w:numPr>
          <w:ilvl w:val="0"/>
          <w:numId w:val="41"/>
        </w:numPr>
        <w:spacing w:after="210" w:line="360" w:lineRule="auto"/>
      </w:pPr>
      <w:bookmarkStart w:id="216" w:name="fn61"/>
      <w:bookmarkEnd w:id="216"/>
      <w:r>
        <w:fldChar w:fldCharType="begin"/>
      </w:r>
      <w:r>
        <w:instrText xml:space="preserve"> HYPERLINK "https://www.pwccn.com/zh/blog/state-owned-enterprise-soe/compliance-risk-control-and-reform.pdf" \h </w:instrText>
      </w:r>
      <w:r>
        <w:fldChar w:fldCharType="separate"/>
      </w:r>
      <w:r>
        <w:rPr>
          <w:rFonts w:ascii="inter" w:hAnsi="inter" w:eastAsia="inter" w:cs="inter"/>
          <w:color w:val="000000"/>
          <w:sz w:val="18"/>
          <w:u w:val="single"/>
        </w:rPr>
        <w:t>https://www.pwccn.com/zh/blog/state-owned-enterprise-soe/compliance-risk-control-and-reform.pdf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91F47A">
      <w:pPr>
        <w:numPr>
          <w:ilvl w:val="0"/>
          <w:numId w:val="41"/>
        </w:numPr>
        <w:spacing w:after="210" w:line="360" w:lineRule="auto"/>
      </w:pPr>
      <w:bookmarkStart w:id="217" w:name="fn62"/>
      <w:bookmarkEnd w:id="217"/>
      <w:r>
        <w:fldChar w:fldCharType="begin"/>
      </w:r>
      <w:r>
        <w:instrText xml:space="preserve"> HYPERLINK "https://tw.stock.yahoo.com/news/%E5%8A%8D%E6%8C%87%E4%B8%AD%E5%9C%8B-%E7%BE%8E%E7%AB%8B%E6%B3%95%E7%AE%A1%E5%88%B6%E9%81%A0%E7%AB%AF%E5%8F%96%E5%BE%97%E7%AE%97%E5%8A%9B-201000485.html" \h </w:instrText>
      </w:r>
      <w:r>
        <w:fldChar w:fldCharType="separate"/>
      </w:r>
      <w:r>
        <w:rPr>
          <w:rFonts w:ascii="inter" w:hAnsi="inter" w:eastAsia="inter" w:cs="inter"/>
          <w:color w:val="000000"/>
          <w:sz w:val="18"/>
          <w:u w:val="single"/>
        </w:rPr>
        <w:t>https://tw.stock.yahoo.com/news/劍指中國-美立法管制遠端取得算力-201000485.html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0B5F8E">
      <w:pPr>
        <w:numPr>
          <w:ilvl w:val="0"/>
          <w:numId w:val="41"/>
        </w:numPr>
        <w:spacing w:after="210" w:line="360" w:lineRule="auto"/>
      </w:pPr>
      <w:bookmarkStart w:id="218" w:name="fn63"/>
      <w:bookmarkEnd w:id="218"/>
      <w:r>
        <w:fldChar w:fldCharType="begin"/>
      </w:r>
      <w:r>
        <w:instrText xml:space="preserve"> HYPERLINK "https://iigf.cufe.edu.cn/info/1012/4326.htm" \h </w:instrText>
      </w:r>
      <w:r>
        <w:fldChar w:fldCharType="separate"/>
      </w:r>
      <w:r>
        <w:rPr>
          <w:rFonts w:ascii="inter" w:hAnsi="inter" w:eastAsia="inter" w:cs="inter"/>
          <w:color w:val="000000"/>
          <w:sz w:val="18"/>
          <w:u w:val="single"/>
        </w:rPr>
        <w:t>https://iigf.cufe.edu.cn/info/1012/4326.htm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484C1D">
      <w:pPr>
        <w:numPr>
          <w:ilvl w:val="0"/>
          <w:numId w:val="41"/>
        </w:numPr>
        <w:spacing w:after="210" w:line="360" w:lineRule="auto"/>
      </w:pPr>
      <w:bookmarkStart w:id="219" w:name="fn64"/>
      <w:bookmarkEnd w:id="219"/>
      <w:r>
        <w:fldChar w:fldCharType="begin"/>
      </w:r>
      <w:r>
        <w:instrText xml:space="preserve"> HYPERLINK "https://www.nfra.gov.cn/cn/view/pages/ItemDetail.html?docId=1226719&amp;itemId=920" \h </w:instrText>
      </w:r>
      <w:r>
        <w:fldChar w:fldCharType="separate"/>
      </w:r>
      <w:r>
        <w:rPr>
          <w:rFonts w:ascii="inter" w:hAnsi="inter" w:eastAsia="inter" w:cs="inter"/>
          <w:color w:val="000000"/>
          <w:sz w:val="18"/>
          <w:u w:val="single"/>
        </w:rPr>
        <w:t>https://www.nfra.gov.cn/cn/view/pages/ItemDetail.html?docId=1226719&amp;itemId=920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0EEBC4">
      <w:pPr>
        <w:numPr>
          <w:ilvl w:val="0"/>
          <w:numId w:val="41"/>
        </w:numPr>
        <w:spacing w:after="210" w:line="360" w:lineRule="auto"/>
      </w:pPr>
      <w:bookmarkStart w:id="220" w:name="fn65"/>
      <w:bookmarkEnd w:id="220"/>
      <w:r>
        <w:fldChar w:fldCharType="begin"/>
      </w:r>
      <w:r>
        <w:instrText xml:space="preserve"> HYPERLINK "https://sfregionalcouncil.org/chha-2/?s-news-16555410-2025-12-03-zhong-ji-and-qiang-zai-shang-hai-shen-zhen-zhi-zi-guan-zi-chan-xin-hao" \h </w:instrText>
      </w:r>
      <w:r>
        <w:fldChar w:fldCharType="separate"/>
      </w:r>
      <w:r>
        <w:rPr>
          <w:rFonts w:ascii="inter" w:hAnsi="inter" w:eastAsia="inter" w:cs="inter"/>
          <w:color w:val="000000"/>
          <w:sz w:val="18"/>
          <w:u w:val="single"/>
        </w:rPr>
        <w:t>https://sfregionalcouncil.org/chha-2/?s-news-16555410-2025-12-03-zhong-ji-and-qiang-zai-shang-hai-shen-zhen-zhi-zi-guan-zi-chan-xin-hao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9665A0">
      <w:pPr>
        <w:numPr>
          <w:ilvl w:val="0"/>
          <w:numId w:val="41"/>
        </w:numPr>
        <w:spacing w:after="210" w:line="360" w:lineRule="auto"/>
      </w:pPr>
      <w:bookmarkStart w:id="221" w:name="fn66"/>
      <w:bookmarkEnd w:id="221"/>
      <w:r>
        <w:fldChar w:fldCharType="begin"/>
      </w:r>
      <w:r>
        <w:instrText xml:space="preserve"> HYPERLINK "http://www.news.cn/info/20260115/bfe2e28c80d24a9dbdcec2448886faa7/c.html" \h </w:instrText>
      </w:r>
      <w:r>
        <w:fldChar w:fldCharType="separate"/>
      </w:r>
      <w:r>
        <w:rPr>
          <w:rFonts w:ascii="inter" w:hAnsi="inter" w:eastAsia="inter" w:cs="inter"/>
          <w:color w:val="000000"/>
          <w:sz w:val="18"/>
          <w:u w:val="single"/>
        </w:rPr>
        <w:t>http://www.news.cn/info/20260115/bfe2e28c80d24a9dbdcec2448886faa7/c.html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935E20">
      <w:pPr>
        <w:numPr>
          <w:ilvl w:val="0"/>
          <w:numId w:val="41"/>
        </w:numPr>
        <w:spacing w:after="210" w:line="360" w:lineRule="auto"/>
      </w:pPr>
      <w:bookmarkStart w:id="222" w:name="fn67"/>
      <w:bookmarkEnd w:id="222"/>
      <w:r>
        <w:fldChar w:fldCharType="begin"/>
      </w:r>
      <w:r>
        <w:instrText xml:space="preserve"> HYPERLINK "https://bilsport.no/informasjon-fra-kartingseksjonen-4/?s-news-16555410-2025-12-03-zhong-ji-and-qiang-zai-shang-hai-shen-zhen-zhi-zi-guan-zi-chan-xin-hao" \h </w:instrText>
      </w:r>
      <w:r>
        <w:fldChar w:fldCharType="separate"/>
      </w:r>
      <w:r>
        <w:rPr>
          <w:rFonts w:ascii="inter" w:hAnsi="inter" w:eastAsia="inter" w:cs="inter"/>
          <w:color w:val="000000"/>
          <w:sz w:val="18"/>
          <w:u w:val="single"/>
        </w:rPr>
        <w:t>https://bilsport.no/informasjon-fra-kartingseksjonen-4/?s-news-16555410-2025-12-03-zhong-ji-and-qiang-zai-shang-hai-shen-zhen-zhi-zi-guan-zi-chan-xin-hao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B31568">
      <w:pPr>
        <w:numPr>
          <w:ilvl w:val="0"/>
          <w:numId w:val="41"/>
        </w:numPr>
        <w:spacing w:after="210" w:line="360" w:lineRule="auto"/>
      </w:pPr>
      <w:bookmarkStart w:id="223" w:name="fn68"/>
      <w:bookmarkEnd w:id="223"/>
      <w:r>
        <w:fldChar w:fldCharType="begin"/>
      </w:r>
      <w:r>
        <w:instrText xml:space="preserve"> HYPERLINK "https://ciecc.ec.com.cn/swyj/zjgd/2025/12/0240834d04fd4499925bfb3887262ada825.html" \h </w:instrText>
      </w:r>
      <w:r>
        <w:fldChar w:fldCharType="separate"/>
      </w:r>
      <w:r>
        <w:rPr>
          <w:rFonts w:ascii="inter" w:hAnsi="inter" w:eastAsia="inter" w:cs="inter"/>
          <w:color w:val="000000"/>
          <w:sz w:val="18"/>
          <w:u w:val="single"/>
        </w:rPr>
        <w:t>https://ciecc.ec.com.cn/swyj/zjgd/2025/12/0240834d04fd4499925bfb3887262ada825.html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09CEDD">
      <w:pPr>
        <w:numPr>
          <w:ilvl w:val="0"/>
          <w:numId w:val="41"/>
        </w:numPr>
        <w:spacing w:after="210" w:line="360" w:lineRule="auto"/>
      </w:pPr>
      <w:bookmarkStart w:id="224" w:name="fn69"/>
      <w:bookmarkEnd w:id="224"/>
      <w:r>
        <w:fldChar w:fldCharType="begin"/>
      </w:r>
      <w:r>
        <w:instrText xml:space="preserve"> HYPERLINK "https://app.dahecube.com/nweb/pc/article.html?artid=258169%3Frecid%3D74" \h </w:instrText>
      </w:r>
      <w:r>
        <w:fldChar w:fldCharType="separate"/>
      </w:r>
      <w:r>
        <w:rPr>
          <w:rFonts w:ascii="inter" w:hAnsi="inter" w:eastAsia="inter" w:cs="inter"/>
          <w:color w:val="000000"/>
          <w:sz w:val="18"/>
          <w:u w:val="single"/>
        </w:rPr>
        <w:t>https://app.dahecube.com/nweb/pc/article.html?artid=258169%3Frecid%3D74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70978E">
      <w:pPr>
        <w:numPr>
          <w:ilvl w:val="0"/>
          <w:numId w:val="41"/>
        </w:numPr>
        <w:spacing w:after="210" w:line="360" w:lineRule="auto"/>
      </w:pPr>
      <w:bookmarkStart w:id="225" w:name="fn70"/>
      <w:bookmarkEnd w:id="225"/>
      <w:r>
        <w:fldChar w:fldCharType="begin"/>
      </w:r>
      <w:r>
        <w:instrText xml:space="preserve"> HYPERLINK "https://finance.sina.cn/2026-01-05/detail-inhfhicm7971898.d.html?oid=3906839374474277&amp;vt=4&amp;wm=4007&amp;node_id=76524" \h </w:instrText>
      </w:r>
      <w:r>
        <w:fldChar w:fldCharType="separate"/>
      </w:r>
      <w:r>
        <w:rPr>
          <w:rFonts w:ascii="inter" w:hAnsi="inter" w:eastAsia="inter" w:cs="inter"/>
          <w:color w:val="000000"/>
          <w:sz w:val="18"/>
          <w:u w:val="single"/>
        </w:rPr>
        <w:t>https://finance.sina.cn/2026-01-05/detail-inhfhicm7971898.d.html?oid=3906839374474277&amp;vt=4&amp;wm=4007&amp;node_id=76524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4B0CE0">
      <w:pPr>
        <w:numPr>
          <w:ilvl w:val="0"/>
          <w:numId w:val="41"/>
        </w:numPr>
        <w:spacing w:after="210" w:line="360" w:lineRule="auto"/>
      </w:pPr>
      <w:bookmarkStart w:id="226" w:name="fn71"/>
      <w:bookmarkEnd w:id="226"/>
      <w:r>
        <w:fldChar w:fldCharType="begin"/>
      </w:r>
      <w:r>
        <w:instrText xml:space="preserve"> HYPERLINK "https://stackoverflow.com/questions/1718903/what-do-square-brackets-mean-in-function-class-documentation" \h </w:instrText>
      </w:r>
      <w:r>
        <w:fldChar w:fldCharType="separate"/>
      </w:r>
      <w:r>
        <w:rPr>
          <w:rFonts w:ascii="inter" w:hAnsi="inter" w:eastAsia="inter" w:cs="inter"/>
          <w:color w:val="000000"/>
          <w:sz w:val="18"/>
          <w:u w:val="single"/>
        </w:rPr>
        <w:t>https://stackoverflow.com/questions/1718903/what-do-square-brackets-mean-in-function-class-documentation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642498">
      <w:pPr>
        <w:numPr>
          <w:ilvl w:val="0"/>
          <w:numId w:val="41"/>
        </w:numPr>
        <w:spacing w:after="210" w:line="360" w:lineRule="auto"/>
      </w:pPr>
      <w:bookmarkStart w:id="227" w:name="fn72"/>
      <w:bookmarkEnd w:id="227"/>
      <w:r>
        <w:fldChar w:fldCharType="begin"/>
      </w:r>
      <w:r>
        <w:instrText xml:space="preserve"> HYPERLINK "https://en.wikipedia.org/wiki/Quotation_mark" \h </w:instrText>
      </w:r>
      <w:r>
        <w:fldChar w:fldCharType="separate"/>
      </w:r>
      <w:r>
        <w:rPr>
          <w:rFonts w:ascii="inter" w:hAnsi="inter" w:eastAsia="inter" w:cs="inter"/>
          <w:color w:val="000000"/>
          <w:sz w:val="18"/>
          <w:u w:val="single"/>
        </w:rPr>
        <w:t>https://en.wikipedia.org/wiki/Quotation_mark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F7F488">
      <w:pPr>
        <w:numPr>
          <w:ilvl w:val="0"/>
          <w:numId w:val="41"/>
        </w:numPr>
        <w:spacing w:after="210" w:line="360" w:lineRule="auto"/>
      </w:pPr>
      <w:bookmarkStart w:id="228" w:name="fn73"/>
      <w:bookmarkEnd w:id="228"/>
      <w:r>
        <w:fldChar w:fldCharType="begin"/>
      </w:r>
      <w:r>
        <w:instrText xml:space="preserve"> HYPERLINK "https://www.lenovo.com/us/en/glossary/backslash/" \h </w:instrText>
      </w:r>
      <w:r>
        <w:fldChar w:fldCharType="separate"/>
      </w:r>
      <w:r>
        <w:rPr>
          <w:rFonts w:ascii="inter" w:hAnsi="inter" w:eastAsia="inter" w:cs="inter"/>
          <w:color w:val="000000"/>
          <w:sz w:val="18"/>
          <w:u w:val="single"/>
        </w:rPr>
        <w:t>https://www.lenovo.com/us/en/glossary/backslash/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A4A64B">
      <w:pPr>
        <w:numPr>
          <w:ilvl w:val="0"/>
          <w:numId w:val="41"/>
        </w:numPr>
        <w:spacing w:after="210" w:line="360" w:lineRule="auto"/>
      </w:pPr>
      <w:bookmarkStart w:id="229" w:name="fn74"/>
      <w:bookmarkEnd w:id="229"/>
      <w:r>
        <w:fldChar w:fldCharType="begin"/>
      </w:r>
      <w:r>
        <w:instrText xml:space="preserve"> HYPERLINK "https://en.wikipedia.org/wiki/U" \h </w:instrText>
      </w:r>
      <w:r>
        <w:fldChar w:fldCharType="separate"/>
      </w:r>
      <w:r>
        <w:rPr>
          <w:rFonts w:ascii="inter" w:hAnsi="inter" w:eastAsia="inter" w:cs="inter"/>
          <w:color w:val="000000"/>
          <w:sz w:val="18"/>
          <w:u w:val="single"/>
        </w:rPr>
        <w:t>https://en.wikipedia.org/wiki/U</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F1CA1C">
      <w:pPr>
        <w:numPr>
          <w:ilvl w:val="0"/>
          <w:numId w:val="41"/>
        </w:numPr>
        <w:spacing w:after="210" w:line="360" w:lineRule="auto"/>
      </w:pPr>
      <w:bookmarkStart w:id="230" w:name="fn75"/>
      <w:bookmarkEnd w:id="230"/>
      <w:r>
        <w:fldChar w:fldCharType="begin"/>
      </w:r>
      <w:r>
        <w:instrText xml:space="preserve"> HYPERLINK "https://en.wikipedia.org/wiki/5" \h </w:instrText>
      </w:r>
      <w:r>
        <w:fldChar w:fldCharType="separate"/>
      </w:r>
      <w:r>
        <w:rPr>
          <w:rFonts w:ascii="inter" w:hAnsi="inter" w:eastAsia="inter" w:cs="inter"/>
          <w:color w:val="000000"/>
          <w:sz w:val="18"/>
          <w:u w:val="single"/>
        </w:rPr>
        <w:t>https://en.wikipedia.org/wiki/5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48ED27">
      <w:pPr>
        <w:numPr>
          <w:ilvl w:val="0"/>
          <w:numId w:val="41"/>
        </w:numPr>
        <w:spacing w:after="210" w:line="360" w:lineRule="auto"/>
      </w:pPr>
      <w:bookmarkStart w:id="231" w:name="fn76"/>
      <w:bookmarkEnd w:id="231"/>
      <w:r>
        <w:fldChar w:fldCharType="begin"/>
      </w:r>
      <w:r>
        <w:instrText xml:space="preserve"> HYPERLINK "https://www.rottentomatoes.com/tv/3_" \h </w:instrText>
      </w:r>
      <w:r>
        <w:fldChar w:fldCharType="separate"/>
      </w:r>
      <w:r>
        <w:rPr>
          <w:rFonts w:ascii="inter" w:hAnsi="inter" w:eastAsia="inter" w:cs="inter"/>
          <w:color w:val="000000"/>
          <w:sz w:val="18"/>
          <w:u w:val="single"/>
        </w:rPr>
        <w:t>https://www.rottentomatoes.com/tv/3_</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F48464">
      <w:pPr>
        <w:numPr>
          <w:ilvl w:val="0"/>
          <w:numId w:val="41"/>
        </w:numPr>
        <w:spacing w:after="210" w:line="360" w:lineRule="auto"/>
      </w:pPr>
      <w:bookmarkStart w:id="232" w:name="fn77"/>
      <w:bookmarkEnd w:id="232"/>
      <w:r>
        <w:fldChar w:fldCharType="begin"/>
      </w:r>
      <w:r>
        <w:instrText xml:space="preserve"> HYPERLINK "https://en.wikipedia.org/wiki/C_(programming_language)" \h </w:instrText>
      </w:r>
      <w:r>
        <w:fldChar w:fldCharType="separate"/>
      </w:r>
      <w:r>
        <w:rPr>
          <w:rFonts w:ascii="inter" w:hAnsi="inter" w:eastAsia="inter" w:cs="inter"/>
          <w:color w:val="000000"/>
          <w:sz w:val="18"/>
          <w:u w:val="single"/>
        </w:rPr>
        <w:t>https://en.wikipedia.org/wiki/C_(programming_language)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63A57C">
      <w:pPr>
        <w:numPr>
          <w:ilvl w:val="0"/>
          <w:numId w:val="41"/>
        </w:numPr>
        <w:spacing w:after="210" w:line="360" w:lineRule="auto"/>
      </w:pPr>
      <w:bookmarkStart w:id="233" w:name="fn78"/>
      <w:bookmarkEnd w:id="233"/>
      <w:r>
        <w:fldChar w:fldCharType="begin"/>
      </w:r>
      <w:r>
        <w:instrText xml:space="preserve"> HYPERLINK "https://en.wikipedia.org/wiki/7_(Prince_song)" \h </w:instrText>
      </w:r>
      <w:r>
        <w:fldChar w:fldCharType="separate"/>
      </w:r>
      <w:r>
        <w:rPr>
          <w:rFonts w:ascii="inter" w:hAnsi="inter" w:eastAsia="inter" w:cs="inter"/>
          <w:color w:val="000000"/>
          <w:sz w:val="18"/>
          <w:u w:val="single"/>
        </w:rPr>
        <w:t>https://en.wikipedia.org/wiki/7_(Prince_song)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4F456D">
      <w:pPr>
        <w:numPr>
          <w:ilvl w:val="0"/>
          <w:numId w:val="41"/>
        </w:numPr>
        <w:spacing w:after="210" w:line="360" w:lineRule="auto"/>
      </w:pPr>
      <w:bookmarkStart w:id="234" w:name="fn79"/>
      <w:bookmarkEnd w:id="234"/>
      <w:r>
        <w:fldChar w:fldCharType="begin"/>
      </w:r>
      <w:r>
        <w:instrText xml:space="preserve"> HYPERLINK "https://en.wikipedia.org/wiki/Bracket" \h </w:instrText>
      </w:r>
      <w:r>
        <w:fldChar w:fldCharType="separate"/>
      </w:r>
      <w:r>
        <w:rPr>
          <w:rFonts w:ascii="inter" w:hAnsi="inter" w:eastAsia="inter" w:cs="inter"/>
          <w:color w:val="000000"/>
          <w:sz w:val="18"/>
          <w:u w:val="single"/>
        </w:rPr>
        <w:t>https://en.wikipedia.org/wiki/Bracket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7752AB">
      <w:pPr>
        <w:numPr>
          <w:ilvl w:val="0"/>
          <w:numId w:val="41"/>
        </w:numPr>
        <w:spacing w:after="210" w:line="360" w:lineRule="auto"/>
      </w:pPr>
      <w:bookmarkStart w:id="235" w:name="fn80"/>
      <w:bookmarkEnd w:id="235"/>
      <w:r>
        <w:fldChar w:fldCharType="begin"/>
      </w:r>
      <w:r>
        <w:instrText xml:space="preserve"> HYPERLINK "https://www.reddit.com/r/writing/comments/15xfgvj/can_someone_explain_quotation_marks_and_why/" \h </w:instrText>
      </w:r>
      <w:r>
        <w:fldChar w:fldCharType="separate"/>
      </w:r>
      <w:r>
        <w:rPr>
          <w:rFonts w:ascii="inter" w:hAnsi="inter" w:eastAsia="inter" w:cs="inter"/>
          <w:color w:val="000000"/>
          <w:sz w:val="18"/>
          <w:u w:val="single"/>
        </w:rPr>
        <w:t>https://www.reddit.com/r/writing/comments/15xfgvj/can_someone_explain_quotation_marks_and_why/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90586A">
      <w:pPr>
        <w:numPr>
          <w:ilvl w:val="0"/>
          <w:numId w:val="41"/>
        </w:numPr>
        <w:spacing w:after="210" w:line="360" w:lineRule="auto"/>
      </w:pPr>
      <w:bookmarkStart w:id="236" w:name="fn81"/>
      <w:bookmarkEnd w:id="236"/>
      <w:r>
        <w:fldChar w:fldCharType="begin"/>
      </w:r>
      <w:r>
        <w:instrText xml:space="preserve"> HYPERLINK "https://stackoverflow.com/questions/4254887/what-does-back-slash-really-mean" \h </w:instrText>
      </w:r>
      <w:r>
        <w:fldChar w:fldCharType="separate"/>
      </w:r>
      <w:r>
        <w:rPr>
          <w:rFonts w:ascii="inter" w:hAnsi="inter" w:eastAsia="inter" w:cs="inter"/>
          <w:color w:val="000000"/>
          <w:sz w:val="18"/>
          <w:u w:val="single"/>
        </w:rPr>
        <w:t>https://stackoverflow.com/questions/4254887/what-does-back-slash-really-mean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630445">
      <w:pPr>
        <w:numPr>
          <w:ilvl w:val="0"/>
          <w:numId w:val="41"/>
        </w:numPr>
        <w:spacing w:after="210" w:line="360" w:lineRule="auto"/>
      </w:pPr>
      <w:bookmarkStart w:id="237" w:name="fn82"/>
      <w:bookmarkEnd w:id="237"/>
      <w:r>
        <w:fldChar w:fldCharType="begin"/>
      </w:r>
      <w:r>
        <w:instrText xml:space="preserve"> HYPERLINK "https://www.utah.edu" \h </w:instrText>
      </w:r>
      <w:r>
        <w:fldChar w:fldCharType="separate"/>
      </w:r>
      <w:r>
        <w:rPr>
          <w:rFonts w:ascii="inter" w:hAnsi="inter" w:eastAsia="inter" w:cs="inter"/>
          <w:color w:val="000000"/>
          <w:sz w:val="18"/>
          <w:u w:val="single"/>
        </w:rPr>
        <w:t>https://www.utah.edu</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D5701F">
      <w:pPr>
        <w:numPr>
          <w:ilvl w:val="0"/>
          <w:numId w:val="41"/>
        </w:numPr>
        <w:spacing w:after="210" w:line="360" w:lineRule="auto"/>
      </w:pPr>
      <w:bookmarkStart w:id="238" w:name="fn83"/>
      <w:bookmarkEnd w:id="238"/>
      <w:r>
        <w:fldChar w:fldCharType="begin"/>
      </w:r>
      <w:r>
        <w:instrText xml:space="preserve"> HYPERLINK "https://www.reddit.com/r/learnprogramming/comments/1i6544s/can_anyone_explain_the_difference_between_5_and/" \h </w:instrText>
      </w:r>
      <w:r>
        <w:fldChar w:fldCharType="separate"/>
      </w:r>
      <w:r>
        <w:rPr>
          <w:rFonts w:ascii="inter" w:hAnsi="inter" w:eastAsia="inter" w:cs="inter"/>
          <w:color w:val="000000"/>
          <w:sz w:val="18"/>
          <w:u w:val="single"/>
        </w:rPr>
        <w:t>https://www.reddit.com/r/learnprogramming/comments/1i6544s/can_anyone_explain_the_difference_between_5_and/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59BD92">
      <w:pPr>
        <w:numPr>
          <w:ilvl w:val="0"/>
          <w:numId w:val="41"/>
        </w:numPr>
        <w:spacing w:after="210" w:line="360" w:lineRule="auto"/>
      </w:pPr>
      <w:bookmarkStart w:id="239" w:name="fn84"/>
      <w:bookmarkEnd w:id="239"/>
      <w:r>
        <w:fldChar w:fldCharType="begin"/>
      </w:r>
      <w:r>
        <w:instrText xml:space="preserve"> HYPERLINK "https://www.reddit.com/r/AO3/comments/1g2ip8f/what_does_3_mean/" \h </w:instrText>
      </w:r>
      <w:r>
        <w:fldChar w:fldCharType="separate"/>
      </w:r>
      <w:r>
        <w:rPr>
          <w:rFonts w:ascii="inter" w:hAnsi="inter" w:eastAsia="inter" w:cs="inter"/>
          <w:color w:val="000000"/>
          <w:sz w:val="18"/>
          <w:u w:val="single"/>
        </w:rPr>
        <w:t>https://www.reddit.com/r/AO3/comments/1g2ip8f/what_does_3_mean/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568178">
      <w:pPr>
        <w:numPr>
          <w:ilvl w:val="0"/>
          <w:numId w:val="41"/>
        </w:numPr>
        <w:spacing w:after="210" w:line="360" w:lineRule="auto"/>
      </w:pPr>
      <w:bookmarkStart w:id="240" w:name="fn85"/>
      <w:bookmarkEnd w:id="240"/>
      <w:r>
        <w:fldChar w:fldCharType="begin"/>
      </w:r>
      <w:r>
        <w:instrText xml:space="preserve"> HYPERLINK "https://www.w3schools.com/c/c_intro.php" \h </w:instrText>
      </w:r>
      <w:r>
        <w:fldChar w:fldCharType="separate"/>
      </w:r>
      <w:r>
        <w:rPr>
          <w:rFonts w:ascii="inter" w:hAnsi="inter" w:eastAsia="inter" w:cs="inter"/>
          <w:color w:val="000000"/>
          <w:sz w:val="18"/>
          <w:u w:val="single"/>
        </w:rPr>
        <w:t>https://www.w3schools.com/c/c_intro.php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7B98BA">
      <w:pPr>
        <w:numPr>
          <w:ilvl w:val="0"/>
          <w:numId w:val="41"/>
        </w:numPr>
        <w:spacing w:after="210" w:line="360" w:lineRule="auto"/>
      </w:pPr>
      <w:bookmarkStart w:id="241" w:name="fn86"/>
      <w:bookmarkEnd w:id="241"/>
      <w:r>
        <w:fldChar w:fldCharType="begin"/>
      </w:r>
      <w:r>
        <w:instrText xml:space="preserve"> HYPERLINK "https://cj.sina.cn/articles/view/5182171545/134e1a99902002bg60" \h </w:instrText>
      </w:r>
      <w:r>
        <w:fldChar w:fldCharType="separate"/>
      </w:r>
      <w:r>
        <w:rPr>
          <w:rFonts w:ascii="inter" w:hAnsi="inter" w:eastAsia="inter" w:cs="inter"/>
          <w:color w:val="000000"/>
          <w:sz w:val="18"/>
          <w:u w:val="single"/>
        </w:rPr>
        <w:t>https://cj.sina.cn/articles/view/5182171545/134e1a99902002bg60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3A6959">
      <w:pPr>
        <w:numPr>
          <w:ilvl w:val="0"/>
          <w:numId w:val="41"/>
        </w:numPr>
        <w:spacing w:after="210" w:line="360" w:lineRule="auto"/>
      </w:pPr>
      <w:bookmarkStart w:id="242" w:name="fn87"/>
      <w:bookmarkEnd w:id="242"/>
      <w:r>
        <w:fldChar w:fldCharType="begin"/>
      </w:r>
      <w:r>
        <w:instrText xml:space="preserve"> HYPERLINK "https://www.sino-gf.com.cn/10830/" \h </w:instrText>
      </w:r>
      <w:r>
        <w:fldChar w:fldCharType="separate"/>
      </w:r>
      <w:r>
        <w:rPr>
          <w:rFonts w:ascii="inter" w:hAnsi="inter" w:eastAsia="inter" w:cs="inter"/>
          <w:color w:val="000000"/>
          <w:sz w:val="18"/>
          <w:u w:val="single"/>
        </w:rPr>
        <w:t>https://www.sino-gf.com.cn/10830/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2F1F3F">
      <w:pPr>
        <w:numPr>
          <w:ilvl w:val="0"/>
          <w:numId w:val="41"/>
        </w:numPr>
        <w:spacing w:after="210" w:line="360" w:lineRule="auto"/>
      </w:pPr>
      <w:bookmarkStart w:id="243" w:name="fn88"/>
      <w:bookmarkEnd w:id="243"/>
      <w:r>
        <w:fldChar w:fldCharType="begin"/>
      </w:r>
      <w:r>
        <w:instrText xml:space="preserve"> HYPERLINK "https://us.china-embassy.gov.cn/chn/zggs/202511/t20251110_11750379.htm" \h </w:instrText>
      </w:r>
      <w:r>
        <w:fldChar w:fldCharType="separate"/>
      </w:r>
      <w:r>
        <w:rPr>
          <w:rFonts w:ascii="inter" w:hAnsi="inter" w:eastAsia="inter" w:cs="inter"/>
          <w:color w:val="000000"/>
          <w:sz w:val="18"/>
          <w:u w:val="single"/>
        </w:rPr>
        <w:t>https://us.china-embassy.gov.cn/chn/zggs/202511/t20251110_11750379.htm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E0C365">
      <w:pPr>
        <w:numPr>
          <w:ilvl w:val="0"/>
          <w:numId w:val="41"/>
        </w:numPr>
        <w:spacing w:after="210" w:line="360" w:lineRule="auto"/>
      </w:pPr>
      <w:bookmarkStart w:id="244" w:name="fn89"/>
      <w:bookmarkEnd w:id="244"/>
      <w:r>
        <w:fldChar w:fldCharType="begin"/>
      </w:r>
      <w:r>
        <w:instrText xml:space="preserve"> HYPERLINK "https://zjnews.zjol.com.cn/zjnews/202601/t20260118_31459500.shtml" \h </w:instrText>
      </w:r>
      <w:r>
        <w:fldChar w:fldCharType="separate"/>
      </w:r>
      <w:r>
        <w:rPr>
          <w:rFonts w:ascii="inter" w:hAnsi="inter" w:eastAsia="inter" w:cs="inter"/>
          <w:color w:val="000000"/>
          <w:sz w:val="18"/>
          <w:u w:val="single"/>
        </w:rPr>
        <w:t>https://zjnews.zjol.com.cn/zjnews/202601/t20260118_31459500.shtml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69C6CD">
      <w:pPr>
        <w:numPr>
          <w:ilvl w:val="0"/>
          <w:numId w:val="41"/>
        </w:numPr>
        <w:spacing w:after="210" w:line="360" w:lineRule="auto"/>
      </w:pPr>
      <w:bookmarkStart w:id="245" w:name="fn90"/>
      <w:bookmarkEnd w:id="245"/>
      <w:r>
        <w:fldChar w:fldCharType="begin"/>
      </w:r>
      <w:r>
        <w:instrText xml:space="preserve"> HYPERLINK "https://www.witbee.cn/news/industry_news/3237.html" \h </w:instrText>
      </w:r>
      <w:r>
        <w:fldChar w:fldCharType="separate"/>
      </w:r>
      <w:r>
        <w:rPr>
          <w:rFonts w:ascii="inter" w:hAnsi="inter" w:eastAsia="inter" w:cs="inter"/>
          <w:color w:val="000000"/>
          <w:sz w:val="18"/>
          <w:u w:val="single"/>
        </w:rPr>
        <w:t>https://www.witbee.cn/news/industry_news/3237.html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A9CDB8">
      <w:pPr>
        <w:numPr>
          <w:ilvl w:val="0"/>
          <w:numId w:val="41"/>
        </w:numPr>
        <w:spacing w:after="210" w:line="360" w:lineRule="auto"/>
      </w:pPr>
      <w:bookmarkStart w:id="246" w:name="fn91"/>
      <w:bookmarkEnd w:id="246"/>
      <w:r>
        <w:fldChar w:fldCharType="begin"/>
      </w:r>
      <w:r>
        <w:instrText xml:space="preserve"> HYPERLINK "https://www.qstheory.cn/20260112/713ad0eb6ef94d9dad30177bfbbd9d5a/c.html" \h </w:instrText>
      </w:r>
      <w:r>
        <w:fldChar w:fldCharType="separate"/>
      </w:r>
      <w:r>
        <w:rPr>
          <w:rFonts w:ascii="inter" w:hAnsi="inter" w:eastAsia="inter" w:cs="inter"/>
          <w:color w:val="000000"/>
          <w:sz w:val="18"/>
          <w:u w:val="single"/>
        </w:rPr>
        <w:t>https://www.qstheory.cn/20260112/713ad0eb6ef94d9dad30177bfbbd9d5a/c.html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4CCC2D">
      <w:pPr>
        <w:numPr>
          <w:ilvl w:val="0"/>
          <w:numId w:val="41"/>
        </w:numPr>
        <w:spacing w:after="210" w:line="360" w:lineRule="auto"/>
      </w:pPr>
      <w:bookmarkStart w:id="247" w:name="fn92"/>
      <w:bookmarkEnd w:id="247"/>
      <w:r>
        <w:fldChar w:fldCharType="begin"/>
      </w:r>
      <w:r>
        <w:instrText xml:space="preserve"> HYPERLINK "https://static.time-weekly.com/time-weekly/dc32042695bb7e31fb9280e21ab25f8c/20231225/bc439eefa29b46798241f814d2918506.pdf" \h </w:instrText>
      </w:r>
      <w:r>
        <w:fldChar w:fldCharType="separate"/>
      </w:r>
      <w:r>
        <w:rPr>
          <w:rFonts w:ascii="inter" w:hAnsi="inter" w:eastAsia="inter" w:cs="inter"/>
          <w:color w:val="000000"/>
          <w:sz w:val="18"/>
          <w:u w:val="single"/>
        </w:rPr>
        <w:t>https://static.time-weekly.com/time-weekly/dc32042695bb7e31fb9280e21ab25f8c/20231225/bc439eefa29b46798241f814d2918506.pdf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4ADBB1">
      <w:pPr>
        <w:numPr>
          <w:ilvl w:val="0"/>
          <w:numId w:val="41"/>
        </w:numPr>
        <w:spacing w:after="210" w:line="360" w:lineRule="auto"/>
      </w:pPr>
      <w:bookmarkStart w:id="248" w:name="fn93"/>
      <w:bookmarkEnd w:id="248"/>
      <w:r>
        <w:fldChar w:fldCharType="begin"/>
      </w:r>
      <w:r>
        <w:instrText xml:space="preserve"> HYPERLINK "https://res.hurun.net/file/20250103/20250103095634246.pdf" \h </w:instrText>
      </w:r>
      <w:r>
        <w:fldChar w:fldCharType="separate"/>
      </w:r>
      <w:r>
        <w:rPr>
          <w:rFonts w:ascii="inter" w:hAnsi="inter" w:eastAsia="inter" w:cs="inter"/>
          <w:color w:val="000000"/>
          <w:sz w:val="18"/>
          <w:u w:val="single"/>
        </w:rPr>
        <w:t>https://res.hurun.net/file/20250103/20250103095634246.pdf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5C8324">
      <w:pPr>
        <w:numPr>
          <w:ilvl w:val="0"/>
          <w:numId w:val="41"/>
        </w:numPr>
        <w:spacing w:after="210" w:line="360" w:lineRule="auto"/>
      </w:pPr>
      <w:bookmarkStart w:id="249" w:name="fn94"/>
      <w:bookmarkEnd w:id="249"/>
      <w:r>
        <w:fldChar w:fldCharType="begin"/>
      </w:r>
      <w:r>
        <w:instrText xml:space="preserve"> HYPERLINK "https://pdf.dfcfw.com/pdf/H3_AP202309281600184784_1.pdf" \h </w:instrText>
      </w:r>
      <w:r>
        <w:fldChar w:fldCharType="separate"/>
      </w:r>
      <w:r>
        <w:rPr>
          <w:rFonts w:ascii="inter" w:hAnsi="inter" w:eastAsia="inter" w:cs="inter"/>
          <w:color w:val="000000"/>
          <w:sz w:val="18"/>
          <w:u w:val="single"/>
        </w:rPr>
        <w:t>https://pdf.dfcfw.com/pdf/H3_AP202309281600184784_1.pdf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3D2E4C">
      <w:pPr>
        <w:numPr>
          <w:ilvl w:val="0"/>
          <w:numId w:val="41"/>
        </w:numPr>
        <w:spacing w:after="210" w:line="360" w:lineRule="auto"/>
      </w:pPr>
      <w:bookmarkStart w:id="250" w:name="fn95"/>
      <w:bookmarkEnd w:id="250"/>
      <w:r>
        <w:fldChar w:fldCharType="begin"/>
      </w:r>
      <w:r>
        <w:instrText xml:space="preserve"> HYPERLINK "https://chinademocrats.org/wp-content/uploads/2023/07/%E4%B8%AD%E5%9B%BD%E6%B0%91%E4%B8%BB%E5%AD%A3%E5%88%8ANo_03-%E7%BB%88-Revised-1.pdf" \h </w:instrText>
      </w:r>
      <w:r>
        <w:fldChar w:fldCharType="separate"/>
      </w:r>
      <w:r>
        <w:rPr>
          <w:rFonts w:ascii="inter" w:hAnsi="inter" w:eastAsia="inter" w:cs="inter"/>
          <w:color w:val="000000"/>
          <w:sz w:val="18"/>
          <w:u w:val="single"/>
        </w:rPr>
        <w:t>https://chinademocrats.org/wp-content/uploads/2023/07/中国民主季刊No_03-终-Revised-1.pdf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3B9CF8">
      <w:pPr>
        <w:numPr>
          <w:ilvl w:val="0"/>
          <w:numId w:val="41"/>
        </w:numPr>
        <w:spacing w:after="210" w:line="360" w:lineRule="auto"/>
      </w:pPr>
      <w:bookmarkStart w:id="251" w:name="fn96"/>
      <w:bookmarkEnd w:id="251"/>
      <w:r>
        <w:fldChar w:fldCharType="begin"/>
      </w:r>
      <w:r>
        <w:instrText xml:space="preserve"> HYPERLINK "https://www.mckinsey.com.cn/insights/consumers/" \h </w:instrText>
      </w:r>
      <w:r>
        <w:fldChar w:fldCharType="separate"/>
      </w:r>
      <w:r>
        <w:rPr>
          <w:rFonts w:ascii="inter" w:hAnsi="inter" w:eastAsia="inter" w:cs="inter"/>
          <w:color w:val="000000"/>
          <w:sz w:val="18"/>
          <w:u w:val="single"/>
        </w:rPr>
        <w:t>https://www.mckinsey.com.cn/insights/consumers/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E2EECD">
      <w:pPr>
        <w:numPr>
          <w:ilvl w:val="0"/>
          <w:numId w:val="41"/>
        </w:numPr>
        <w:spacing w:after="210" w:line="360" w:lineRule="auto"/>
      </w:pPr>
      <w:bookmarkStart w:id="252" w:name="fn97"/>
      <w:bookmarkEnd w:id="252"/>
      <w:r>
        <w:fldChar w:fldCharType="begin"/>
      </w:r>
      <w:r>
        <w:instrText xml:space="preserve"> HYPERLINK "https://finance.eastmoney.com/a/202512253602202078.html" \h </w:instrText>
      </w:r>
      <w:r>
        <w:fldChar w:fldCharType="separate"/>
      </w:r>
      <w:r>
        <w:rPr>
          <w:rFonts w:ascii="inter" w:hAnsi="inter" w:eastAsia="inter" w:cs="inter"/>
          <w:color w:val="000000"/>
          <w:sz w:val="18"/>
          <w:u w:val="single"/>
        </w:rPr>
        <w:t>https://finance.eastmoney.com/a/202512253602202078.html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25DF5C">
      <w:pPr>
        <w:numPr>
          <w:ilvl w:val="0"/>
          <w:numId w:val="41"/>
        </w:numPr>
        <w:spacing w:after="210" w:line="360" w:lineRule="auto"/>
      </w:pPr>
      <w:bookmarkStart w:id="253" w:name="fn98"/>
      <w:bookmarkEnd w:id="253"/>
      <w:r>
        <w:fldChar w:fldCharType="begin"/>
      </w:r>
      <w:r>
        <w:instrText xml:space="preserve"> HYPERLINK "https://www.mckinsey.com.cn/%E4%B8%AD%E5%9B%BD%E8%B7%A8%E5%A2%83%E7%94%B5%E5%95%86%E5%B8%82%E5%9C%BA%E7%A0%94%E7%A9%B6%E7%99%BD%E7%9A%AE%E4%B9%A6/" \h </w:instrText>
      </w:r>
      <w:r>
        <w:fldChar w:fldCharType="separate"/>
      </w:r>
      <w:r>
        <w:rPr>
          <w:rFonts w:ascii="inter" w:hAnsi="inter" w:eastAsia="inter" w:cs="inter"/>
          <w:color w:val="000000"/>
          <w:sz w:val="18"/>
          <w:u w:val="single"/>
        </w:rPr>
        <w:t>https://www.mckinsey.com.cn/中国跨境电商市场研究白皮书/</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076D9B">
      <w:pPr>
        <w:numPr>
          <w:ilvl w:val="0"/>
          <w:numId w:val="41"/>
        </w:numPr>
        <w:spacing w:after="210" w:line="360" w:lineRule="auto"/>
      </w:pPr>
      <w:bookmarkStart w:id="254" w:name="fn99"/>
      <w:bookmarkEnd w:id="254"/>
      <w:r>
        <w:fldChar w:fldCharType="begin"/>
      </w:r>
      <w:r>
        <w:instrText xml:space="preserve"> HYPERLINK "https://www.cih-index.com/news/2024-03-21/49704046.html" \h </w:instrText>
      </w:r>
      <w:r>
        <w:fldChar w:fldCharType="separate"/>
      </w:r>
      <w:r>
        <w:rPr>
          <w:rFonts w:ascii="inter" w:hAnsi="inter" w:eastAsia="inter" w:cs="inter"/>
          <w:color w:val="000000"/>
          <w:sz w:val="18"/>
          <w:u w:val="single"/>
        </w:rPr>
        <w:t>https://www.cih-index.com/news/2024-03-21/49704046.html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95A2A0">
      <w:pPr>
        <w:numPr>
          <w:ilvl w:val="0"/>
          <w:numId w:val="41"/>
        </w:numPr>
        <w:spacing w:after="210" w:line="360" w:lineRule="auto"/>
      </w:pPr>
      <w:bookmarkStart w:id="255" w:name="fn100"/>
      <w:bookmarkEnd w:id="255"/>
      <w:r>
        <w:fldChar w:fldCharType="begin"/>
      </w:r>
      <w:r>
        <w:instrText xml:space="preserve"> HYPERLINK "https://www.shihang.org/zh/news/opinion/2022/06/16/economic-restructuring-key-to-coping-with-risks-in-china-s-economy" \h </w:instrText>
      </w:r>
      <w:r>
        <w:fldChar w:fldCharType="separate"/>
      </w:r>
      <w:r>
        <w:rPr>
          <w:rFonts w:ascii="inter" w:hAnsi="inter" w:eastAsia="inter" w:cs="inter"/>
          <w:color w:val="000000"/>
          <w:sz w:val="18"/>
          <w:u w:val="single"/>
        </w:rPr>
        <w:t>https://www.shihang.org/zh/news/opinion/2022/06/16/economic-restructuring-key-to-coping-with-risks-in-china-s-economy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B7E2A4">
      <w:pPr>
        <w:numPr>
          <w:ilvl w:val="0"/>
          <w:numId w:val="41"/>
        </w:numPr>
        <w:spacing w:after="210" w:line="360" w:lineRule="auto"/>
      </w:pPr>
      <w:bookmarkStart w:id="256" w:name="fn101"/>
      <w:bookmarkEnd w:id="256"/>
      <w:r>
        <w:fldChar w:fldCharType="begin"/>
      </w:r>
      <w:r>
        <w:instrText xml:space="preserve"> HYPERLINK "https://assets.kpmg.com/content/dam/kpmg/cn/pdf/zh/2025/08/consumer-and-retail-industry-analysis-2025-h1.pdf" \h </w:instrText>
      </w:r>
      <w:r>
        <w:fldChar w:fldCharType="separate"/>
      </w:r>
      <w:r>
        <w:rPr>
          <w:rFonts w:ascii="inter" w:hAnsi="inter" w:eastAsia="inter" w:cs="inter"/>
          <w:color w:val="000000"/>
          <w:sz w:val="18"/>
          <w:u w:val="single"/>
        </w:rPr>
        <w:t>https://assets.kpmg.com/content/dam/kpmg/cn/pdf/zh/2025/08/consumer-and-retail-industry-analysis-2025-h1.pdf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E91263">
      <w:pPr>
        <w:numPr>
          <w:ilvl w:val="0"/>
          <w:numId w:val="41"/>
        </w:numPr>
        <w:spacing w:after="210" w:line="360" w:lineRule="auto"/>
      </w:pPr>
      <w:bookmarkStart w:id="257" w:name="fn102"/>
      <w:bookmarkEnd w:id="257"/>
      <w:r>
        <w:fldChar w:fldCharType="begin"/>
      </w:r>
      <w:r>
        <w:instrText xml:space="preserve"> HYPERLINK "https://www.cih-index.com/news/2025-01-02/51902939.html" \h </w:instrText>
      </w:r>
      <w:r>
        <w:fldChar w:fldCharType="separate"/>
      </w:r>
      <w:r>
        <w:rPr>
          <w:rFonts w:ascii="inter" w:hAnsi="inter" w:eastAsia="inter" w:cs="inter"/>
          <w:color w:val="000000"/>
          <w:sz w:val="18"/>
          <w:u w:val="single"/>
        </w:rPr>
        <w:t>https://www.cih-index.com/news/2025-01-02/51902939.html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F14189">
      <w:pPr>
        <w:numPr>
          <w:ilvl w:val="0"/>
          <w:numId w:val="41"/>
        </w:numPr>
        <w:spacing w:after="210" w:line="360" w:lineRule="auto"/>
      </w:pPr>
      <w:bookmarkStart w:id="258" w:name="fn103"/>
      <w:bookmarkEnd w:id="258"/>
      <w:r>
        <w:fldChar w:fldCharType="begin"/>
      </w:r>
      <w:r>
        <w:instrText xml:space="preserve"> HYPERLINK "http://www.ccb.com/cn/html1/office/wealth/fortune/16/jhcf4.pdf" \h </w:instrText>
      </w:r>
      <w:r>
        <w:fldChar w:fldCharType="separate"/>
      </w:r>
      <w:r>
        <w:rPr>
          <w:rFonts w:ascii="inter" w:hAnsi="inter" w:eastAsia="inter" w:cs="inter"/>
          <w:color w:val="000000"/>
          <w:sz w:val="18"/>
          <w:u w:val="single"/>
        </w:rPr>
        <w:t>http://www.ccb.com/cn/html1/office/wealth/fortune/16/jhcf4.pdf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A17C09">
      <w:pPr>
        <w:numPr>
          <w:ilvl w:val="0"/>
          <w:numId w:val="41"/>
        </w:numPr>
        <w:spacing w:after="210" w:line="360" w:lineRule="auto"/>
      </w:pPr>
      <w:bookmarkStart w:id="259" w:name="fn104"/>
      <w:bookmarkEnd w:id="259"/>
      <w:r>
        <w:fldChar w:fldCharType="begin"/>
      </w:r>
      <w:r>
        <w:instrText xml:space="preserve"> HYPERLINK "http://www.npc.gov.cn/zgrdw/npc/zgrdzz/site1/20180202/00016cd0abbd1bde4c4b03.pdf" \h </w:instrText>
      </w:r>
      <w:r>
        <w:fldChar w:fldCharType="separate"/>
      </w:r>
      <w:r>
        <w:rPr>
          <w:rFonts w:ascii="inter" w:hAnsi="inter" w:eastAsia="inter" w:cs="inter"/>
          <w:color w:val="000000"/>
          <w:sz w:val="18"/>
          <w:u w:val="single"/>
        </w:rPr>
        <w:t>http://www.npc.gov.cn/zgrdw/npc/zgrdzz/site1/20180202/00016cd0abbd1bde4c4b03.pdf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892C14">
      <w:pPr>
        <w:numPr>
          <w:ilvl w:val="0"/>
          <w:numId w:val="41"/>
        </w:numPr>
        <w:spacing w:after="210" w:line="360" w:lineRule="auto"/>
      </w:pPr>
      <w:bookmarkStart w:id="260" w:name="fn105"/>
      <w:bookmarkEnd w:id="260"/>
      <w:r>
        <w:fldChar w:fldCharType="begin"/>
      </w:r>
      <w:r>
        <w:instrText xml:space="preserve"> HYPERLINK "https://www.mjib.gov.tw/FileUploads/eBooks/ba6e00b590eb4eed873fae94502265de/Book_file/130b488e80bc476792e14ef945b5cf23.pdf" \h </w:instrText>
      </w:r>
      <w:r>
        <w:fldChar w:fldCharType="separate"/>
      </w:r>
      <w:r>
        <w:rPr>
          <w:rFonts w:ascii="inter" w:hAnsi="inter" w:eastAsia="inter" w:cs="inter"/>
          <w:color w:val="000000"/>
          <w:sz w:val="18"/>
          <w:u w:val="single"/>
        </w:rPr>
        <w:t>https://www.mjib.gov.tw/FileUploads/eBooks/ba6e00b590eb4eed873fae94502265de/Book_file/130b488e80bc476792e14ef945b5cf23.pdf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8B71C9">
      <w:pPr>
        <w:numPr>
          <w:ilvl w:val="0"/>
          <w:numId w:val="41"/>
        </w:numPr>
        <w:spacing w:after="210" w:line="360" w:lineRule="auto"/>
      </w:pPr>
      <w:bookmarkStart w:id="261" w:name="fn106"/>
      <w:bookmarkEnd w:id="261"/>
      <w:r>
        <w:fldChar w:fldCharType="begin"/>
      </w:r>
      <w:r>
        <w:instrText xml:space="preserve"> HYPERLINK "https://pdf.dfcfw.com/pdf/H3_AP202302131583078592_1.pdf" \h </w:instrText>
      </w:r>
      <w:r>
        <w:fldChar w:fldCharType="separate"/>
      </w:r>
      <w:r>
        <w:rPr>
          <w:rFonts w:ascii="inter" w:hAnsi="inter" w:eastAsia="inter" w:cs="inter"/>
          <w:color w:val="000000"/>
          <w:sz w:val="18"/>
          <w:u w:val="single"/>
        </w:rPr>
        <w:t>https://pdf.dfcfw.com/pdf/H3_AP202302131583078592_1.pdf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595D15">
      <w:pPr>
        <w:numPr>
          <w:ilvl w:val="0"/>
          <w:numId w:val="41"/>
        </w:numPr>
        <w:spacing w:after="210" w:line="360" w:lineRule="auto"/>
      </w:pPr>
      <w:bookmarkStart w:id="262" w:name="fn107"/>
      <w:bookmarkEnd w:id="262"/>
      <w:r>
        <w:fldChar w:fldCharType="begin"/>
      </w:r>
      <w:r>
        <w:instrText xml:space="preserve"> HYPERLINK "https://journals.plos.org/plosone/article/asset?unique&amp;id=info%3Adoi%2F10.1371%2Fjournal.pone.0322556.s001" \h </w:instrText>
      </w:r>
      <w:r>
        <w:fldChar w:fldCharType="separate"/>
      </w:r>
      <w:r>
        <w:rPr>
          <w:rFonts w:ascii="inter" w:hAnsi="inter" w:eastAsia="inter" w:cs="inter"/>
          <w:color w:val="000000"/>
          <w:sz w:val="18"/>
          <w:u w:val="single"/>
        </w:rPr>
        <w:t>https://journals.plos.org/plosone/article/asset?unique&amp;id=info%3Adoi%2F10.1371%2Fjournal.pone.0322556.s001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DA3AAB">
      <w:pPr>
        <w:numPr>
          <w:ilvl w:val="0"/>
          <w:numId w:val="41"/>
        </w:numPr>
        <w:spacing w:after="210" w:line="360" w:lineRule="auto"/>
      </w:pPr>
      <w:bookmarkStart w:id="263" w:name="fn108"/>
      <w:bookmarkEnd w:id="263"/>
      <w:r>
        <w:fldChar w:fldCharType="begin"/>
      </w:r>
      <w:r>
        <w:instrText xml:space="preserve"> HYPERLINK "https://ws.moi.gov.tw/001/Upload/OldFile_Abri_Gov/research/1346/14479299781.pdf" \h </w:instrText>
      </w:r>
      <w:r>
        <w:fldChar w:fldCharType="separate"/>
      </w:r>
      <w:r>
        <w:rPr>
          <w:rFonts w:ascii="inter" w:hAnsi="inter" w:eastAsia="inter" w:cs="inter"/>
          <w:color w:val="000000"/>
          <w:sz w:val="18"/>
          <w:u w:val="single"/>
        </w:rPr>
        <w:t>https://ws.moi.gov.tw/001/Upload/OldFile_Abri_Gov/research/1346/14479299781.pdf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37575C">
      <w:pPr>
        <w:numPr>
          <w:ilvl w:val="0"/>
          <w:numId w:val="41"/>
        </w:numPr>
        <w:spacing w:after="210" w:line="360" w:lineRule="auto"/>
      </w:pPr>
      <w:bookmarkStart w:id="264" w:name="fn109"/>
      <w:bookmarkEnd w:id="264"/>
      <w:r>
        <w:fldChar w:fldCharType="begin"/>
      </w:r>
      <w:r>
        <w:instrText xml:space="preserve"> HYPERLINK "http://www.cbas.ac.cn/yjcg/yjbg/202509/P020250930367060372680.pdf" \h </w:instrText>
      </w:r>
      <w:r>
        <w:fldChar w:fldCharType="separate"/>
      </w:r>
      <w:r>
        <w:rPr>
          <w:rFonts w:ascii="inter" w:hAnsi="inter" w:eastAsia="inter" w:cs="inter"/>
          <w:color w:val="000000"/>
          <w:sz w:val="18"/>
          <w:u w:val="single"/>
        </w:rPr>
        <w:t>http://www.cbas.ac.cn/yjcg/yjbg/202509/P020250930367060372680.pdf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DAB9EA">
      <w:pPr>
        <w:numPr>
          <w:ilvl w:val="0"/>
          <w:numId w:val="41"/>
        </w:numPr>
        <w:spacing w:after="210" w:line="360" w:lineRule="auto"/>
      </w:pPr>
      <w:bookmarkStart w:id="265" w:name="fn110"/>
      <w:bookmarkEnd w:id="265"/>
      <w:r>
        <w:fldChar w:fldCharType="begin"/>
      </w:r>
      <w:r>
        <w:instrText xml:space="preserve"> HYPERLINK "https://static.sse.com.cn/bond/bridge2/disclosure/announcement/c/202503/049926_20250320_S9DX.pdf" \h </w:instrText>
      </w:r>
      <w:r>
        <w:fldChar w:fldCharType="separate"/>
      </w:r>
      <w:r>
        <w:rPr>
          <w:rFonts w:ascii="inter" w:hAnsi="inter" w:eastAsia="inter" w:cs="inter"/>
          <w:color w:val="000000"/>
          <w:sz w:val="18"/>
          <w:u w:val="single"/>
        </w:rPr>
        <w:t>https://static.sse.com.cn/bond/bridge2/disclosure/announcement/c/202503/049926_20250320_S9DX.pdf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E14AB7">
      <w:pPr>
        <w:numPr>
          <w:ilvl w:val="0"/>
          <w:numId w:val="41"/>
        </w:numPr>
        <w:spacing w:after="210" w:line="360" w:lineRule="auto"/>
      </w:pPr>
      <w:bookmarkStart w:id="266" w:name="fn111"/>
      <w:bookmarkEnd w:id="266"/>
      <w:r>
        <w:fldChar w:fldCharType="begin"/>
      </w:r>
      <w:r>
        <w:instrText xml:space="preserve"> HYPERLINK "https://indsr.org.tw/uploads/indsr/files/202501/04bbf7d3-78ec-4241-a21f-520a41efa016.pdf" \h </w:instrText>
      </w:r>
      <w:r>
        <w:fldChar w:fldCharType="separate"/>
      </w:r>
      <w:r>
        <w:rPr>
          <w:rFonts w:ascii="inter" w:hAnsi="inter" w:eastAsia="inter" w:cs="inter"/>
          <w:color w:val="000000"/>
          <w:sz w:val="18"/>
          <w:u w:val="single"/>
        </w:rPr>
        <w:t>https://indsr.org.tw/uploads/indsr/files/202501/04bbf7d3-78ec-4241-a21f-520a41efa016.pdf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2B508B">
      <w:pPr>
        <w:numPr>
          <w:ilvl w:val="0"/>
          <w:numId w:val="41"/>
        </w:numPr>
        <w:spacing w:after="210" w:line="360" w:lineRule="auto"/>
      </w:pPr>
      <w:bookmarkStart w:id="267" w:name="fn112"/>
      <w:bookmarkEnd w:id="267"/>
      <w:r>
        <w:fldChar w:fldCharType="begin"/>
      </w:r>
      <w:r>
        <w:instrText xml:space="preserve"> HYPERLINK "https://sg.china-embassy.gov.cn/chn/jrzg/202203/t20220309_10650091.htm" \h </w:instrText>
      </w:r>
      <w:r>
        <w:fldChar w:fldCharType="separate"/>
      </w:r>
      <w:r>
        <w:rPr>
          <w:rFonts w:ascii="inter" w:hAnsi="inter" w:eastAsia="inter" w:cs="inter"/>
          <w:color w:val="000000"/>
          <w:sz w:val="18"/>
          <w:u w:val="single"/>
        </w:rPr>
        <w:t>https://sg.china-embassy.gov.cn/chn/jrzg/202203/t20220309_10650091.htm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21183B">
      <w:pPr>
        <w:numPr>
          <w:ilvl w:val="0"/>
          <w:numId w:val="41"/>
        </w:numPr>
        <w:spacing w:after="210" w:line="360" w:lineRule="auto"/>
      </w:pPr>
      <w:bookmarkStart w:id="268" w:name="fn113"/>
      <w:bookmarkEnd w:id="268"/>
      <w:r>
        <w:fldChar w:fldCharType="begin"/>
      </w:r>
      <w:r>
        <w:instrText xml:space="preserve"> HYPERLINK "https://www.qyjjpl.cn/Uploads/PdfFile/2021-05-18/60a374f54a910.pdf" \h </w:instrText>
      </w:r>
      <w:r>
        <w:fldChar w:fldCharType="separate"/>
      </w:r>
      <w:r>
        <w:rPr>
          <w:rFonts w:ascii="inter" w:hAnsi="inter" w:eastAsia="inter" w:cs="inter"/>
          <w:color w:val="000000"/>
          <w:sz w:val="18"/>
          <w:u w:val="single"/>
        </w:rPr>
        <w:t>https://www.qyjjpl.cn/Uploads/PdfFile/2021-05-18/60a374f54a910.pdf</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2">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3">
    <w:nsid w:val="9288B902"/>
    <w:multiLevelType w:val="singleLevel"/>
    <w:tmpl w:val="9288B902"/>
    <w:lvl w:ilvl="0" w:tentative="0">
      <w:start w:val="1"/>
      <w:numFmt w:val="bullet"/>
      <w:lvlText w:val=""/>
      <w:lvlJc w:val="left"/>
      <w:pPr>
        <w:tabs>
          <w:tab w:val="left" w:pos="900"/>
        </w:tabs>
        <w:ind w:left="540" w:hanging="360"/>
      </w:pPr>
      <w:rPr>
        <w:rFonts w:hint="default" w:ascii="Symbol" w:hAnsi="Symbol"/>
      </w:rPr>
    </w:lvl>
  </w:abstractNum>
  <w:abstractNum w:abstractNumId="4">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5">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6">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7">
    <w:nsid w:val="BB64CFA9"/>
    <w:multiLevelType w:val="singleLevel"/>
    <w:tmpl w:val="BB64CFA9"/>
    <w:lvl w:ilvl="0" w:tentative="0">
      <w:start w:val="1"/>
      <w:numFmt w:val="decimal"/>
      <w:lvlText w:val="%1."/>
      <w:lvlJc w:val="left"/>
      <w:pPr>
        <w:tabs>
          <w:tab w:val="left" w:pos="900"/>
        </w:tabs>
        <w:ind w:left="540" w:hanging="360"/>
      </w:pPr>
    </w:lvl>
  </w:abstractNum>
  <w:abstractNum w:abstractNumId="8">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9">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10">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11">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2">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13">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4">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15">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6">
    <w:nsid w:val="F7735DC9"/>
    <w:multiLevelType w:val="singleLevel"/>
    <w:tmpl w:val="F7735DC9"/>
    <w:lvl w:ilvl="0" w:tentative="0">
      <w:start w:val="1"/>
      <w:numFmt w:val="bullet"/>
      <w:lvlText w:val=""/>
      <w:lvlJc w:val="left"/>
      <w:pPr>
        <w:tabs>
          <w:tab w:val="left" w:pos="900"/>
        </w:tabs>
        <w:ind w:left="540" w:hanging="360"/>
      </w:pPr>
      <w:rPr>
        <w:rFonts w:hint="default" w:ascii="Symbol" w:hAnsi="Symbol"/>
      </w:rPr>
    </w:lvl>
  </w:abstractNum>
  <w:abstractNum w:abstractNumId="17">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8">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9">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20">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21">
    <w:nsid w:val="243FCF68"/>
    <w:multiLevelType w:val="singleLevel"/>
    <w:tmpl w:val="243FCF68"/>
    <w:lvl w:ilvl="0" w:tentative="0">
      <w:start w:val="1"/>
      <w:numFmt w:val="bullet"/>
      <w:lvlText w:val=""/>
      <w:lvlJc w:val="left"/>
      <w:pPr>
        <w:tabs>
          <w:tab w:val="left" w:pos="900"/>
        </w:tabs>
        <w:ind w:left="540" w:hanging="360"/>
      </w:pPr>
      <w:rPr>
        <w:rFonts w:hint="default" w:ascii="Symbol" w:hAnsi="Symbol"/>
      </w:rPr>
    </w:lvl>
  </w:abstractNum>
  <w:abstractNum w:abstractNumId="22">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23">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24">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25">
    <w:nsid w:val="30FC5B15"/>
    <w:multiLevelType w:val="singleLevel"/>
    <w:tmpl w:val="30FC5B15"/>
    <w:lvl w:ilvl="0" w:tentative="0">
      <w:start w:val="1"/>
      <w:numFmt w:val="bullet"/>
      <w:lvlText w:val=""/>
      <w:lvlJc w:val="left"/>
      <w:pPr>
        <w:tabs>
          <w:tab w:val="left" w:pos="900"/>
        </w:tabs>
        <w:ind w:left="540" w:hanging="360"/>
      </w:pPr>
      <w:rPr>
        <w:rFonts w:hint="default" w:ascii="Symbol" w:hAnsi="Symbol"/>
      </w:rPr>
    </w:lvl>
  </w:abstractNum>
  <w:abstractNum w:abstractNumId="26">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27">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28">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29">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30">
    <w:nsid w:val="4D94DA66"/>
    <w:multiLevelType w:val="singleLevel"/>
    <w:tmpl w:val="4D94DA66"/>
    <w:lvl w:ilvl="0" w:tentative="0">
      <w:start w:val="1"/>
      <w:numFmt w:val="bullet"/>
      <w:lvlText w:val=""/>
      <w:lvlJc w:val="left"/>
      <w:pPr>
        <w:tabs>
          <w:tab w:val="left" w:pos="900"/>
        </w:tabs>
        <w:ind w:left="540" w:hanging="360"/>
      </w:pPr>
      <w:rPr>
        <w:rFonts w:hint="default" w:ascii="Symbol" w:hAnsi="Symbol"/>
      </w:rPr>
    </w:lvl>
  </w:abstractNum>
  <w:abstractNum w:abstractNumId="31">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32">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33">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34">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35">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36">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37">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38">
    <w:nsid w:val="79AA4FA4"/>
    <w:multiLevelType w:val="singleLevel"/>
    <w:tmpl w:val="79AA4FA4"/>
    <w:lvl w:ilvl="0" w:tentative="0">
      <w:start w:val="1"/>
      <w:numFmt w:val="bullet"/>
      <w:lvlText w:val=""/>
      <w:lvlJc w:val="left"/>
      <w:pPr>
        <w:tabs>
          <w:tab w:val="left" w:pos="900"/>
        </w:tabs>
        <w:ind w:left="540" w:hanging="360"/>
      </w:pPr>
      <w:rPr>
        <w:rFonts w:hint="default" w:ascii="Symbol" w:hAnsi="Symbol"/>
      </w:rPr>
    </w:lvl>
  </w:abstractNum>
  <w:abstractNum w:abstractNumId="39">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40">
    <w:nsid w:val="7DEC2089"/>
    <w:multiLevelType w:val="singleLevel"/>
    <w:tmpl w:val="7DEC2089"/>
    <w:lvl w:ilvl="0" w:tentative="0">
      <w:start w:val="1"/>
      <w:numFmt w:val="bullet"/>
      <w:lvlText w:val=""/>
      <w:lvlJc w:val="left"/>
      <w:pPr>
        <w:tabs>
          <w:tab w:val="left" w:pos="900"/>
        </w:tabs>
        <w:ind w:left="540" w:hanging="360"/>
      </w:pPr>
      <w:rPr>
        <w:rFonts w:hint="default" w:ascii="Symbol" w:hAnsi="Symbol"/>
      </w:rPr>
    </w:lvl>
  </w:abstractNum>
  <w:num w:numId="1">
    <w:abstractNumId w:val="17"/>
  </w:num>
  <w:num w:numId="2">
    <w:abstractNumId w:val="11"/>
  </w:num>
  <w:num w:numId="3">
    <w:abstractNumId w:val="32"/>
  </w:num>
  <w:num w:numId="4">
    <w:abstractNumId w:val="9"/>
  </w:num>
  <w:num w:numId="5">
    <w:abstractNumId w:val="6"/>
  </w:num>
  <w:num w:numId="6">
    <w:abstractNumId w:val="19"/>
  </w:num>
  <w:num w:numId="7">
    <w:abstractNumId w:val="23"/>
  </w:num>
  <w:num w:numId="8">
    <w:abstractNumId w:val="36"/>
  </w:num>
  <w:num w:numId="9">
    <w:abstractNumId w:val="18"/>
  </w:num>
  <w:num w:numId="10">
    <w:abstractNumId w:val="2"/>
  </w:num>
  <w:num w:numId="11">
    <w:abstractNumId w:val="24"/>
  </w:num>
  <w:num w:numId="12">
    <w:abstractNumId w:val="33"/>
  </w:num>
  <w:num w:numId="13">
    <w:abstractNumId w:val="10"/>
  </w:num>
  <w:num w:numId="14">
    <w:abstractNumId w:val="29"/>
  </w:num>
  <w:num w:numId="15">
    <w:abstractNumId w:val="15"/>
  </w:num>
  <w:num w:numId="16">
    <w:abstractNumId w:val="22"/>
  </w:num>
  <w:num w:numId="17">
    <w:abstractNumId w:val="13"/>
  </w:num>
  <w:num w:numId="18">
    <w:abstractNumId w:val="12"/>
  </w:num>
  <w:num w:numId="19">
    <w:abstractNumId w:val="4"/>
  </w:num>
  <w:num w:numId="20">
    <w:abstractNumId w:val="28"/>
  </w:num>
  <w:num w:numId="21">
    <w:abstractNumId w:val="34"/>
  </w:num>
  <w:num w:numId="22">
    <w:abstractNumId w:val="20"/>
  </w:num>
  <w:num w:numId="23">
    <w:abstractNumId w:val="27"/>
  </w:num>
  <w:num w:numId="24">
    <w:abstractNumId w:val="5"/>
  </w:num>
  <w:num w:numId="25">
    <w:abstractNumId w:val="39"/>
  </w:num>
  <w:num w:numId="26">
    <w:abstractNumId w:val="37"/>
  </w:num>
  <w:num w:numId="27">
    <w:abstractNumId w:val="8"/>
  </w:num>
  <w:num w:numId="28">
    <w:abstractNumId w:val="35"/>
  </w:num>
  <w:num w:numId="29">
    <w:abstractNumId w:val="3"/>
  </w:num>
  <w:num w:numId="30">
    <w:abstractNumId w:val="26"/>
  </w:num>
  <w:num w:numId="31">
    <w:abstractNumId w:val="1"/>
  </w:num>
  <w:num w:numId="32">
    <w:abstractNumId w:val="31"/>
  </w:num>
  <w:num w:numId="33">
    <w:abstractNumId w:val="40"/>
  </w:num>
  <w:num w:numId="34">
    <w:abstractNumId w:val="0"/>
  </w:num>
  <w:num w:numId="35">
    <w:abstractNumId w:val="21"/>
  </w:num>
  <w:num w:numId="36">
    <w:abstractNumId w:val="30"/>
  </w:num>
  <w:num w:numId="37">
    <w:abstractNumId w:val="16"/>
  </w:num>
  <w:num w:numId="38">
    <w:abstractNumId w:val="14"/>
  </w:num>
  <w:num w:numId="39">
    <w:abstractNumId w:val="25"/>
  </w:num>
  <w:num w:numId="40">
    <w:abstractNumId w:val="38"/>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78B5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1508</Words>
  <Characters>1623</Characters>
  <TotalTime>0</TotalTime>
  <ScaleCrop>false</ScaleCrop>
  <LinksUpToDate>false</LinksUpToDate>
  <CharactersWithSpaces>1646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2026-01-18T06:30:00Z</dcterms:created>
  <dc:creator>html-to-docx</dc:creator>
  <cp:keywords>html-to-docx</cp:keywords>
  <cp:lastModifiedBy>dyx</cp:lastModifiedBy>
  <dcterms:modified xsi:type="dcterms:W3CDTF">2026-01-18T06:31:19Z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A8619080CA014FE2BDFC62F1CE1A9637_12</vt:lpwstr>
  </property>
</Properties>
</file>