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1" w:line="220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13"/>
        </w:rPr>
        <w:t>中国房地产行业可持续发展展望报告(2025-2035年)</w:t>
      </w:r>
    </w:p>
    <w:p>
      <w:pPr>
        <w:pStyle w:val="BodyText"/>
        <w:spacing w:before="214" w:line="336" w:lineRule="auto"/>
        <w:rPr/>
      </w:pPr>
      <w:r>
        <w:rPr>
          <w:spacing w:val="11"/>
        </w:rPr>
        <w:t>房地产行业的可持续发展是指在满足当前住房需求的同时</w:t>
      </w:r>
      <w:r>
        <w:rPr>
          <w:spacing w:val="10"/>
        </w:rPr>
        <w:t>，确保经济稳定、社会公平与环境保护</w:t>
      </w:r>
      <w:r>
        <w:rPr/>
        <w:t xml:space="preserve">  </w:t>
      </w:r>
      <w:r>
        <w:rPr>
          <w:spacing w:val="18"/>
        </w:rPr>
        <w:t>的平衡发展。这包括经济层面(如市场平稳、防范风险)、社会层面(如保障民生、促进公平)和</w:t>
      </w:r>
      <w:r>
        <w:rPr>
          <w:spacing w:val="13"/>
        </w:rPr>
        <w:t xml:space="preserve"> </w:t>
      </w:r>
      <w:r>
        <w:rPr>
          <w:spacing w:val="13"/>
        </w:rPr>
        <w:t>环境层面(如绿色建筑、碳减排)。未来10年，中国房地产行业将从高速增长转向高质量发展，有</w:t>
      </w:r>
      <w:r>
        <w:rPr>
          <w:spacing w:val="10"/>
        </w:rPr>
        <w:t xml:space="preserve"> </w:t>
      </w:r>
      <w:r>
        <w:rPr>
          <w:spacing w:val="9"/>
        </w:rPr>
        <w:t>序良性发展成为核心目标，推动行业健康转型。</w:t>
      </w:r>
    </w:p>
    <w:p>
      <w:pPr>
        <w:pStyle w:val="BodyText"/>
        <w:ind w:left="3"/>
        <w:spacing w:before="232" w:line="220" w:lineRule="auto"/>
        <w:rPr/>
      </w:pPr>
      <w:r>
        <w:rPr>
          <w:b/>
          <w:bCs/>
          <w:spacing w:val="8"/>
        </w:rPr>
        <w:t>房地产行业走向可持续发展的推动力量</w:t>
      </w:r>
    </w:p>
    <w:p>
      <w:pPr>
        <w:pStyle w:val="BodyText"/>
        <w:spacing w:before="230" w:line="213" w:lineRule="auto"/>
        <w:rPr/>
      </w:pPr>
      <w:r>
        <w:rPr>
          <w:spacing w:val="10"/>
        </w:rPr>
        <w:t>房地产行业向可持续发展转型受多重力量驱动，</w:t>
      </w:r>
      <w:r>
        <w:rPr>
          <w:spacing w:val="9"/>
        </w:rPr>
        <w:t>这些力量相互交织，形成强大合力。</w:t>
      </w:r>
    </w:p>
    <w:p>
      <w:pPr>
        <w:pStyle w:val="BodyText"/>
        <w:ind w:left="499" w:right="98" w:hanging="130"/>
        <w:spacing w:before="272" w:line="299" w:lineRule="auto"/>
        <w:rPr/>
      </w:pPr>
      <w:r>
        <w:rPr>
          <w:spacing w:val="-1"/>
        </w:rPr>
        <w:t>·</w:t>
      </w:r>
      <w:r>
        <w:rPr>
          <w:spacing w:val="-73"/>
        </w:rPr>
        <w:t xml:space="preserve"> </w:t>
      </w:r>
      <w:r>
        <w:rPr>
          <w:spacing w:val="-1"/>
        </w:rPr>
        <w:t>市场需求变化一居民住房需求从“有没有”转向“好不好”,改善性需求和绿色宜居需求上升。</w:t>
      </w:r>
      <w:r>
        <w:rPr/>
        <w:t xml:space="preserve"> </w:t>
      </w:r>
      <w:r>
        <w:rPr>
          <w:spacing w:val="10"/>
        </w:rPr>
        <w:t>随着城镇化率提升和人口结构变化，消费者更注重节能环保、健康舒适的住房，推动开发商</w:t>
      </w:r>
      <w:r>
        <w:rPr>
          <w:spacing w:val="4"/>
        </w:rPr>
        <w:t xml:space="preserve"> </w:t>
      </w:r>
      <w:r>
        <w:rPr>
          <w:spacing w:val="8"/>
        </w:rPr>
        <w:t>转向高品质、绿色产品。</w:t>
      </w:r>
    </w:p>
    <w:p>
      <w:pPr>
        <w:pStyle w:val="BodyText"/>
        <w:ind w:left="499" w:right="36" w:hanging="130"/>
        <w:spacing w:before="286" w:line="298" w:lineRule="auto"/>
        <w:rPr/>
      </w:pPr>
      <w:r>
        <w:rPr>
          <w:spacing w:val="13"/>
        </w:rPr>
        <w:t>·</w:t>
      </w:r>
      <w:r>
        <w:rPr>
          <w:spacing w:val="-65"/>
        </w:rPr>
        <w:t xml:space="preserve"> </w:t>
      </w:r>
      <w:r>
        <w:rPr>
          <w:spacing w:val="13"/>
        </w:rPr>
        <w:t>国家战略与政策导向一“双碳”目标(2030年碳达峰、2060年碳中和)和新型城镇化战略是</w:t>
      </w:r>
      <w:r>
        <w:rPr/>
        <w:t xml:space="preserve"> </w:t>
      </w:r>
      <w:r>
        <w:rPr>
          <w:spacing w:val="4"/>
        </w:rPr>
        <w:t>关键驱动。中央强调构建房地产新模式、推进城市更新和“好房子”建设，引导行业从粗放开</w:t>
      </w:r>
      <w:r>
        <w:rPr>
          <w:spacing w:val="3"/>
        </w:rPr>
        <w:t xml:space="preserve">  </w:t>
      </w:r>
      <w:r>
        <w:rPr>
          <w:spacing w:val="6"/>
        </w:rPr>
        <w:t>发向绿色低碳转型。</w:t>
      </w:r>
    </w:p>
    <w:p>
      <w:pPr>
        <w:pStyle w:val="BodyText"/>
        <w:ind w:left="499" w:right="34" w:hanging="130"/>
        <w:spacing w:before="235" w:line="279" w:lineRule="auto"/>
        <w:rPr/>
      </w:pPr>
      <w:r>
        <w:rPr>
          <w:spacing w:val="9"/>
        </w:rPr>
        <w:t>·</w:t>
      </w:r>
      <w:r>
        <w:rPr>
          <w:spacing w:val="-76"/>
        </w:rPr>
        <w:t xml:space="preserve"> </w:t>
      </w:r>
      <w:r>
        <w:rPr>
          <w:spacing w:val="9"/>
        </w:rPr>
        <w:t>技术创新与产业升级一新技术如装配式建筑、智能建造、绿色建材的应用显著降低能耗和排</w:t>
      </w:r>
      <w:r>
        <w:rPr/>
        <w:t xml:space="preserve"> </w:t>
      </w:r>
      <w:r>
        <w:rPr>
          <w:spacing w:val="8"/>
        </w:rPr>
        <w:t>放。数字化工具提升效率，助力全生命周期管理。</w:t>
      </w:r>
    </w:p>
    <w:p>
      <w:pPr>
        <w:pStyle w:val="BodyText"/>
        <w:ind w:left="499" w:right="29" w:hanging="130"/>
        <w:spacing w:before="274" w:line="271" w:lineRule="auto"/>
        <w:rPr/>
      </w:pPr>
      <w:r>
        <w:rPr>
          <w:spacing w:val="12"/>
        </w:rPr>
        <w:t>·</w:t>
      </w:r>
      <w:r>
        <w:rPr>
          <w:spacing w:val="-80"/>
        </w:rPr>
        <w:t xml:space="preserve"> </w:t>
      </w:r>
      <w:r>
        <w:rPr>
          <w:spacing w:val="12"/>
        </w:rPr>
        <w:t>企业责任与市场竞争一头部房企积极践行</w:t>
      </w:r>
      <w:r>
        <w:rPr>
          <w:rFonts w:ascii="SimSun" w:hAnsi="SimSun" w:eastAsia="SimSun" w:cs="SimSun"/>
        </w:rPr>
        <w:t>ESG</w:t>
      </w:r>
      <w:r>
        <w:rPr>
          <w:rFonts w:ascii="SimSun" w:hAnsi="SimSun" w:eastAsia="SimSun" w:cs="SimSun"/>
          <w:spacing w:val="12"/>
        </w:rPr>
        <w:t xml:space="preserve">  </w:t>
      </w:r>
      <w:r>
        <w:rPr>
          <w:spacing w:val="12"/>
        </w:rPr>
        <w:t>(环境、社会、治理)理念，发布可持续发展</w:t>
      </w:r>
      <w:r>
        <w:rPr/>
        <w:t xml:space="preserve"> </w:t>
      </w:r>
      <w:r>
        <w:rPr>
          <w:spacing w:val="10"/>
        </w:rPr>
        <w:t>报告，提升品牌竞争力。资本市场青睐绿色项目，推动资金向可持续方向流动。</w:t>
      </w:r>
    </w:p>
    <w:p>
      <w:pPr>
        <w:pStyle w:val="BodyText"/>
        <w:ind w:left="499" w:right="24" w:hanging="130"/>
        <w:spacing w:before="275" w:line="287" w:lineRule="auto"/>
        <w:rPr/>
      </w:pPr>
      <w:r>
        <w:rPr>
          <w:spacing w:val="10"/>
        </w:rPr>
        <w:t>·</w:t>
      </w:r>
      <w:r>
        <w:rPr>
          <w:spacing w:val="-94"/>
        </w:rPr>
        <w:t xml:space="preserve"> </w:t>
      </w:r>
      <w:r>
        <w:rPr>
          <w:spacing w:val="10"/>
        </w:rPr>
        <w:t>社会与环境压力一气候变化、资源短缺和公众环保意识增强</w:t>
      </w:r>
      <w:r>
        <w:rPr>
          <w:spacing w:val="9"/>
        </w:rPr>
        <w:t>，要求行业减少碳排放、保护生</w:t>
      </w:r>
      <w:r>
        <w:rPr/>
        <w:t xml:space="preserve"> </w:t>
      </w:r>
      <w:r>
        <w:rPr>
          <w:spacing w:val="9"/>
        </w:rPr>
        <w:t>态。国际绿色标准影响也间接推动转型。</w:t>
      </w:r>
    </w:p>
    <w:p>
      <w:pPr>
        <w:pStyle w:val="BodyText"/>
        <w:spacing w:before="305" w:line="213" w:lineRule="auto"/>
        <w:rPr/>
      </w:pPr>
      <w:r>
        <w:rPr>
          <w:spacing w:val="10"/>
        </w:rPr>
        <w:t>这些力量共同作用，促进行业从规模扩张向质量提升转变</w:t>
      </w:r>
      <w:r>
        <w:rPr>
          <w:spacing w:val="9"/>
        </w:rPr>
        <w:t>，实现经济、社会、环境的协调发展。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spacing w:before="74" w:line="220" w:lineRule="auto"/>
        <w:rPr/>
      </w:pPr>
      <w:r>
        <w:rPr>
          <w:spacing w:val="10"/>
        </w:rPr>
        <w:t>国家未来10年引导房地产行业稳健发展的框架</w:t>
      </w:r>
    </w:p>
    <w:p>
      <w:pPr>
        <w:pStyle w:val="BodyText"/>
        <w:ind w:right="141"/>
        <w:spacing w:before="205" w:line="351" w:lineRule="auto"/>
        <w:rPr/>
      </w:pPr>
      <w:r>
        <w:rPr>
          <w:spacing w:val="19"/>
        </w:rPr>
        <w:t>未来10年(2025-2035年),国家将从政策、资金和大方向三个方面多管齐下，帮助房地产行业</w:t>
      </w:r>
      <w:r>
        <w:rPr>
          <w:spacing w:val="7"/>
        </w:rPr>
        <w:t xml:space="preserve"> </w:t>
      </w:r>
      <w:r>
        <w:rPr>
          <w:spacing w:val="10"/>
        </w:rPr>
        <w:t>走得稳、走得好。重点是构建新发展模式、化解风险、促进绿色转型，与新型城镇化和双碳目标</w:t>
      </w:r>
      <w:r>
        <w:rPr>
          <w:spacing w:val="16"/>
        </w:rPr>
        <w:t xml:space="preserve"> </w:t>
      </w:r>
      <w:r>
        <w:rPr>
          <w:spacing w:val="6"/>
        </w:rPr>
        <w:t>深度融合。</w:t>
      </w:r>
    </w:p>
    <w:p>
      <w:pPr>
        <w:pStyle w:val="BodyText"/>
        <w:ind w:left="3"/>
        <w:spacing w:before="87" w:line="221" w:lineRule="auto"/>
        <w:rPr/>
      </w:pPr>
      <w:r>
        <w:rPr>
          <w:b/>
          <w:bCs/>
          <w:spacing w:val="9"/>
        </w:rPr>
        <w:t>政策层面</w:t>
      </w:r>
    </w:p>
    <w:p>
      <w:pPr>
        <w:pStyle w:val="BodyText"/>
        <w:spacing w:before="148" w:line="213" w:lineRule="auto"/>
        <w:rPr/>
      </w:pPr>
      <w:r>
        <w:rPr>
          <w:spacing w:val="9"/>
        </w:rPr>
        <w:t>国家将完善土地、税收、监管等基础制度，支持行业平稳过渡。</w:t>
      </w:r>
    </w:p>
    <w:p>
      <w:pPr>
        <w:spacing w:line="213" w:lineRule="auto"/>
        <w:sectPr>
          <w:pgSz w:w="12240" w:h="15840"/>
          <w:pgMar w:top="1123" w:right="1016" w:bottom="0" w:left="980" w:header="0" w:footer="0" w:gutter="0"/>
        </w:sectPr>
        <w:rPr/>
      </w:pPr>
    </w:p>
    <w:p>
      <w:pPr>
        <w:pStyle w:val="BodyText"/>
        <w:ind w:left="369"/>
        <w:spacing w:before="46" w:line="213" w:lineRule="auto"/>
        <w:rPr/>
      </w:pPr>
      <w:r>
        <w:rPr>
          <w:spacing w:val="5"/>
        </w:rPr>
        <w:t>·</w:t>
      </w:r>
      <w:r>
        <w:rPr>
          <w:spacing w:val="-86"/>
        </w:rPr>
        <w:t xml:space="preserve"> </w:t>
      </w:r>
      <w:r>
        <w:rPr>
          <w:spacing w:val="5"/>
        </w:rPr>
        <w:t>土地政策优化供给结构，严控增量、盘活存量，推动城中村改造和旧房更新。</w:t>
      </w:r>
    </w:p>
    <w:p>
      <w:pPr>
        <w:pStyle w:val="BodyText"/>
        <w:ind w:left="369"/>
        <w:spacing w:before="284" w:line="213" w:lineRule="auto"/>
        <w:rPr/>
      </w:pPr>
      <w:r>
        <w:rPr>
          <w:spacing w:val="3"/>
        </w:rPr>
        <w:t>·</w:t>
      </w:r>
      <w:r>
        <w:rPr>
          <w:spacing w:val="-83"/>
        </w:rPr>
        <w:t xml:space="preserve"> </w:t>
      </w:r>
      <w:r>
        <w:rPr>
          <w:spacing w:val="3"/>
        </w:rPr>
        <w:t>税收政策鼓励绿色建筑，如减免税费支持节能项目。</w:t>
      </w:r>
    </w:p>
    <w:p>
      <w:pPr>
        <w:pStyle w:val="BodyText"/>
        <w:ind w:left="369"/>
        <w:spacing w:before="264" w:line="213" w:lineRule="auto"/>
        <w:rPr/>
      </w:pPr>
      <w:r>
        <w:rPr>
          <w:spacing w:val="-2"/>
        </w:rPr>
        <w:t>·监管政策强化融资协调机制、“白名单”制度，确保保交楼和风险防范。</w:t>
      </w:r>
    </w:p>
    <w:p>
      <w:pPr>
        <w:pStyle w:val="BodyText"/>
        <w:ind w:left="509" w:right="2208" w:hanging="140"/>
        <w:spacing w:before="264" w:line="283" w:lineRule="auto"/>
        <w:rPr/>
      </w:pPr>
      <w:r>
        <w:rPr>
          <w:spacing w:val="5"/>
        </w:rPr>
        <w:t>·住房制度改革推进租购并举，扩大保障性住房供给，满足多样化需求。</w:t>
      </w:r>
      <w:r>
        <w:rPr>
          <w:spacing w:val="4"/>
        </w:rPr>
        <w:t xml:space="preserve"> </w:t>
      </w:r>
      <w:r>
        <w:rPr>
          <w:spacing w:val="9"/>
        </w:rPr>
        <w:t>这些政策因城施策，灵活调整，促进市场供需平衡。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1" w:lineRule="auto"/>
        <w:rPr/>
      </w:pPr>
      <w:r>
        <w:rPr>
          <w:b/>
          <w:bCs/>
          <w:spacing w:val="7"/>
        </w:rPr>
        <w:t>资金安排层面</w:t>
      </w:r>
    </w:p>
    <w:p>
      <w:pPr>
        <w:pStyle w:val="BodyText"/>
        <w:spacing w:before="148" w:line="213" w:lineRule="auto"/>
        <w:rPr/>
      </w:pPr>
      <w:r>
        <w:rPr>
          <w:spacing w:val="8"/>
        </w:rPr>
        <w:t>国家将通过财政和绿色金融渠道，提供有力支</w:t>
      </w:r>
      <w:r>
        <w:rPr>
          <w:spacing w:val="7"/>
        </w:rPr>
        <w:t>持。</w:t>
      </w:r>
    </w:p>
    <w:p>
      <w:pPr>
        <w:pStyle w:val="BodyText"/>
        <w:ind w:left="369"/>
        <w:spacing w:before="265" w:line="213" w:lineRule="auto"/>
        <w:rPr/>
      </w:pPr>
      <w:r>
        <w:rPr>
          <w:spacing w:val="5"/>
        </w:rPr>
        <w:t>·</w:t>
      </w:r>
      <w:r>
        <w:rPr>
          <w:spacing w:val="-86"/>
        </w:rPr>
        <w:t xml:space="preserve"> </w:t>
      </w:r>
      <w:r>
        <w:rPr>
          <w:spacing w:val="5"/>
        </w:rPr>
        <w:t>财政资金加大投入专项债，用于收购存量房、基础设施和城市更新。</w:t>
      </w:r>
    </w:p>
    <w:p>
      <w:pPr>
        <w:pStyle w:val="BodyText"/>
        <w:ind w:left="369"/>
        <w:spacing w:before="284" w:line="213" w:lineRule="auto"/>
        <w:rPr/>
      </w:pPr>
      <w:r>
        <w:rPr>
          <w:spacing w:val="5"/>
        </w:rPr>
        <w:t>·</w:t>
      </w:r>
      <w:r>
        <w:rPr>
          <w:spacing w:val="-94"/>
        </w:rPr>
        <w:t xml:space="preserve"> </w:t>
      </w:r>
      <w:r>
        <w:rPr>
          <w:spacing w:val="5"/>
        </w:rPr>
        <w:t>绿色金融创新工具如绿色债券、碳减排贷款，</w:t>
      </w:r>
      <w:r>
        <w:rPr>
          <w:spacing w:val="4"/>
        </w:rPr>
        <w:t>支持低碳项目。</w:t>
      </w:r>
    </w:p>
    <w:p>
      <w:pPr>
        <w:pStyle w:val="BodyText"/>
        <w:ind w:left="369"/>
        <w:spacing w:before="274" w:line="220" w:lineRule="auto"/>
        <w:rPr/>
      </w:pPr>
      <w:r>
        <w:rPr>
          <w:spacing w:val="4"/>
        </w:rPr>
        <w:t>·</w:t>
      </w:r>
      <w:r>
        <w:rPr>
          <w:spacing w:val="-98"/>
        </w:rPr>
        <w:t xml:space="preserve"> </w:t>
      </w:r>
      <w:r>
        <w:rPr>
          <w:spacing w:val="4"/>
        </w:rPr>
        <w:t>再贷款机制鼓励银行向优质房企和绿色转型项目倾斜资</w:t>
      </w:r>
      <w:r>
        <w:rPr>
          <w:spacing w:val="3"/>
        </w:rPr>
        <w:t>金。</w:t>
      </w:r>
    </w:p>
    <w:p>
      <w:pPr>
        <w:pStyle w:val="BodyText"/>
        <w:ind w:left="369"/>
        <w:spacing w:before="257" w:line="213" w:lineRule="auto"/>
        <w:rPr/>
      </w:pPr>
      <w:r>
        <w:rPr>
          <w:spacing w:val="5"/>
        </w:rPr>
        <w:t>·</w:t>
      </w:r>
      <w:r>
        <w:rPr>
          <w:spacing w:val="-86"/>
        </w:rPr>
        <w:t xml:space="preserve"> </w:t>
      </w:r>
      <w:r>
        <w:rPr>
          <w:spacing w:val="5"/>
        </w:rPr>
        <w:t>资金引导社会资本参与，缓解企业流动性压力，推动轻资产运营和产业升级。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rPr/>
      </w:pPr>
      <w:r>
        <w:rPr>
          <w:b/>
          <w:bCs/>
          <w:spacing w:val="7"/>
        </w:rPr>
        <w:t>大方向引导层面</w:t>
      </w:r>
    </w:p>
    <w:p>
      <w:pPr>
        <w:pStyle w:val="BodyText"/>
        <w:spacing w:before="128" w:line="213" w:lineRule="auto"/>
        <w:rPr/>
      </w:pPr>
      <w:r>
        <w:rPr>
          <w:spacing w:val="9"/>
        </w:rPr>
        <w:t>国家将房地产发展融入国家战略，确保行业与宏观目标协同。</w:t>
      </w:r>
    </w:p>
    <w:p>
      <w:pPr>
        <w:pStyle w:val="BodyText"/>
        <w:ind w:left="509" w:right="270" w:hanging="140"/>
        <w:spacing w:before="265" w:line="297" w:lineRule="auto"/>
        <w:rPr/>
      </w:pPr>
      <w:r>
        <w:rPr>
          <w:spacing w:val="11"/>
        </w:rPr>
        <w:t>·</w:t>
      </w:r>
      <w:r>
        <w:rPr>
          <w:spacing w:val="-82"/>
        </w:rPr>
        <w:t xml:space="preserve"> </w:t>
      </w:r>
      <w:r>
        <w:rPr>
          <w:spacing w:val="11"/>
        </w:rPr>
        <w:t>与碳减排深度对接</w:t>
      </w:r>
      <w:r>
        <w:rPr>
          <w:spacing w:val="-86"/>
        </w:rPr>
        <w:t xml:space="preserve"> </w:t>
      </w:r>
      <w:r>
        <w:rPr>
          <w:spacing w:val="11"/>
        </w:rPr>
        <w:t>→推广超低能耗建筑、绿</w:t>
      </w:r>
      <w:r>
        <w:rPr>
          <w:spacing w:val="10"/>
        </w:rPr>
        <w:t>色建材，到2035年基本实现建筑领域低碳转</w:t>
      </w:r>
      <w:r>
        <w:rPr/>
        <w:t xml:space="preserve"> </w:t>
      </w:r>
      <w:r>
        <w:rPr>
          <w:spacing w:val="-4"/>
        </w:rPr>
        <w:t>型。</w:t>
      </w:r>
    </w:p>
    <w:p>
      <w:pPr>
        <w:pStyle w:val="BodyText"/>
        <w:ind w:left="369"/>
        <w:spacing w:before="230" w:line="213" w:lineRule="auto"/>
        <w:rPr/>
      </w:pPr>
      <w:r>
        <w:rPr>
          <w:spacing w:val="7"/>
        </w:rPr>
        <w:t>·</w:t>
      </w:r>
      <w:r>
        <w:rPr>
          <w:spacing w:val="-80"/>
        </w:rPr>
        <w:t xml:space="preserve"> </w:t>
      </w:r>
      <w:r>
        <w:rPr>
          <w:spacing w:val="7"/>
        </w:rPr>
        <w:t>与新型城镇化配合→推进城市群建设、宜居城市打造，提升住房品质和公共服务。</w:t>
      </w:r>
    </w:p>
    <w:p>
      <w:pPr>
        <w:pStyle w:val="BodyText"/>
        <w:ind w:left="509" w:right="1918" w:hanging="140"/>
        <w:spacing w:before="265" w:line="283" w:lineRule="auto"/>
        <w:rPr/>
      </w:pPr>
      <w:r>
        <w:rPr>
          <w:spacing w:val="-1"/>
        </w:rPr>
        <w:t>·</w:t>
      </w:r>
      <w:r>
        <w:rPr>
          <w:spacing w:val="-87"/>
        </w:rPr>
        <w:t xml:space="preserve"> </w:t>
      </w:r>
      <w:r>
        <w:rPr>
          <w:spacing w:val="-1"/>
        </w:rPr>
        <w:t>强调高质量发展→建设“好房子”、智能社区，促进共同富裕和民生改善。</w:t>
      </w:r>
      <w:r>
        <w:rPr/>
        <w:t xml:space="preserve"> </w:t>
      </w:r>
      <w:r>
        <w:rPr>
          <w:spacing w:val="9"/>
        </w:rPr>
        <w:t>这些引导将行业从投资驱动转向民生导向，实现可持续增长。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rPr/>
      </w:pPr>
      <w:r>
        <w:rPr>
          <w:b/>
          <w:bCs/>
          <w:spacing w:val="8"/>
        </w:rPr>
        <w:t>总结与展望</w:t>
      </w:r>
    </w:p>
    <w:p>
      <w:pPr>
        <w:pStyle w:val="BodyText"/>
        <w:spacing w:before="205" w:line="336" w:lineRule="auto"/>
        <w:rPr/>
      </w:pPr>
      <w:r>
        <w:rPr>
          <w:spacing w:val="10"/>
        </w:rPr>
        <w:t>中国房地产行业向可持续发展转型势在必行，多重推动力量正加速这一进程。未来10年，国家通</w:t>
      </w:r>
      <w:r>
        <w:rPr>
          <w:spacing w:val="8"/>
        </w:rPr>
        <w:t xml:space="preserve"> </w:t>
      </w:r>
      <w:r>
        <w:rPr>
          <w:spacing w:val="10"/>
        </w:rPr>
        <w:t>过政策完善、资金倾斜和大方向引导，将有效化解风险、激发活力，确保行业走</w:t>
      </w:r>
      <w:r>
        <w:rPr>
          <w:spacing w:val="9"/>
        </w:rPr>
        <w:t>得稳、走得好。</w:t>
      </w:r>
      <w:r>
        <w:rPr/>
        <w:t xml:space="preserve"> </w:t>
      </w:r>
      <w:r>
        <w:rPr>
          <w:spacing w:val="11"/>
        </w:rPr>
        <w:t>这不仅有助于市场止跌回稳，还将为双碳目标、城</w:t>
      </w:r>
      <w:r>
        <w:rPr>
          <w:spacing w:val="10"/>
        </w:rPr>
        <w:t>镇化和高质量发展贡献力量。行业企业需主动</w:t>
      </w:r>
      <w:r>
        <w:rPr/>
        <w:t xml:space="preserve"> </w:t>
      </w:r>
      <w:r>
        <w:rPr>
          <w:spacing w:val="8"/>
        </w:rPr>
        <w:t>适应，拥抱绿色创新，共创健康有序的新格局。</w:t>
      </w:r>
    </w:p>
    <w:p>
      <w:pPr>
        <w:spacing w:before="181" w:line="198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b/>
          <w:bCs/>
          <w:spacing w:val="-3"/>
        </w:rPr>
        <w:t>Key</w:t>
      </w:r>
      <w:r>
        <w:rPr>
          <w:rFonts w:ascii="Arial" w:hAnsi="Arial" w:eastAsia="Arial" w:cs="Arial"/>
          <w:sz w:val="23"/>
          <w:szCs w:val="23"/>
          <w:b/>
          <w:bCs/>
          <w:spacing w:val="25"/>
        </w:rPr>
        <w:t xml:space="preserve">  </w:t>
      </w:r>
      <w:r>
        <w:rPr>
          <w:rFonts w:ascii="Arial" w:hAnsi="Arial" w:eastAsia="Arial" w:cs="Arial"/>
          <w:sz w:val="23"/>
          <w:szCs w:val="23"/>
          <w:b/>
          <w:bCs/>
          <w:spacing w:val="-3"/>
        </w:rPr>
        <w:t>Citations:</w:t>
      </w:r>
    </w:p>
    <w:p>
      <w:pPr>
        <w:spacing w:line="198" w:lineRule="auto"/>
        <w:sectPr>
          <w:pgSz w:w="12240" w:h="15840"/>
          <w:pgMar w:top="1250" w:right="1156" w:bottom="0" w:left="980" w:header="0" w:footer="0" w:gutter="0"/>
        </w:sectPr>
        <w:rPr>
          <w:rFonts w:ascii="Arial" w:hAnsi="Arial" w:eastAsia="Arial" w:cs="Arial"/>
          <w:sz w:val="23"/>
          <w:szCs w:val="23"/>
        </w:rPr>
      </w:pPr>
    </w:p>
    <w:p>
      <w:pPr>
        <w:pStyle w:val="BodyText"/>
        <w:spacing w:before="46" w:line="220" w:lineRule="auto"/>
        <w:rPr/>
      </w:pPr>
      <w:r>
        <w:rPr>
          <w:spacing w:val="13"/>
        </w:rPr>
        <w:t>·</w:t>
      </w:r>
      <w:r>
        <w:rPr>
          <w:spacing w:val="-91"/>
        </w:rPr>
        <w:t xml:space="preserve"> </w:t>
      </w:r>
      <w:r>
        <w:rPr>
          <w:spacing w:val="13"/>
        </w:rPr>
        <w:t>2025房地产上市公司测评报告(上海易居房地产研</w:t>
      </w:r>
      <w:r>
        <w:rPr>
          <w:spacing w:val="12"/>
        </w:rPr>
        <w:t>究院、克而瑞)</w:t>
      </w:r>
    </w:p>
    <w:p>
      <w:pPr>
        <w:pStyle w:val="BodyText"/>
        <w:spacing w:before="276" w:line="221" w:lineRule="auto"/>
        <w:rPr/>
      </w:pPr>
      <w:r>
        <w:rPr>
          <w:spacing w:val="13"/>
        </w:rPr>
        <w:t>·</w:t>
      </w:r>
      <w:r>
        <w:rPr>
          <w:spacing w:val="-72"/>
        </w:rPr>
        <w:t xml:space="preserve"> </w:t>
      </w:r>
      <w:r>
        <w:rPr>
          <w:spacing w:val="13"/>
        </w:rPr>
        <w:t>保利2024-2025年不动产行业白皮书</w:t>
      </w:r>
    </w:p>
    <w:p>
      <w:pPr>
        <w:pStyle w:val="BodyText"/>
        <w:spacing w:before="264" w:line="221" w:lineRule="auto"/>
        <w:rPr/>
      </w:pPr>
      <w:r>
        <w:rPr>
          <w:spacing w:val="5"/>
        </w:rPr>
        <w:t>·</w:t>
      </w:r>
      <w:r>
        <w:rPr>
          <w:spacing w:val="-77"/>
        </w:rPr>
        <w:t xml:space="preserve"> </w:t>
      </w:r>
      <w:r>
        <w:rPr>
          <w:spacing w:val="5"/>
        </w:rPr>
        <w:t>中共中央国务院《关于加快经济社会发展全面绿色转型的意见》</w:t>
      </w:r>
    </w:p>
    <w:p>
      <w:pPr>
        <w:pStyle w:val="BodyText"/>
        <w:spacing w:before="264" w:line="220" w:lineRule="auto"/>
        <w:rPr/>
      </w:pPr>
      <w:r>
        <w:rPr>
          <w:spacing w:val="3"/>
        </w:rPr>
        <w:t>·</w:t>
      </w:r>
      <w:r>
        <w:rPr>
          <w:spacing w:val="-87"/>
        </w:rPr>
        <w:t xml:space="preserve"> </w:t>
      </w:r>
      <w:r>
        <w:rPr>
          <w:spacing w:val="3"/>
        </w:rPr>
        <w:t>住房城乡建设部相关规划与政策文件</w:t>
      </w:r>
    </w:p>
    <w:p>
      <w:pPr>
        <w:pStyle w:val="BodyText"/>
        <w:spacing w:before="256" w:line="221" w:lineRule="auto"/>
        <w:rPr/>
      </w:pPr>
      <w:r>
        <w:rPr>
          <w:spacing w:val="3"/>
        </w:rPr>
        <w:t>·</w:t>
      </w:r>
      <w:r>
        <w:rPr>
          <w:spacing w:val="-77"/>
        </w:rPr>
        <w:t xml:space="preserve"> </w:t>
      </w:r>
      <w:r>
        <w:rPr>
          <w:spacing w:val="3"/>
        </w:rPr>
        <w:t>中国金融学会绿色金融专业委员会报告</w:t>
      </w:r>
    </w:p>
    <w:sectPr>
      <w:pgSz w:w="12240" w:h="15840"/>
      <w:pgMar w:top="1249" w:right="1836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2026-03-15T23:57:34</vt:filetime>
  </property>
  <property fmtid="{D5CDD505-2E9C-101B-9397-08002B2CF9AE}" pid="4" name="UsrData">
    <vt:lpwstr>69b6d6ec115626001f4cb1a8wl</vt:lpwstr>
  </property>
</Properties>
</file>