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4"/>
        <w:spacing w:before="63" w:line="219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6"/>
        </w:rPr>
        <w:t>中国房地产行业可持续发展十年路线图(2025-2035)</w:t>
      </w:r>
    </w:p>
    <w:p>
      <w:pPr>
        <w:pStyle w:val="BodyText"/>
        <w:ind w:left="13"/>
        <w:spacing w:before="202" w:line="221" w:lineRule="auto"/>
        <w:rPr/>
      </w:pPr>
      <w:r>
        <w:rPr>
          <w:b/>
          <w:bCs/>
          <w:spacing w:val="19"/>
        </w:rPr>
        <w:t>前言：战略背景与研究意义</w:t>
      </w:r>
    </w:p>
    <w:p>
      <w:pPr>
        <w:pStyle w:val="BodyText"/>
        <w:ind w:left="10" w:right="10"/>
        <w:spacing w:before="237" w:line="352" w:lineRule="auto"/>
        <w:rPr/>
      </w:pPr>
      <w:r>
        <w:rPr>
          <w:spacing w:val="21"/>
        </w:rPr>
        <w:t>据住房和城乡建设部在相关政策文件中明确提出，推动</w:t>
      </w:r>
      <w:r>
        <w:rPr>
          <w:spacing w:val="20"/>
        </w:rPr>
        <w:t>房地产市场平稳健康发展是构建房地产发</w:t>
      </w:r>
      <w:r>
        <w:rPr/>
        <w:t xml:space="preserve">  </w:t>
      </w:r>
      <w:r>
        <w:rPr>
          <w:spacing w:val="20"/>
        </w:rPr>
        <w:t>展新模式的核心任务，通常而言，这一模式强调从增量扩张向存量时代转型，在一定程度上体现</w:t>
      </w:r>
      <w:r>
        <w:rPr>
          <w:spacing w:val="8"/>
        </w:rPr>
        <w:t xml:space="preserve">  </w:t>
      </w:r>
      <w:r>
        <w:rPr>
          <w:spacing w:val="16"/>
        </w:rPr>
        <w:t>了高质量发展与双碳战略的深度融合。国家发展和改革委员会《“十</w:t>
      </w:r>
      <w:r>
        <w:rPr>
          <w:spacing w:val="15"/>
        </w:rPr>
        <w:t>四五”规划和2035年远景目标</w:t>
      </w:r>
      <w:r>
        <w:rPr/>
        <w:t xml:space="preserve"> </w:t>
      </w:r>
      <w:r>
        <w:rPr>
          <w:spacing w:val="20"/>
        </w:rPr>
        <w:t>纲要》指出，房地产行业可持续发展可能助力新型城镇化与共同富裕目标实现。麦肯锡全球研究</w:t>
      </w:r>
      <w:r>
        <w:rPr>
          <w:spacing w:val="8"/>
        </w:rPr>
        <w:t xml:space="preserve">  </w:t>
      </w:r>
      <w:r>
        <w:rPr>
          <w:spacing w:val="22"/>
        </w:rPr>
        <w:t>所与中国房地产市场相关报告显示，中国房地产正进入存量优化阶段，预计到2035年，城市更新</w:t>
      </w:r>
      <w:r>
        <w:rPr>
          <w:spacing w:val="9"/>
        </w:rPr>
        <w:t xml:space="preserve"> </w:t>
      </w:r>
      <w:r>
        <w:rPr>
          <w:spacing w:val="20"/>
        </w:rPr>
        <w:t>与绿色转型将成为主要驱动力。本路线图探究行业可持续发展的内生动力，并规划国家层面的促</w:t>
      </w:r>
      <w:r>
        <w:rPr/>
        <w:t xml:space="preserve">  </w:t>
      </w:r>
      <w:r>
        <w:rPr>
          <w:spacing w:val="19"/>
        </w:rPr>
        <w:t>进机制，旨在服务文化强国、数字中国与国家安全观等战略</w:t>
      </w:r>
      <w:r>
        <w:rPr>
          <w:spacing w:val="18"/>
        </w:rPr>
        <w:t>框架。</w:t>
      </w:r>
    </w:p>
    <w:p>
      <w:pPr>
        <w:pStyle w:val="BodyText"/>
        <w:ind w:left="13"/>
        <w:spacing w:before="242" w:line="221" w:lineRule="auto"/>
        <w:outlineLvl w:val="4"/>
        <w:rPr/>
      </w:pPr>
      <w:r>
        <w:rPr>
          <w:b/>
          <w:bCs/>
          <w:spacing w:val="14"/>
        </w:rPr>
        <w:t>一</w:t>
      </w:r>
      <w:r>
        <w:rPr>
          <w:spacing w:val="-42"/>
        </w:rPr>
        <w:t xml:space="preserve"> </w:t>
      </w:r>
      <w:r>
        <w:rPr>
          <w:b/>
          <w:bCs/>
          <w:spacing w:val="14"/>
        </w:rPr>
        <w:t>、行业现状评估与可持续发展挑战</w:t>
      </w:r>
    </w:p>
    <w:p>
      <w:pPr>
        <w:pStyle w:val="BodyText"/>
        <w:ind w:left="10" w:right="124"/>
        <w:spacing w:before="210" w:line="370" w:lineRule="auto"/>
        <w:rPr/>
      </w:pPr>
      <w:r>
        <w:rPr>
          <w:spacing w:val="23"/>
        </w:rPr>
        <w:t>中国房地产行业已从高速增长转向高质量发展阶段，通常而言，存量时代(指房地产市场从新增</w:t>
      </w:r>
      <w:r>
        <w:rPr>
          <w:spacing w:val="7"/>
        </w:rPr>
        <w:t xml:space="preserve"> </w:t>
      </w:r>
      <w:r>
        <w:rPr>
          <w:spacing w:val="23"/>
        </w:rPr>
        <w:t>开发为主转向存量资产盘活与运营为主的转型期</w:t>
      </w:r>
      <w:r>
        <w:rPr>
          <w:spacing w:val="22"/>
        </w:rPr>
        <w:t>)特征日益显现。</w:t>
      </w:r>
    </w:p>
    <w:p>
      <w:pPr>
        <w:pStyle w:val="BodyText"/>
        <w:ind w:left="159"/>
        <w:spacing w:before="228" w:line="222" w:lineRule="auto"/>
        <w:rPr/>
      </w:pPr>
      <w:r>
        <w:rPr>
          <w:spacing w:val="22"/>
        </w:rPr>
        <w:t>(</w:t>
      </w:r>
      <w:r>
        <w:rPr>
          <w:spacing w:val="-55"/>
        </w:rPr>
        <w:t xml:space="preserve"> </w:t>
      </w:r>
      <w:r>
        <w:rPr>
          <w:spacing w:val="22"/>
        </w:rPr>
        <w:t>一)市场现状多维描摹</w:t>
      </w:r>
    </w:p>
    <w:p>
      <w:pPr>
        <w:pStyle w:val="BodyText"/>
        <w:ind w:left="10" w:right="227"/>
        <w:spacing w:before="247" w:line="379" w:lineRule="auto"/>
        <w:rPr/>
      </w:pPr>
      <w:r>
        <w:rPr>
          <w:spacing w:val="24"/>
        </w:rPr>
        <w:t>据国家统计局2025年1-11月数据，全国房地产开发投资同比下降15.9%,住宅投资下降15.0%,</w:t>
      </w:r>
      <w:r>
        <w:rPr/>
        <w:t xml:space="preserve"> </w:t>
      </w:r>
      <w:r>
        <w:rPr>
          <w:spacing w:val="17"/>
        </w:rPr>
        <w:t>但政策支持下市场呈现止跌回稳迹象。</w:t>
      </w:r>
    </w:p>
    <w:p>
      <w:pPr>
        <w:ind w:left="10"/>
        <w:spacing w:before="21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1.房地产市场关键指标趋势表(表1:2</w:t>
      </w:r>
      <w:r>
        <w:rPr>
          <w:rFonts w:ascii="SimSun" w:hAnsi="SimSun" w:eastAsia="SimSun" w:cs="SimSun"/>
          <w:sz w:val="22"/>
          <w:szCs w:val="22"/>
          <w:spacing w:val="24"/>
        </w:rPr>
        <w:t>021-2025年主要数据对比，单位：万亿元/亿平方米)</w:t>
      </w:r>
    </w:p>
    <w:p>
      <w:pPr>
        <w:spacing w:line="214" w:lineRule="exact"/>
        <w:rPr/>
      </w:pPr>
      <w:r/>
    </w:p>
    <w:tbl>
      <w:tblPr>
        <w:tblStyle w:val="TableNormal"/>
        <w:tblW w:w="1010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62"/>
        <w:gridCol w:w="1579"/>
        <w:gridCol w:w="1162"/>
        <w:gridCol w:w="1348"/>
        <w:gridCol w:w="1144"/>
        <w:gridCol w:w="916"/>
        <w:gridCol w:w="1615"/>
        <w:gridCol w:w="1383"/>
      </w:tblGrid>
      <w:tr>
        <w:trPr>
          <w:trHeight w:val="296" w:hRule="atLeast"/>
        </w:trPr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9" w:type="dxa"/>
            <w:vAlign w:val="top"/>
          </w:tcPr>
          <w:p>
            <w:pPr>
              <w:pStyle w:val="TableText"/>
              <w:ind w:left="521"/>
              <w:spacing w:before="1" w:line="220" w:lineRule="auto"/>
              <w:rPr/>
            </w:pPr>
            <w:r>
              <w:rPr>
                <w:b/>
                <w:bCs/>
                <w:spacing w:val="-5"/>
              </w:rPr>
              <w:t>开发投资</w:t>
            </w:r>
          </w:p>
        </w:tc>
        <w:tc>
          <w:tcPr>
            <w:tcW w:w="1162" w:type="dxa"/>
            <w:vAlign w:val="top"/>
          </w:tcPr>
          <w:p>
            <w:pPr>
              <w:pStyle w:val="TableText"/>
              <w:ind w:left="192"/>
              <w:spacing w:before="8" w:line="222" w:lineRule="auto"/>
              <w:rPr/>
            </w:pPr>
            <w:r>
              <w:rPr>
                <w:b/>
                <w:bCs/>
                <w:spacing w:val="-10"/>
              </w:rPr>
              <w:t>住宅投资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139"/>
              <w:spacing w:before="9" w:line="220" w:lineRule="auto"/>
              <w:rPr/>
            </w:pPr>
            <w:r>
              <w:rPr>
                <w:b/>
                <w:bCs/>
                <w:spacing w:val="-12"/>
              </w:rPr>
              <w:t>商品房销售</w:t>
            </w:r>
          </w:p>
        </w:tc>
        <w:tc>
          <w:tcPr>
            <w:tcW w:w="1144" w:type="dxa"/>
            <w:vAlign w:val="top"/>
          </w:tcPr>
          <w:p>
            <w:pPr>
              <w:pStyle w:val="TableText"/>
              <w:ind w:left="172"/>
              <w:spacing w:before="1" w:line="220" w:lineRule="auto"/>
              <w:rPr/>
            </w:pPr>
            <w:r>
              <w:rPr>
                <w:b/>
                <w:bCs/>
                <w:spacing w:val="-9"/>
              </w:rPr>
              <w:t>新开工面</w:t>
            </w:r>
          </w:p>
        </w:tc>
        <w:tc>
          <w:tcPr>
            <w:tcW w:w="916" w:type="dxa"/>
            <w:vAlign w:val="top"/>
          </w:tcPr>
          <w:p>
            <w:pPr>
              <w:pStyle w:val="TableText"/>
              <w:ind w:left="125"/>
              <w:spacing w:before="1" w:line="220" w:lineRule="auto"/>
              <w:rPr/>
            </w:pPr>
            <w:r>
              <w:rPr>
                <w:spacing w:val="-2"/>
              </w:rPr>
              <w:t>竣工面</w:t>
            </w:r>
          </w:p>
        </w:tc>
        <w:tc>
          <w:tcPr>
            <w:tcW w:w="16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3" w:type="dxa"/>
            <w:vAlign w:val="top"/>
          </w:tcPr>
          <w:p>
            <w:pPr>
              <w:pStyle w:val="TableText"/>
              <w:ind w:left="227"/>
              <w:spacing w:before="1" w:line="222" w:lineRule="auto"/>
              <w:rPr/>
            </w:pPr>
            <w:r>
              <w:rPr>
                <w:b/>
                <w:bCs/>
                <w:spacing w:val="-5"/>
              </w:rPr>
              <w:t>数据来</w:t>
            </w:r>
          </w:p>
        </w:tc>
      </w:tr>
      <w:tr>
        <w:trPr>
          <w:trHeight w:val="507" w:hRule="atLeast"/>
        </w:trPr>
        <w:tc>
          <w:tcPr>
            <w:tcW w:w="962" w:type="dxa"/>
            <w:vAlign w:val="top"/>
          </w:tcPr>
          <w:p>
            <w:pPr>
              <w:pStyle w:val="TableText"/>
              <w:ind w:left="13"/>
              <w:spacing w:before="76" w:line="223" w:lineRule="auto"/>
              <w:rPr/>
            </w:pPr>
            <w:r>
              <w:rPr>
                <w:b/>
                <w:bCs/>
                <w:spacing w:val="-5"/>
              </w:rPr>
              <w:t>年份</w:t>
            </w:r>
          </w:p>
        </w:tc>
        <w:tc>
          <w:tcPr>
            <w:tcW w:w="1579" w:type="dxa"/>
            <w:vAlign w:val="top"/>
          </w:tcPr>
          <w:p>
            <w:pPr>
              <w:pStyle w:val="TableText"/>
              <w:ind w:left="521"/>
              <w:spacing w:before="64" w:line="222" w:lineRule="auto"/>
              <w:rPr/>
            </w:pPr>
            <w:r>
              <w:rPr>
                <w:b/>
                <w:bCs/>
                <w:spacing w:val="-6"/>
              </w:rPr>
              <w:t>总额</w:t>
            </w:r>
          </w:p>
        </w:tc>
        <w:tc>
          <w:tcPr>
            <w:tcW w:w="1162" w:type="dxa"/>
            <w:vAlign w:val="top"/>
          </w:tcPr>
          <w:p>
            <w:pPr>
              <w:pStyle w:val="TableText"/>
              <w:ind w:left="189"/>
              <w:spacing w:before="117" w:line="222" w:lineRule="auto"/>
              <w:rPr/>
            </w:pPr>
            <w:r>
              <w:rPr/>
              <w:t>额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130"/>
              <w:spacing w:before="64" w:line="222" w:lineRule="auto"/>
              <w:rPr/>
            </w:pPr>
            <w:r>
              <w:rPr>
                <w:b/>
                <w:bCs/>
                <w:spacing w:val="-6"/>
              </w:rPr>
              <w:t>面积</w:t>
            </w:r>
          </w:p>
        </w:tc>
        <w:tc>
          <w:tcPr>
            <w:tcW w:w="1144" w:type="dxa"/>
            <w:vAlign w:val="top"/>
          </w:tcPr>
          <w:p>
            <w:pPr>
              <w:pStyle w:val="TableText"/>
              <w:ind w:left="168"/>
              <w:spacing w:before="67" w:line="222" w:lineRule="auto"/>
              <w:rPr/>
            </w:pPr>
            <w:r>
              <w:rPr/>
              <w:t>积</w:t>
            </w:r>
          </w:p>
        </w:tc>
        <w:tc>
          <w:tcPr>
            <w:tcW w:w="916" w:type="dxa"/>
            <w:vAlign w:val="top"/>
          </w:tcPr>
          <w:p>
            <w:pPr>
              <w:pStyle w:val="TableText"/>
              <w:ind w:left="125"/>
              <w:spacing w:before="77" w:line="222" w:lineRule="auto"/>
              <w:rPr/>
            </w:pPr>
            <w:r>
              <w:rPr/>
              <w:t>积</w:t>
            </w:r>
          </w:p>
        </w:tc>
        <w:tc>
          <w:tcPr>
            <w:tcW w:w="1615" w:type="dxa"/>
            <w:vAlign w:val="top"/>
          </w:tcPr>
          <w:p>
            <w:pPr>
              <w:pStyle w:val="TableText"/>
              <w:ind w:left="142"/>
              <w:spacing w:before="65" w:line="222" w:lineRule="auto"/>
              <w:rPr/>
            </w:pPr>
            <w:r>
              <w:rPr>
                <w:b/>
                <w:bCs/>
                <w:spacing w:val="-12"/>
              </w:rPr>
              <w:t>主要趋势描述</w:t>
            </w:r>
          </w:p>
        </w:tc>
        <w:tc>
          <w:tcPr>
            <w:tcW w:w="1383" w:type="dxa"/>
            <w:vAlign w:val="top"/>
          </w:tcPr>
          <w:p>
            <w:pPr>
              <w:pStyle w:val="TableText"/>
              <w:ind w:left="224"/>
              <w:spacing w:before="66" w:line="221" w:lineRule="auto"/>
              <w:rPr/>
            </w:pPr>
            <w:r>
              <w:rPr/>
              <w:t>源</w:t>
            </w:r>
          </w:p>
        </w:tc>
      </w:tr>
      <w:tr>
        <w:trPr>
          <w:trHeight w:val="479" w:hRule="atLeast"/>
        </w:trPr>
        <w:tc>
          <w:tcPr>
            <w:tcW w:w="962" w:type="dxa"/>
            <w:vAlign w:val="top"/>
            <w:tcBorders>
              <w:bottom w:val="single" w:color="000000" w:sz="2" w:space="0"/>
            </w:tcBorders>
          </w:tcPr>
          <w:p>
            <w:pPr>
              <w:ind w:left="10"/>
              <w:spacing w:before="258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2021</w:t>
            </w:r>
          </w:p>
        </w:tc>
        <w:tc>
          <w:tcPr>
            <w:tcW w:w="1579" w:type="dxa"/>
            <w:vAlign w:val="top"/>
            <w:tcBorders>
              <w:bottom w:val="single" w:color="000000" w:sz="2" w:space="0"/>
            </w:tcBorders>
          </w:tcPr>
          <w:p>
            <w:pPr>
              <w:ind w:left="517"/>
              <w:spacing w:before="209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14.8</w:t>
            </w:r>
          </w:p>
        </w:tc>
        <w:tc>
          <w:tcPr>
            <w:tcW w:w="1162" w:type="dxa"/>
            <w:vAlign w:val="top"/>
            <w:tcBorders>
              <w:bottom w:val="single" w:color="000000" w:sz="2" w:space="0"/>
            </w:tcBorders>
          </w:tcPr>
          <w:p>
            <w:pPr>
              <w:ind w:left="189"/>
              <w:spacing w:before="248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4"/>
              </w:rPr>
              <w:t>11.1</w:t>
            </w:r>
          </w:p>
        </w:tc>
        <w:tc>
          <w:tcPr>
            <w:tcW w:w="1348" w:type="dxa"/>
            <w:vAlign w:val="top"/>
            <w:tcBorders>
              <w:bottom w:val="single" w:color="000000" w:sz="2" w:space="0"/>
            </w:tcBorders>
          </w:tcPr>
          <w:p>
            <w:pPr>
              <w:ind w:left="127"/>
              <w:spacing w:before="209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17.9</w:t>
            </w:r>
          </w:p>
        </w:tc>
        <w:tc>
          <w:tcPr>
            <w:tcW w:w="1144" w:type="dxa"/>
            <w:vAlign w:val="top"/>
            <w:tcBorders>
              <w:bottom w:val="single" w:color="000000" w:sz="2" w:space="0"/>
            </w:tcBorders>
          </w:tcPr>
          <w:p>
            <w:pPr>
              <w:ind w:left="168"/>
              <w:spacing w:before="188" w:line="188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6"/>
              </w:rPr>
              <w:t>19.9</w:t>
            </w:r>
          </w:p>
        </w:tc>
        <w:tc>
          <w:tcPr>
            <w:tcW w:w="916" w:type="dxa"/>
            <w:vAlign w:val="top"/>
            <w:tcBorders>
              <w:bottom w:val="single" w:color="000000" w:sz="2" w:space="0"/>
            </w:tcBorders>
          </w:tcPr>
          <w:p>
            <w:pPr>
              <w:ind w:left="125"/>
              <w:spacing w:before="209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10.1</w:t>
            </w:r>
          </w:p>
        </w:tc>
        <w:tc>
          <w:tcPr>
            <w:tcW w:w="161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8"/>
              <w:spacing w:before="171" w:line="222" w:lineRule="auto"/>
              <w:rPr/>
            </w:pPr>
            <w:r>
              <w:rPr>
                <w:spacing w:val="-4"/>
              </w:rPr>
              <w:t>高峰期</w:t>
            </w:r>
          </w:p>
        </w:tc>
        <w:tc>
          <w:tcPr>
            <w:tcW w:w="138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4"/>
              <w:spacing w:before="169" w:line="221" w:lineRule="auto"/>
              <w:rPr/>
            </w:pPr>
            <w:r>
              <w:rPr>
                <w:spacing w:val="-11"/>
              </w:rPr>
              <w:t>国家统计局</w:t>
            </w:r>
          </w:p>
        </w:tc>
      </w:tr>
      <w:tr>
        <w:trPr>
          <w:trHeight w:val="613" w:hRule="atLeast"/>
        </w:trPr>
        <w:tc>
          <w:tcPr>
            <w:tcW w:w="96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ind w:left="10"/>
              <w:spacing w:before="43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2023</w:t>
            </w:r>
          </w:p>
        </w:tc>
        <w:tc>
          <w:tcPr>
            <w:tcW w:w="15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ind w:left="517"/>
              <w:spacing w:before="44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4"/>
              </w:rPr>
              <w:t>11.1</w:t>
            </w:r>
          </w:p>
        </w:tc>
        <w:tc>
          <w:tcPr>
            <w:tcW w:w="116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ind w:left="189"/>
              <w:spacing w:before="72" w:line="188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4"/>
              </w:rPr>
              <w:t>8.3</w:t>
            </w:r>
          </w:p>
        </w:tc>
        <w:tc>
          <w:tcPr>
            <w:tcW w:w="134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ind w:left="127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11.2</w:t>
            </w:r>
          </w:p>
        </w:tc>
        <w:tc>
          <w:tcPr>
            <w:tcW w:w="114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ind w:left="168"/>
              <w:spacing w:before="72" w:line="188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2"/>
              </w:rPr>
              <w:t>9.5</w:t>
            </w:r>
          </w:p>
        </w:tc>
        <w:tc>
          <w:tcPr>
            <w:tcW w:w="2531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5"/>
              <w:spacing w:before="297" w:line="222" w:lineRule="auto"/>
              <w:rPr/>
            </w:pPr>
            <w:r>
              <w:rPr>
                <w:rFonts w:ascii="Times New Roman" w:hAnsi="Times New Roman" w:eastAsia="Times New Roman" w:cs="Times New Roman"/>
                <w:spacing w:val="-3"/>
              </w:rPr>
              <w:t>9.6</w:t>
            </w:r>
            <w:r>
              <w:rPr>
                <w:rFonts w:ascii="Times New Roman" w:hAnsi="Times New Roman" w:eastAsia="Times New Roman" w:cs="Times New Roman"/>
              </w:rPr>
              <w:t xml:space="preserve">            </w:t>
            </w:r>
            <w:r>
              <w:rPr>
                <w:spacing w:val="-3"/>
              </w:rPr>
              <w:t>调整期</w:t>
            </w:r>
          </w:p>
        </w:tc>
        <w:tc>
          <w:tcPr>
            <w:tcW w:w="138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4"/>
              <w:spacing w:before="295" w:line="221" w:lineRule="auto"/>
              <w:rPr/>
            </w:pPr>
            <w:r>
              <w:rPr>
                <w:spacing w:val="-11"/>
              </w:rPr>
              <w:t>国家统计局</w:t>
            </w:r>
          </w:p>
        </w:tc>
      </w:tr>
    </w:tbl>
    <w:p>
      <w:pPr>
        <w:pStyle w:val="BodyText"/>
        <w:ind w:left="10"/>
        <w:spacing w:before="278" w:line="217" w:lineRule="auto"/>
        <w:rPr/>
      </w:pPr>
      <w:r>
        <w:rPr>
          <w:rFonts w:ascii="Times New Roman" w:hAnsi="Times New Roman" w:eastAsia="Times New Roman" w:cs="Times New Roman"/>
          <w:spacing w:val="-1"/>
          <w:position w:val="1"/>
        </w:rPr>
        <w:t>2025(1-11          </w:t>
      </w:r>
      <w:r>
        <w:rPr>
          <w:rFonts w:ascii="Times New Roman" w:hAnsi="Times New Roman" w:eastAsia="Times New Roman" w:cs="Times New Roman"/>
          <w:spacing w:val="-1"/>
          <w:position w:val="-1"/>
        </w:rPr>
        <w:t>7.86                </w:t>
      </w:r>
      <w:r>
        <w:rPr>
          <w:rFonts w:ascii="Times New Roman" w:hAnsi="Times New Roman" w:eastAsia="Times New Roman" w:cs="Times New Roman"/>
          <w:sz w:val="25"/>
          <w:szCs w:val="25"/>
          <w:spacing w:val="-1"/>
          <w:position w:val="-1"/>
        </w:rPr>
        <w:t>6.04           </w:t>
      </w:r>
      <w:r>
        <w:rPr>
          <w:sz w:val="3"/>
          <w:szCs w:val="3"/>
          <w:color w:val="604070"/>
          <w:spacing w:val="-1"/>
          <w:position w:val="3"/>
        </w:rPr>
        <w:t>一</w:t>
      </w:r>
      <w:r>
        <w:rPr>
          <w:sz w:val="3"/>
          <w:szCs w:val="3"/>
          <w:color w:val="604070"/>
          <w:position w:val="3"/>
        </w:rPr>
        <w:t xml:space="preserve">                                                                                          </w:t>
      </w:r>
      <w:r>
        <w:rPr>
          <w:sz w:val="3"/>
          <w:szCs w:val="3"/>
          <w:color w:val="605070"/>
          <w:spacing w:val="-1"/>
          <w:position w:val="3"/>
        </w:rPr>
        <w:t>一</w:t>
      </w:r>
      <w:r>
        <w:rPr>
          <w:sz w:val="3"/>
          <w:szCs w:val="3"/>
          <w:color w:val="605070"/>
          <w:spacing w:val="-1"/>
          <w:position w:val="3"/>
        </w:rPr>
        <w:t xml:space="preserve">                                                                  </w:t>
      </w:r>
      <w:r>
        <w:rPr>
          <w:sz w:val="3"/>
          <w:szCs w:val="3"/>
          <w:color w:val="605070"/>
          <w:spacing w:val="-2"/>
          <w:position w:val="3"/>
        </w:rPr>
        <w:t xml:space="preserve">          </w:t>
      </w:r>
      <w:r>
        <w:rPr>
          <w:sz w:val="3"/>
          <w:szCs w:val="3"/>
          <w:position w:val="2"/>
        </w:rPr>
        <w:drawing>
          <wp:inline distT="0" distB="0" distL="0" distR="0">
            <wp:extent cx="38123" cy="3490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23" cy="3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"/>
          <w:szCs w:val="3"/>
          <w:color w:val="605070"/>
          <w:spacing w:val="1"/>
          <w:position w:val="3"/>
        </w:rPr>
        <w:t xml:space="preserve">                     </w:t>
      </w:r>
      <w:r>
        <w:rPr>
          <w:sz w:val="3"/>
          <w:szCs w:val="3"/>
          <w:color w:val="605070"/>
          <w:position w:val="3"/>
        </w:rPr>
        <w:t xml:space="preserve">                                  </w:t>
      </w:r>
      <w:r>
        <w:rPr>
          <w:spacing w:val="-2"/>
        </w:rPr>
        <w:t>下降趋缓，止</w:t>
      </w:r>
      <w:r>
        <w:rPr>
          <w:spacing w:val="-2"/>
        </w:rPr>
        <w:t xml:space="preserve">    </w:t>
      </w:r>
      <w:r>
        <w:rPr>
          <w:spacing w:val="-2"/>
        </w:rPr>
        <w:t>国家统计局</w:t>
      </w:r>
    </w:p>
    <w:p>
      <w:pPr>
        <w:pStyle w:val="BodyText"/>
        <w:ind w:left="10"/>
        <w:spacing w:before="101" w:line="233" w:lineRule="auto"/>
        <w:rPr/>
      </w:pPr>
      <w:r>
        <w:rPr>
          <w:spacing w:val="-4"/>
        </w:rPr>
        <w:t>月)</w:t>
      </w:r>
      <w:r>
        <w:rPr>
          <w:spacing w:val="-4"/>
        </w:rPr>
        <w:t xml:space="preserve">                                                                 </w:t>
      </w:r>
      <w:r>
        <w:rPr>
          <w:spacing w:val="-4"/>
        </w:rPr>
        <w:t>跌回稳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ind w:left="10" w:right="124"/>
        <w:spacing w:before="71" w:line="373" w:lineRule="auto"/>
        <w:rPr/>
      </w:pPr>
      <w:r>
        <w:rPr>
          <w:spacing w:val="21"/>
        </w:rPr>
        <w:t>该表显示，投资规模收缩，但潜在回暖信号显现，通</w:t>
      </w:r>
      <w:r>
        <w:rPr>
          <w:spacing w:val="20"/>
        </w:rPr>
        <w:t>常而言，这反映了从增量向存量的结构性调</w:t>
      </w:r>
      <w:r>
        <w:rPr/>
        <w:t xml:space="preserve"> </w:t>
      </w:r>
      <w:r>
        <w:rPr>
          <w:spacing w:val="-4"/>
        </w:rPr>
        <w:t>整</w:t>
      </w:r>
      <w:r>
        <w:rPr>
          <w:spacing w:val="-55"/>
        </w:rPr>
        <w:t xml:space="preserve"> </w:t>
      </w:r>
      <w:r>
        <w:rPr>
          <w:spacing w:val="-4"/>
        </w:rPr>
        <w:t>。</w:t>
      </w:r>
    </w:p>
    <w:p>
      <w:pPr>
        <w:pStyle w:val="BodyText"/>
        <w:ind w:left="170"/>
        <w:spacing w:before="200" w:line="221" w:lineRule="auto"/>
        <w:rPr/>
      </w:pPr>
      <w:r>
        <w:rPr>
          <w:spacing w:val="26"/>
        </w:rPr>
        <w:t>(二)可持续发展挑战分析</w:t>
      </w:r>
    </w:p>
    <w:p>
      <w:pPr>
        <w:pStyle w:val="BodyText"/>
        <w:ind w:left="10"/>
        <w:spacing w:before="256" w:line="363" w:lineRule="auto"/>
        <w:rPr/>
      </w:pPr>
      <w:r>
        <w:rPr>
          <w:spacing w:val="23"/>
        </w:rPr>
        <w:t>据仲量联行2025年中国房地产市场展望报</w:t>
      </w:r>
      <w:r>
        <w:rPr>
          <w:spacing w:val="22"/>
        </w:rPr>
        <w:t>告，供应充裕与需求修复并存，可能意味着绿色转型压</w:t>
      </w:r>
      <w:r>
        <w:rPr/>
        <w:t xml:space="preserve"> </w:t>
      </w:r>
      <w:r>
        <w:rPr>
          <w:spacing w:val="12"/>
        </w:rPr>
        <w:t>力增大。</w:t>
      </w:r>
    </w:p>
    <w:p>
      <w:pPr>
        <w:spacing w:line="363" w:lineRule="auto"/>
        <w:sectPr>
          <w:pgSz w:w="12240" w:h="15840"/>
          <w:pgMar w:top="1110" w:right="1030" w:bottom="0" w:left="970" w:header="0" w:footer="0" w:gutter="0"/>
        </w:sectPr>
        <w:rPr/>
      </w:pPr>
    </w:p>
    <w:p>
      <w:pPr>
        <w:pStyle w:val="BodyText"/>
        <w:spacing w:before="44" w:line="221" w:lineRule="auto"/>
        <w:rPr/>
      </w:pPr>
      <w:r>
        <w:rPr>
          <w:rFonts w:ascii="SimSun" w:hAnsi="SimSun" w:eastAsia="SimSun" w:cs="SimSun"/>
          <w:spacing w:val="29"/>
        </w:rPr>
        <w:t>1.</w:t>
      </w:r>
      <w:r>
        <w:rPr>
          <w:spacing w:val="29"/>
        </w:rPr>
        <w:t>可持续发展挑战分解表(表2:主要挑战分类)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1" w:line="221" w:lineRule="auto"/>
        <w:rPr/>
      </w:pPr>
      <w:r>
        <w:rPr>
          <w:b/>
          <w:bCs/>
          <w:spacing w:val="-7"/>
        </w:rPr>
        <w:t>挑战类别</w:t>
      </w:r>
      <w:r>
        <w:rPr>
          <w:spacing w:val="-7"/>
        </w:rPr>
        <w:t xml:space="preserve">      </w:t>
      </w:r>
      <w:r>
        <w:rPr>
          <w:b/>
          <w:bCs/>
          <w:spacing w:val="-7"/>
        </w:rPr>
        <w:t>具体表现</w:t>
      </w:r>
      <w:r>
        <w:rPr>
          <w:spacing w:val="-7"/>
        </w:rPr>
        <w:t xml:space="preserve">            </w:t>
      </w:r>
      <w:r>
        <w:rPr>
          <w:b/>
          <w:bCs/>
          <w:spacing w:val="-7"/>
        </w:rPr>
        <w:t>影响程度</w:t>
      </w:r>
      <w:r>
        <w:rPr>
          <w:spacing w:val="-7"/>
        </w:rPr>
        <w:t xml:space="preserve">  </w:t>
      </w:r>
      <w:r>
        <w:rPr>
          <w:b/>
          <w:bCs/>
          <w:spacing w:val="-7"/>
        </w:rPr>
        <w:t>优势</w:t>
      </w:r>
      <w:r>
        <w:rPr>
          <w:b/>
          <w:bCs/>
          <w:spacing w:val="-8"/>
        </w:rPr>
        <w:t>/必要性</w:t>
      </w:r>
      <w:r>
        <w:rPr>
          <w:spacing w:val="-8"/>
        </w:rPr>
        <w:t xml:space="preserve">    </w:t>
      </w:r>
      <w:r>
        <w:rPr>
          <w:b/>
          <w:bCs/>
          <w:spacing w:val="-8"/>
        </w:rPr>
        <w:t>潜在局限性</w:t>
      </w:r>
      <w:r>
        <w:rPr>
          <w:spacing w:val="-8"/>
        </w:rPr>
        <w:t xml:space="preserve">    </w:t>
      </w:r>
      <w:r>
        <w:rPr>
          <w:b/>
          <w:bCs/>
          <w:spacing w:val="-8"/>
        </w:rPr>
        <w:t>适用条件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72" w:line="221" w:lineRule="auto"/>
        <w:rPr/>
      </w:pPr>
      <w:r>
        <w:rPr>
          <w:spacing w:val="-7"/>
        </w:rPr>
        <w:t>金融风险</w:t>
      </w:r>
      <w:r>
        <w:rPr>
          <w:spacing w:val="-7"/>
        </w:rPr>
        <w:t xml:space="preserve">      </w:t>
      </w:r>
      <w:r>
        <w:rPr>
          <w:spacing w:val="-7"/>
        </w:rPr>
        <w:t>高杠杆、债务压力</w:t>
      </w:r>
      <w:r>
        <w:rPr>
          <w:spacing w:val="7"/>
        </w:rPr>
        <w:t xml:space="preserve">    </w:t>
      </w:r>
      <w:r>
        <w:rPr>
          <w:spacing w:val="-7"/>
        </w:rPr>
        <w:t>高</w:t>
      </w:r>
      <w:r>
        <w:rPr>
          <w:spacing w:val="-7"/>
        </w:rPr>
        <w:t xml:space="preserve">         </w:t>
      </w:r>
      <w:r>
        <w:rPr>
          <w:spacing w:val="-7"/>
        </w:rPr>
        <w:t>推动审慎管理</w:t>
      </w:r>
      <w:r>
        <w:rPr>
          <w:spacing w:val="-8"/>
        </w:rPr>
        <w:t xml:space="preserve">  </w:t>
      </w:r>
      <w:r>
        <w:rPr>
          <w:spacing w:val="-8"/>
        </w:rPr>
        <w:t>流动性短缺</w:t>
      </w:r>
      <w:r>
        <w:rPr>
          <w:spacing w:val="-8"/>
        </w:rPr>
        <w:t xml:space="preserve">    </w:t>
      </w:r>
      <w:r>
        <w:rPr>
          <w:spacing w:val="-8"/>
        </w:rPr>
        <w:t>融资协调机制完善</w:t>
      </w:r>
    </w:p>
    <w:p>
      <w:pPr>
        <w:spacing w:line="49" w:lineRule="exact"/>
        <w:rPr/>
      </w:pPr>
      <w:r/>
    </w:p>
    <w:tbl>
      <w:tblPr>
        <w:tblStyle w:val="TableNormal"/>
        <w:tblW w:w="942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40"/>
        <w:gridCol w:w="2190"/>
        <w:gridCol w:w="872"/>
        <w:gridCol w:w="1702"/>
        <w:gridCol w:w="1510"/>
        <w:gridCol w:w="1815"/>
      </w:tblGrid>
      <w:tr>
        <w:trPr>
          <w:trHeight w:val="597" w:hRule="atLeast"/>
        </w:trPr>
        <w:tc>
          <w:tcPr>
            <w:tcW w:w="1340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spacing w:before="301" w:line="222" w:lineRule="auto"/>
              <w:rPr/>
            </w:pPr>
            <w:r>
              <w:rPr>
                <w:spacing w:val="-2"/>
              </w:rPr>
              <w:t>环境压力</w:t>
            </w:r>
          </w:p>
        </w:tc>
        <w:tc>
          <w:tcPr>
            <w:tcW w:w="2190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179"/>
              <w:spacing w:before="301" w:line="221" w:lineRule="auto"/>
              <w:rPr/>
            </w:pPr>
            <w:r>
              <w:rPr>
                <w:spacing w:val="-8"/>
              </w:rPr>
              <w:t>高碳足迹、能源消耗</w:t>
            </w:r>
          </w:p>
        </w:tc>
        <w:tc>
          <w:tcPr>
            <w:tcW w:w="872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119"/>
              <w:spacing w:before="302" w:line="223" w:lineRule="auto"/>
              <w:rPr/>
            </w:pPr>
            <w:r>
              <w:rPr/>
              <w:t>高</w:t>
            </w:r>
          </w:p>
        </w:tc>
        <w:tc>
          <w:tcPr>
            <w:tcW w:w="1702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337"/>
              <w:spacing w:before="301" w:line="221" w:lineRule="auto"/>
              <w:rPr/>
            </w:pPr>
            <w:r>
              <w:rPr>
                <w:spacing w:val="-11"/>
              </w:rPr>
              <w:t>响应双碳目标</w:t>
            </w:r>
          </w:p>
        </w:tc>
        <w:tc>
          <w:tcPr>
            <w:tcW w:w="1510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125"/>
              <w:spacing w:before="301" w:line="222" w:lineRule="auto"/>
              <w:rPr/>
            </w:pPr>
            <w:r>
              <w:rPr>
                <w:spacing w:val="-8"/>
              </w:rPr>
              <w:t>转型成本高</w:t>
            </w:r>
          </w:p>
        </w:tc>
        <w:tc>
          <w:tcPr>
            <w:tcW w:w="1815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125"/>
              <w:spacing w:before="301" w:line="221" w:lineRule="auto"/>
              <w:rPr/>
            </w:pPr>
            <w:r>
              <w:rPr>
                <w:spacing w:val="-9"/>
              </w:rPr>
              <w:t>绿色金融支持</w:t>
            </w:r>
          </w:p>
        </w:tc>
      </w:tr>
      <w:tr>
        <w:trPr>
          <w:trHeight w:val="612" w:hRule="atLeast"/>
        </w:trPr>
        <w:tc>
          <w:tcPr>
            <w:tcW w:w="1340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spacing w:before="285" w:line="222" w:lineRule="auto"/>
              <w:rPr/>
            </w:pPr>
            <w:r>
              <w:rPr>
                <w:spacing w:val="-13"/>
              </w:rPr>
              <w:t>市场供需失衡</w:t>
            </w:r>
          </w:p>
        </w:tc>
        <w:tc>
          <w:tcPr>
            <w:tcW w:w="2190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119"/>
              <w:spacing w:before="284" w:line="221" w:lineRule="auto"/>
              <w:rPr/>
            </w:pPr>
            <w:r>
              <w:rPr>
                <w:spacing w:val="-7"/>
              </w:rPr>
              <w:t>存量过剩、新增放缓</w:t>
            </w:r>
          </w:p>
        </w:tc>
        <w:tc>
          <w:tcPr>
            <w:tcW w:w="872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129"/>
              <w:spacing w:before="285" w:line="223" w:lineRule="auto"/>
              <w:rPr/>
            </w:pPr>
            <w:r>
              <w:rPr>
                <w:spacing w:val="-7"/>
              </w:rPr>
              <w:t>中等</w:t>
            </w:r>
          </w:p>
        </w:tc>
        <w:tc>
          <w:tcPr>
            <w:tcW w:w="1702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337"/>
              <w:spacing w:before="284" w:line="222" w:lineRule="auto"/>
              <w:rPr/>
            </w:pPr>
            <w:r>
              <w:rPr>
                <w:spacing w:val="-10"/>
              </w:rPr>
              <w:t>促进租购并举</w:t>
            </w:r>
          </w:p>
        </w:tc>
        <w:tc>
          <w:tcPr>
            <w:tcW w:w="1510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145"/>
              <w:spacing w:before="285" w:line="222" w:lineRule="auto"/>
              <w:rPr/>
            </w:pPr>
            <w:r>
              <w:rPr>
                <w:spacing w:val="-10"/>
              </w:rPr>
              <w:t>区域分化严重</w:t>
            </w:r>
          </w:p>
        </w:tc>
        <w:tc>
          <w:tcPr>
            <w:tcW w:w="1815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125"/>
              <w:spacing w:before="284" w:line="221" w:lineRule="auto"/>
              <w:rPr/>
            </w:pPr>
            <w:r>
              <w:rPr>
                <w:spacing w:val="-9"/>
              </w:rPr>
              <w:t>城市更新加速</w:t>
            </w:r>
          </w:p>
        </w:tc>
      </w:tr>
    </w:tbl>
    <w:p>
      <w:pPr>
        <w:pStyle w:val="BodyText"/>
        <w:spacing w:before="296" w:line="220" w:lineRule="auto"/>
        <w:rPr/>
      </w:pPr>
      <w:r>
        <w:rPr>
          <w:spacing w:val="-8"/>
        </w:rPr>
        <w:t>人口结构变化</w:t>
      </w:r>
      <w:r>
        <w:rPr>
          <w:spacing w:val="-8"/>
        </w:rPr>
        <w:t xml:space="preserve">  </w:t>
      </w:r>
      <w:r>
        <w:rPr>
          <w:spacing w:val="-8"/>
        </w:rPr>
        <w:t>城镇化放缓、老龄化</w:t>
      </w:r>
      <w:r>
        <w:rPr>
          <w:spacing w:val="-8"/>
        </w:rPr>
        <w:t xml:space="preserve">  </w:t>
      </w:r>
      <w:r>
        <w:rPr>
          <w:spacing w:val="-8"/>
        </w:rPr>
        <w:t>中等</w:t>
      </w:r>
      <w:r>
        <w:rPr>
          <w:spacing w:val="-8"/>
        </w:rPr>
        <w:t xml:space="preserve">       </w:t>
      </w:r>
      <w:r>
        <w:rPr>
          <w:spacing w:val="-8"/>
        </w:rPr>
        <w:t>优化供给</w:t>
      </w:r>
      <w:r>
        <w:rPr>
          <w:spacing w:val="-9"/>
        </w:rPr>
        <w:t>结构</w:t>
      </w:r>
      <w:r>
        <w:rPr>
          <w:spacing w:val="-9"/>
        </w:rPr>
        <w:t xml:space="preserve">  </w:t>
      </w:r>
      <w:r>
        <w:rPr>
          <w:spacing w:val="-9"/>
        </w:rPr>
        <w:t>需求疲软</w:t>
      </w:r>
      <w:r>
        <w:rPr>
          <w:spacing w:val="-9"/>
        </w:rPr>
        <w:t xml:space="preserve">       </w:t>
      </w:r>
      <w:r>
        <w:rPr>
          <w:spacing w:val="-9"/>
        </w:rPr>
        <w:t>改善型住房释放</w:t>
      </w:r>
    </w:p>
    <w:p>
      <w:pPr>
        <w:spacing w:line="434" w:lineRule="auto"/>
        <w:rPr>
          <w:rFonts w:ascii="Arial"/>
          <w:sz w:val="21"/>
        </w:rPr>
      </w:pPr>
      <w:r/>
    </w:p>
    <w:p>
      <w:pPr>
        <w:pStyle w:val="BodyText"/>
        <w:spacing w:before="72" w:line="358" w:lineRule="auto"/>
        <w:rPr/>
      </w:pPr>
      <w:r>
        <w:rPr>
          <w:spacing w:val="20"/>
        </w:rPr>
        <w:t>该表揭示多维挑战，但辩证而言，其必要性在于驱动行业向高质量发展转型，潜在局限在于短期</w:t>
      </w:r>
      <w:r>
        <w:rPr>
          <w:spacing w:val="14"/>
        </w:rPr>
        <w:t xml:space="preserve"> </w:t>
      </w:r>
      <w:r>
        <w:rPr>
          <w:spacing w:val="17"/>
        </w:rPr>
        <w:t>阵痛，适用条件需政策精准支持。</w:t>
      </w:r>
    </w:p>
    <w:p>
      <w:pPr>
        <w:pStyle w:val="BodyText"/>
        <w:ind w:left="3"/>
        <w:spacing w:before="214" w:line="221" w:lineRule="auto"/>
        <w:outlineLvl w:val="4"/>
        <w:rPr/>
      </w:pPr>
      <w:r>
        <w:rPr>
          <w:b/>
          <w:bCs/>
          <w:spacing w:val="14"/>
        </w:rPr>
        <w:t>二</w:t>
      </w:r>
      <w:r>
        <w:rPr>
          <w:spacing w:val="-51"/>
        </w:rPr>
        <w:t xml:space="preserve"> </w:t>
      </w:r>
      <w:r>
        <w:rPr>
          <w:b/>
          <w:bCs/>
          <w:spacing w:val="14"/>
        </w:rPr>
        <w:t>、可持续发展内生动力分析</w:t>
      </w:r>
    </w:p>
    <w:p>
      <w:pPr>
        <w:pStyle w:val="BodyText"/>
        <w:ind w:right="6"/>
        <w:spacing w:before="231" w:line="366" w:lineRule="auto"/>
        <w:rPr/>
      </w:pPr>
      <w:r>
        <w:rPr>
          <w:spacing w:val="16"/>
        </w:rPr>
        <w:t>房地产行业可持续发展的内生动力源于市场需求、技术创新与政策导向的交互，通常而言，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</w:rPr>
        <w:t>ESG</w:t>
      </w:r>
      <w:r>
        <w:rPr>
          <w:rFonts w:ascii="SimSun" w:hAnsi="SimSun" w:eastAsia="SimSun" w:cs="SimSun"/>
          <w:spacing w:val="8"/>
        </w:rPr>
        <w:t xml:space="preserve">  </w:t>
      </w:r>
      <w:r>
        <w:rPr>
          <w:spacing w:val="25"/>
        </w:rPr>
        <w:t>投资(环境、社会、治理投资，指整合环境、社会责任与公司治理因素的投资策略)成为关键驱</w:t>
      </w:r>
      <w:r>
        <w:rPr>
          <w:spacing w:val="18"/>
        </w:rPr>
        <w:t xml:space="preserve"> </w:t>
      </w:r>
      <w:r>
        <w:rPr>
          <w:spacing w:val="13"/>
        </w:rPr>
        <w:t>动力。</w:t>
      </w:r>
    </w:p>
    <w:p>
      <w:pPr>
        <w:pStyle w:val="BodyText"/>
        <w:ind w:left="159"/>
        <w:spacing w:before="220" w:line="222" w:lineRule="auto"/>
        <w:rPr/>
      </w:pPr>
      <w:r>
        <w:rPr>
          <w:spacing w:val="18"/>
        </w:rPr>
        <w:t>(</w:t>
      </w:r>
      <w:r>
        <w:rPr>
          <w:spacing w:val="-55"/>
        </w:rPr>
        <w:t xml:space="preserve"> </w:t>
      </w:r>
      <w:r>
        <w:rPr>
          <w:spacing w:val="18"/>
        </w:rPr>
        <w:t>一</w:t>
      </w:r>
      <w:r>
        <w:rPr>
          <w:spacing w:val="-66"/>
        </w:rPr>
        <w:t xml:space="preserve"> </w:t>
      </w:r>
      <w:r>
        <w:rPr>
          <w:spacing w:val="18"/>
        </w:rPr>
        <w:t>)市场需求驱动</w:t>
      </w:r>
    </w:p>
    <w:p>
      <w:pPr>
        <w:pStyle w:val="BodyText"/>
        <w:ind w:right="3"/>
        <w:spacing w:before="246" w:line="370" w:lineRule="auto"/>
        <w:rPr/>
      </w:pPr>
      <w:r>
        <w:rPr>
          <w:spacing w:val="20"/>
        </w:rPr>
        <w:t>据麦肯锡报告，中国消费者对绿色、健康住房需求上升，可能意味着改善型与租赁需求将成为主</w:t>
      </w:r>
      <w:r>
        <w:rPr>
          <w:spacing w:val="11"/>
        </w:rPr>
        <w:t xml:space="preserve"> </w:t>
      </w:r>
      <w:r>
        <w:rPr>
          <w:spacing w:val="-6"/>
        </w:rPr>
        <w:t>流</w:t>
      </w:r>
      <w:r>
        <w:rPr>
          <w:spacing w:val="-51"/>
        </w:rPr>
        <w:t xml:space="preserve"> </w:t>
      </w:r>
      <w:r>
        <w:rPr>
          <w:spacing w:val="-6"/>
        </w:rPr>
        <w:t>。</w:t>
      </w:r>
    </w:p>
    <w:p>
      <w:pPr>
        <w:pStyle w:val="BodyText"/>
        <w:ind w:left="149"/>
        <w:spacing w:before="217" w:line="221" w:lineRule="auto"/>
        <w:rPr/>
      </w:pPr>
      <w:r>
        <w:rPr>
          <w:spacing w:val="27"/>
        </w:rPr>
        <w:t>(二)技术与模式创新驱动</w:t>
      </w:r>
    </w:p>
    <w:p>
      <w:pPr>
        <w:pStyle w:val="BodyText"/>
        <w:ind w:right="2"/>
        <w:spacing w:before="276" w:line="354" w:lineRule="auto"/>
        <w:rPr/>
      </w:pPr>
      <w:r>
        <w:rPr>
          <w:spacing w:val="26"/>
        </w:rPr>
        <w:t>城市有机更新(指通过微改造、功能复合等方式提</w:t>
      </w:r>
      <w:r>
        <w:rPr>
          <w:spacing w:val="25"/>
        </w:rPr>
        <w:t>升存量资产价值的可持续城市发展模式)与数</w:t>
      </w:r>
      <w:r>
        <w:rPr/>
        <w:t xml:space="preserve"> </w:t>
      </w:r>
      <w:r>
        <w:rPr>
          <w:spacing w:val="17"/>
        </w:rPr>
        <w:t>字技术应用提供新动能。</w:t>
      </w:r>
    </w:p>
    <w:p>
      <w:pPr>
        <w:pStyle w:val="BodyText"/>
        <w:ind w:left="3"/>
        <w:spacing w:before="224" w:line="221" w:lineRule="auto"/>
        <w:outlineLvl w:val="4"/>
        <w:rPr/>
      </w:pPr>
      <w:r>
        <w:rPr>
          <w:rFonts w:ascii="SimSun" w:hAnsi="SimSun" w:eastAsia="SimSun" w:cs="SimSun"/>
          <w:b/>
          <w:bCs/>
          <w:spacing w:val="26"/>
        </w:rPr>
        <w:t>1.</w:t>
      </w:r>
      <w:r>
        <w:rPr>
          <w:b/>
          <w:bCs/>
          <w:spacing w:val="26"/>
        </w:rPr>
        <w:t>内生动力分类表(表3:动力谱系与贡献估算)</w:t>
      </w:r>
    </w:p>
    <w:p>
      <w:pPr>
        <w:spacing w:line="221" w:lineRule="auto"/>
        <w:sectPr>
          <w:pgSz w:w="12240" w:h="15840"/>
          <w:pgMar w:top="1302" w:right="1164" w:bottom="0" w:left="980" w:header="0" w:footer="0" w:gutter="0"/>
        </w:sectPr>
        <w:rPr/>
      </w:pP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1189"/>
        <w:spacing w:before="68" w:line="22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动力类型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306" w:right="303"/>
        <w:spacing w:before="69" w:line="287" w:lineRule="auto"/>
        <w:rPr>
          <w:sz w:val="21"/>
          <w:szCs w:val="21"/>
        </w:rPr>
      </w:pPr>
      <w:r>
        <w:rPr>
          <w:sz w:val="21"/>
          <w:szCs w:val="21"/>
          <w:spacing w:val="-4"/>
          <w:position w:val="-1"/>
        </w:rPr>
        <w:t>市场</w:t>
      </w:r>
      <w:r>
        <w:rPr>
          <w:sz w:val="21"/>
          <w:szCs w:val="21"/>
          <w:spacing w:val="13"/>
          <w:position w:val="-1"/>
        </w:rPr>
        <w:t xml:space="preserve">    </w:t>
      </w:r>
      <w:r>
        <w:rPr>
          <w:sz w:val="21"/>
          <w:szCs w:val="21"/>
          <w:spacing w:val="-4"/>
        </w:rPr>
        <w:t>改善型、租赁、绿</w:t>
      </w:r>
      <w:r>
        <w:rPr>
          <w:sz w:val="21"/>
          <w:szCs w:val="21"/>
          <w:spacing w:val="38"/>
        </w:rPr>
        <w:t xml:space="preserve">  </w:t>
      </w:r>
      <w:r>
        <w:rPr>
          <w:sz w:val="21"/>
          <w:szCs w:val="21"/>
          <w:spacing w:val="-4"/>
        </w:rPr>
        <w:t>高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5"/>
        </w:rPr>
        <w:t>需求</w:t>
      </w:r>
      <w:r>
        <w:rPr>
          <w:sz w:val="21"/>
          <w:szCs w:val="21"/>
          <w:spacing w:val="14"/>
        </w:rPr>
        <w:t xml:space="preserve">    </w:t>
      </w:r>
      <w:r>
        <w:rPr>
          <w:sz w:val="21"/>
          <w:szCs w:val="21"/>
          <w:spacing w:val="-5"/>
        </w:rPr>
        <w:t>色住房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8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核心要素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right="216"/>
        <w:spacing w:before="68" w:line="28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激发消费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潜力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right="190"/>
        <w:spacing w:before="69" w:line="287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支付能力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9"/>
        </w:rPr>
        <w:t>分化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9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"/>
        </w:rPr>
        <w:t>贡献潜力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right="205"/>
        <w:spacing w:before="68" w:line="28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租购并举政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2"/>
        </w:rPr>
        <w:t>策深化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56"/>
        <w:spacing w:before="41" w:line="327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6"/>
        </w:rPr>
        <w:t>优势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-6"/>
        </w:rPr>
        <w:t>分析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" w:right="287" w:hanging="19"/>
        <w:spacing w:before="41" w:line="32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5"/>
        </w:rPr>
        <w:t>潜在局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1"/>
        </w:rPr>
        <w:t>限性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712" w:hanging="10"/>
        <w:spacing w:before="41" w:line="3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适用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-5"/>
        </w:rPr>
        <w:t>条件</w:t>
      </w:r>
    </w:p>
    <w:p>
      <w:pPr>
        <w:spacing w:line="319" w:lineRule="auto"/>
        <w:sectPr>
          <w:pgSz w:w="12240" w:h="15840"/>
          <w:pgMar w:top="1102" w:right="1160" w:bottom="0" w:left="673" w:header="0" w:footer="0" w:gutter="0"/>
          <w:cols w:equalWidth="0" w:num="7">
            <w:col w:w="3637" w:space="100"/>
            <w:col w:w="1051" w:space="100"/>
            <w:col w:w="1050" w:space="100"/>
            <w:col w:w="1244" w:space="100"/>
            <w:col w:w="771" w:space="100"/>
            <w:col w:w="910" w:space="100"/>
            <w:col w:w="1147" w:space="0"/>
          </w:cols>
        </w:sectPr>
        <w:rPr>
          <w:sz w:val="21"/>
          <w:szCs w:val="21"/>
        </w:rPr>
      </w:pPr>
    </w:p>
    <w:tbl>
      <w:tblPr>
        <w:tblStyle w:val="TableNormal"/>
        <w:tblW w:w="10089" w:type="dxa"/>
        <w:tblInd w:w="30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32"/>
        <w:gridCol w:w="2054"/>
        <w:gridCol w:w="545"/>
        <w:gridCol w:w="1193"/>
        <w:gridCol w:w="1142"/>
        <w:gridCol w:w="4523"/>
      </w:tblGrid>
      <w:tr>
        <w:trPr>
          <w:trHeight w:val="973" w:hRule="atLeast"/>
        </w:trPr>
        <w:tc>
          <w:tcPr>
            <w:tcW w:w="632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spacing w:before="297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技术</w:t>
            </w:r>
          </w:p>
          <w:p>
            <w:pPr>
              <w:pStyle w:val="TableText"/>
              <w:spacing w:before="107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创新</w:t>
            </w:r>
          </w:p>
        </w:tc>
        <w:tc>
          <w:tcPr>
            <w:tcW w:w="205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247" w:right="135"/>
              <w:spacing w:before="296" w:line="2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绿色建筑、虚拟制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</w:rPr>
              <w:t>作</w:t>
            </w:r>
          </w:p>
        </w:tc>
        <w:tc>
          <w:tcPr>
            <w:tcW w:w="54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53"/>
              <w:spacing w:before="296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高</w:t>
            </w:r>
          </w:p>
        </w:tc>
        <w:tc>
          <w:tcPr>
            <w:tcW w:w="1193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98" w:right="142"/>
              <w:spacing w:before="296" w:line="2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降低碳足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</w:rPr>
              <w:t>迹</w:t>
            </w:r>
          </w:p>
        </w:tc>
        <w:tc>
          <w:tcPr>
            <w:tcW w:w="1142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55" w:right="152"/>
              <w:spacing w:before="298" w:line="2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初始投资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大</w:t>
            </w:r>
          </w:p>
        </w:tc>
        <w:tc>
          <w:tcPr>
            <w:tcW w:w="4523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63" w:right="3318"/>
              <w:spacing w:before="298" w:line="2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科技赋能框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11"/>
              </w:rPr>
              <w:t>架下</w:t>
            </w:r>
          </w:p>
        </w:tc>
      </w:tr>
      <w:tr>
        <w:trPr>
          <w:trHeight w:val="574" w:hRule="atLeast"/>
        </w:trPr>
        <w:tc>
          <w:tcPr>
            <w:tcW w:w="63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before="289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模式</w:t>
            </w:r>
          </w:p>
        </w:tc>
        <w:tc>
          <w:tcPr>
            <w:tcW w:w="205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7"/>
              <w:spacing w:before="289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存量盘活、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REITs</w:t>
            </w:r>
          </w:p>
        </w:tc>
        <w:tc>
          <w:tcPr>
            <w:tcW w:w="54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3"/>
              <w:spacing w:before="291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中</w:t>
            </w:r>
          </w:p>
        </w:tc>
        <w:tc>
          <w:tcPr>
            <w:tcW w:w="11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8"/>
              <w:spacing w:before="289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提升资产</w:t>
            </w:r>
          </w:p>
        </w:tc>
        <w:tc>
          <w:tcPr>
            <w:tcW w:w="114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5"/>
              <w:spacing w:before="28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市场成熟</w:t>
            </w:r>
          </w:p>
        </w:tc>
        <w:tc>
          <w:tcPr>
            <w:tcW w:w="452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3"/>
              <w:spacing w:before="291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金融工具创</w:t>
            </w:r>
          </w:p>
        </w:tc>
      </w:tr>
      <w:tr>
        <w:trPr>
          <w:trHeight w:val="393" w:hRule="atLeast"/>
        </w:trPr>
        <w:tc>
          <w:tcPr>
            <w:tcW w:w="63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before="85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转型</w:t>
            </w:r>
          </w:p>
        </w:tc>
        <w:tc>
          <w:tcPr>
            <w:tcW w:w="2054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3"/>
              <w:spacing w:before="85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等</w:t>
            </w:r>
          </w:p>
        </w:tc>
        <w:tc>
          <w:tcPr>
            <w:tcW w:w="119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8"/>
              <w:spacing w:before="84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效率</w:t>
            </w:r>
          </w:p>
        </w:tc>
        <w:tc>
          <w:tcPr>
            <w:tcW w:w="114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5"/>
              <w:spacing w:before="85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9"/>
              </w:rPr>
              <w:t>度低</w:t>
            </w:r>
          </w:p>
        </w:tc>
        <w:tc>
          <w:tcPr>
            <w:tcW w:w="452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3"/>
              <w:spacing w:before="84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新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1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16" w:lineRule="auto"/>
        <w:sectPr>
          <w:type w:val="continuous"/>
          <w:pgSz w:w="12240" w:h="15840"/>
          <w:pgMar w:top="1102" w:right="1160" w:bottom="0" w:left="673" w:header="0" w:footer="0" w:gutter="0"/>
          <w:cols w:equalWidth="0" w:num="1">
            <w:col w:w="10406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306" w:right="366"/>
        <w:spacing w:before="44" w:line="318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政策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6"/>
        </w:rPr>
        <w:t>导向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1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双碳、城镇化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0"/>
        <w:spacing w:before="45" w:line="223" w:lineRule="auto"/>
        <w:rPr>
          <w:sz w:val="21"/>
          <w:szCs w:val="21"/>
        </w:rPr>
      </w:pPr>
      <w:r>
        <w:rPr>
          <w:sz w:val="21"/>
          <w:szCs w:val="21"/>
        </w:rPr>
        <w:t>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16"/>
        <w:spacing w:before="45" w:line="31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提供外部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支撑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17"/>
        <w:spacing w:before="40" w:line="3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执行偏差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8"/>
        </w:rPr>
        <w:t>风险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310"/>
        <w:spacing w:before="44" w:line="314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多元协同治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理</w:t>
      </w:r>
    </w:p>
    <w:p>
      <w:pPr>
        <w:spacing w:line="314" w:lineRule="auto"/>
        <w:sectPr>
          <w:type w:val="continuous"/>
          <w:pgSz w:w="12240" w:h="15840"/>
          <w:pgMar w:top="1102" w:right="1160" w:bottom="0" w:left="673" w:header="0" w:footer="0" w:gutter="0"/>
          <w:cols w:equalWidth="0" w:num="6">
            <w:col w:w="1087" w:space="100"/>
            <w:col w:w="1730" w:space="100"/>
            <w:col w:w="720" w:space="0"/>
            <w:col w:w="1051" w:space="100"/>
            <w:col w:w="1050" w:space="100"/>
            <w:col w:w="4370" w:space="0"/>
          </w:cols>
        </w:sectPr>
        <w:rPr>
          <w:sz w:val="21"/>
          <w:szCs w:val="21"/>
        </w:rPr>
      </w:pP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306"/>
        <w:spacing w:before="68" w:line="213" w:lineRule="auto"/>
        <w:rPr>
          <w:sz w:val="21"/>
          <w:szCs w:val="21"/>
        </w:rPr>
      </w:pPr>
      <w:r>
        <w:rPr>
          <w:sz w:val="21"/>
          <w:szCs w:val="21"/>
          <w:spacing w:val="29"/>
        </w:rPr>
        <w:t>该表显示，多动力协同，但潜在局限在于协调难度，适用条件需国家机制保障。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476"/>
        <w:spacing w:before="69" w:line="222" w:lineRule="auto"/>
        <w:rPr>
          <w:sz w:val="21"/>
          <w:szCs w:val="21"/>
        </w:rPr>
      </w:pPr>
      <w:r>
        <w:rPr>
          <w:sz w:val="21"/>
          <w:szCs w:val="21"/>
          <w:spacing w:val="-13"/>
        </w:rPr>
        <w:t>(</w:t>
      </w:r>
      <w:r>
        <w:rPr>
          <w:sz w:val="21"/>
          <w:szCs w:val="21"/>
          <w:spacing w:val="-38"/>
        </w:rPr>
        <w:t xml:space="preserve"> </w:t>
      </w:r>
      <w:r>
        <w:rPr>
          <w:sz w:val="21"/>
          <w:szCs w:val="21"/>
          <w:spacing w:val="-13"/>
        </w:rPr>
        <w:t>三</w:t>
      </w:r>
      <w:r>
        <w:rPr>
          <w:sz w:val="21"/>
          <w:szCs w:val="21"/>
          <w:spacing w:val="-47"/>
        </w:rPr>
        <w:t xml:space="preserve"> </w:t>
      </w:r>
      <w:r>
        <w:rPr>
          <w:sz w:val="21"/>
          <w:szCs w:val="21"/>
          <w:spacing w:val="-13"/>
        </w:rPr>
        <w:t>)</w:t>
      </w:r>
      <w:r>
        <w:rPr>
          <w:sz w:val="21"/>
          <w:szCs w:val="21"/>
          <w:spacing w:val="-42"/>
        </w:rPr>
        <w:t xml:space="preserve"> </w:t>
      </w:r>
      <w:r>
        <w:rPr>
          <w:sz w:val="21"/>
          <w:szCs w:val="21"/>
          <w:spacing w:val="-13"/>
        </w:rPr>
        <w:t>辩</w:t>
      </w:r>
      <w:r>
        <w:rPr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13"/>
        </w:rPr>
        <w:t>证</w:t>
      </w:r>
      <w:r>
        <w:rPr>
          <w:sz w:val="21"/>
          <w:szCs w:val="21"/>
          <w:spacing w:val="-44"/>
        </w:rPr>
        <w:t xml:space="preserve"> </w:t>
      </w:r>
      <w:r>
        <w:rPr>
          <w:sz w:val="21"/>
          <w:szCs w:val="21"/>
          <w:spacing w:val="-13"/>
        </w:rPr>
        <w:t>评</w:t>
      </w:r>
      <w:r>
        <w:rPr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13"/>
        </w:rPr>
        <w:t>估</w:t>
      </w:r>
    </w:p>
    <w:p>
      <w:pPr>
        <w:pStyle w:val="BodyText"/>
        <w:ind w:left="306"/>
        <w:spacing w:before="267" w:line="305" w:lineRule="auto"/>
        <w:rPr>
          <w:sz w:val="21"/>
          <w:szCs w:val="21"/>
        </w:rPr>
      </w:pPr>
      <w:r>
        <w:rPr>
          <w:sz w:val="21"/>
          <w:szCs w:val="21"/>
          <w:spacing w:val="27"/>
        </w:rPr>
        <w:t>一</w:t>
      </w:r>
      <w:r>
        <w:rPr>
          <w:sz w:val="21"/>
          <w:szCs w:val="21"/>
          <w:spacing w:val="-48"/>
        </w:rPr>
        <w:t xml:space="preserve"> </w:t>
      </w:r>
      <w:r>
        <w:rPr>
          <w:sz w:val="21"/>
          <w:szCs w:val="21"/>
          <w:spacing w:val="27"/>
        </w:rPr>
        <w:t>方面，这些动力可能推动行业韧性提升；另</w:t>
      </w:r>
      <w:r>
        <w:rPr>
          <w:sz w:val="21"/>
          <w:szCs w:val="21"/>
          <w:spacing w:val="-62"/>
        </w:rPr>
        <w:t xml:space="preserve"> </w:t>
      </w:r>
      <w:r>
        <w:rPr>
          <w:sz w:val="21"/>
          <w:szCs w:val="21"/>
          <w:spacing w:val="27"/>
        </w:rPr>
        <w:t>一</w:t>
      </w:r>
      <w:r>
        <w:rPr>
          <w:sz w:val="21"/>
          <w:szCs w:val="21"/>
          <w:spacing w:val="-61"/>
        </w:rPr>
        <w:t xml:space="preserve"> </w:t>
      </w:r>
      <w:r>
        <w:rPr>
          <w:sz w:val="21"/>
          <w:szCs w:val="21"/>
          <w:spacing w:val="27"/>
        </w:rPr>
        <w:t>方面，其挑战在于转型成本与区域异质性，建议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8"/>
        </w:rPr>
        <w:t>考量渐进式路径。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69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0"/>
        </w:rPr>
        <w:t>三</w:t>
      </w:r>
      <w:r>
        <w:rPr>
          <w:sz w:val="21"/>
          <w:szCs w:val="21"/>
          <w:spacing w:val="-25"/>
        </w:rPr>
        <w:t xml:space="preserve"> </w:t>
      </w:r>
      <w:r>
        <w:rPr>
          <w:sz w:val="21"/>
          <w:szCs w:val="21"/>
          <w:b/>
          <w:bCs/>
          <w:spacing w:val="30"/>
        </w:rPr>
        <w:t>、国家促进机制规划(2025</w:t>
      </w:r>
      <w:r>
        <w:rPr>
          <w:sz w:val="21"/>
          <w:szCs w:val="21"/>
          <w:spacing w:val="-55"/>
        </w:rPr>
        <w:t xml:space="preserve"> </w:t>
      </w:r>
      <w:r>
        <w:rPr>
          <w:sz w:val="21"/>
          <w:szCs w:val="21"/>
          <w:b/>
          <w:bCs/>
          <w:spacing w:val="30"/>
        </w:rPr>
        <w:t>-</w:t>
      </w:r>
      <w:r>
        <w:rPr>
          <w:sz w:val="21"/>
          <w:szCs w:val="21"/>
          <w:spacing w:val="-52"/>
        </w:rPr>
        <w:t xml:space="preserve"> </w:t>
      </w:r>
      <w:r>
        <w:rPr>
          <w:sz w:val="21"/>
          <w:szCs w:val="21"/>
          <w:b/>
          <w:bCs/>
          <w:spacing w:val="30"/>
        </w:rPr>
        <w:t>203</w:t>
      </w:r>
      <w:r>
        <w:rPr>
          <w:sz w:val="21"/>
          <w:szCs w:val="21"/>
          <w:b/>
          <w:bCs/>
          <w:spacing w:val="29"/>
        </w:rPr>
        <w:t>5)</w:t>
      </w:r>
    </w:p>
    <w:p>
      <w:pPr>
        <w:pStyle w:val="BodyText"/>
        <w:ind w:left="306" w:right="1"/>
        <w:spacing w:before="231" w:line="386" w:lineRule="auto"/>
        <w:rPr>
          <w:sz w:val="21"/>
          <w:szCs w:val="21"/>
        </w:rPr>
      </w:pPr>
      <w:r>
        <w:rPr>
          <w:sz w:val="21"/>
          <w:szCs w:val="21"/>
          <w:spacing w:val="32"/>
        </w:rPr>
        <w:t>国家促进机制应聚焦政策、资金与导向三位</w:t>
      </w:r>
      <w:r>
        <w:rPr>
          <w:sz w:val="21"/>
          <w:szCs w:val="21"/>
          <w:spacing w:val="-59"/>
        </w:rPr>
        <w:t xml:space="preserve"> </w:t>
      </w:r>
      <w:r>
        <w:rPr>
          <w:sz w:val="21"/>
          <w:szCs w:val="21"/>
          <w:spacing w:val="32"/>
        </w:rPr>
        <w:t>一体，通常而言，房地产金融审</w:t>
      </w:r>
      <w:r>
        <w:rPr>
          <w:sz w:val="21"/>
          <w:szCs w:val="21"/>
          <w:spacing w:val="31"/>
        </w:rPr>
        <w:t>慎管理(指通过宏观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1"/>
        </w:rPr>
        <w:t>审慎框架防控房地产金融风险的管理模式)是基础。</w:t>
      </w:r>
    </w:p>
    <w:p>
      <w:pPr>
        <w:pStyle w:val="BodyText"/>
        <w:ind w:left="466"/>
        <w:spacing w:before="221" w:line="222" w:lineRule="auto"/>
        <w:rPr>
          <w:sz w:val="21"/>
          <w:szCs w:val="21"/>
        </w:rPr>
      </w:pPr>
      <w:r>
        <w:rPr>
          <w:sz w:val="21"/>
          <w:szCs w:val="21"/>
          <w:spacing w:val="-12"/>
        </w:rPr>
        <w:t>(</w:t>
      </w:r>
      <w:r>
        <w:rPr>
          <w:sz w:val="21"/>
          <w:szCs w:val="21"/>
          <w:spacing w:val="-39"/>
        </w:rPr>
        <w:t xml:space="preserve"> </w:t>
      </w:r>
      <w:r>
        <w:rPr>
          <w:sz w:val="21"/>
          <w:szCs w:val="21"/>
          <w:spacing w:val="-12"/>
        </w:rPr>
        <w:t>一</w:t>
      </w:r>
      <w:r>
        <w:rPr>
          <w:sz w:val="21"/>
          <w:szCs w:val="21"/>
          <w:spacing w:val="-52"/>
        </w:rPr>
        <w:t xml:space="preserve"> </w:t>
      </w:r>
      <w:r>
        <w:rPr>
          <w:sz w:val="21"/>
          <w:szCs w:val="21"/>
          <w:spacing w:val="-12"/>
        </w:rPr>
        <w:t>)</w:t>
      </w:r>
      <w:r>
        <w:rPr>
          <w:sz w:val="21"/>
          <w:szCs w:val="21"/>
          <w:spacing w:val="-50"/>
        </w:rPr>
        <w:t xml:space="preserve"> </w:t>
      </w:r>
      <w:r>
        <w:rPr>
          <w:sz w:val="21"/>
          <w:szCs w:val="21"/>
          <w:spacing w:val="-12"/>
        </w:rPr>
        <w:t>政</w:t>
      </w:r>
      <w:r>
        <w:rPr>
          <w:sz w:val="21"/>
          <w:szCs w:val="21"/>
          <w:spacing w:val="-49"/>
        </w:rPr>
        <w:t xml:space="preserve"> </w:t>
      </w:r>
      <w:r>
        <w:rPr>
          <w:sz w:val="21"/>
          <w:szCs w:val="21"/>
          <w:spacing w:val="-12"/>
        </w:rPr>
        <w:t>策</w:t>
      </w:r>
      <w:r>
        <w:rPr>
          <w:sz w:val="21"/>
          <w:szCs w:val="21"/>
          <w:spacing w:val="-50"/>
        </w:rPr>
        <w:t xml:space="preserve"> </w:t>
      </w:r>
      <w:r>
        <w:rPr>
          <w:sz w:val="21"/>
          <w:szCs w:val="21"/>
          <w:spacing w:val="-12"/>
        </w:rPr>
        <w:t>机</w:t>
      </w:r>
      <w:r>
        <w:rPr>
          <w:sz w:val="21"/>
          <w:szCs w:val="21"/>
          <w:spacing w:val="-49"/>
        </w:rPr>
        <w:t xml:space="preserve"> </w:t>
      </w:r>
      <w:r>
        <w:rPr>
          <w:sz w:val="21"/>
          <w:szCs w:val="21"/>
          <w:spacing w:val="-12"/>
        </w:rPr>
        <w:t>制</w:t>
      </w:r>
      <w:r>
        <w:rPr>
          <w:sz w:val="21"/>
          <w:szCs w:val="21"/>
          <w:spacing w:val="-47"/>
        </w:rPr>
        <w:t xml:space="preserve"> </w:t>
      </w:r>
      <w:r>
        <w:rPr>
          <w:sz w:val="21"/>
          <w:szCs w:val="21"/>
          <w:spacing w:val="-12"/>
        </w:rPr>
        <w:t>设</w:t>
      </w:r>
      <w:r>
        <w:rPr>
          <w:sz w:val="21"/>
          <w:szCs w:val="21"/>
          <w:spacing w:val="-48"/>
        </w:rPr>
        <w:t xml:space="preserve"> </w:t>
      </w:r>
      <w:r>
        <w:rPr>
          <w:sz w:val="21"/>
          <w:szCs w:val="21"/>
          <w:spacing w:val="-12"/>
        </w:rPr>
        <w:t>计</w:t>
      </w:r>
    </w:p>
    <w:p>
      <w:pPr>
        <w:pStyle w:val="BodyText"/>
        <w:ind w:left="306"/>
        <w:spacing w:before="298" w:line="213" w:lineRule="auto"/>
        <w:rPr>
          <w:sz w:val="21"/>
          <w:szCs w:val="21"/>
        </w:rPr>
      </w:pPr>
      <w:r>
        <w:rPr>
          <w:sz w:val="21"/>
          <w:szCs w:val="21"/>
          <w:spacing w:val="29"/>
        </w:rPr>
        <w:t>据住房和城乡建设部城市更新行动意见，加力实施城中村改造与保障房建设。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306"/>
        <w:spacing w:before="69" w:line="221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8"/>
        </w:rPr>
        <w:t>1.</w:t>
      </w:r>
      <w:r>
        <w:rPr>
          <w:sz w:val="21"/>
          <w:szCs w:val="21"/>
          <w:spacing w:val="38"/>
        </w:rPr>
        <w:t>政策工具箱矩阵(表4:措施、主体与效能)</w:t>
      </w:r>
    </w:p>
    <w:p>
      <w:pPr>
        <w:spacing w:before="114"/>
        <w:rPr/>
      </w:pPr>
      <w:r/>
    </w:p>
    <w:tbl>
      <w:tblPr>
        <w:tblStyle w:val="TableNormal"/>
        <w:tblW w:w="9929" w:type="dxa"/>
        <w:tblInd w:w="30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43"/>
        <w:gridCol w:w="2293"/>
        <w:gridCol w:w="2189"/>
        <w:gridCol w:w="1501"/>
        <w:gridCol w:w="1510"/>
        <w:gridCol w:w="1493"/>
      </w:tblGrid>
      <w:tr>
        <w:trPr>
          <w:trHeight w:val="407" w:hRule="atLeast"/>
        </w:trPr>
        <w:tc>
          <w:tcPr>
            <w:tcW w:w="943" w:type="dxa"/>
            <w:vAlign w:val="top"/>
          </w:tcPr>
          <w:p>
            <w:pPr>
              <w:pStyle w:val="TableText"/>
              <w:ind w:left="3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机制类别</w:t>
            </w:r>
          </w:p>
        </w:tc>
        <w:tc>
          <w:tcPr>
            <w:tcW w:w="2293" w:type="dxa"/>
            <w:vAlign w:val="top"/>
          </w:tcPr>
          <w:p>
            <w:pPr>
              <w:pStyle w:val="TableText"/>
              <w:ind w:left="149"/>
              <w:spacing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具体措施</w:t>
            </w:r>
          </w:p>
        </w:tc>
        <w:tc>
          <w:tcPr>
            <w:tcW w:w="2189" w:type="dxa"/>
            <w:vAlign w:val="top"/>
          </w:tcPr>
          <w:p>
            <w:pPr>
              <w:pStyle w:val="TableText"/>
              <w:ind w:left="196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责任主体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157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预期效能</w:t>
            </w:r>
          </w:p>
        </w:tc>
        <w:tc>
          <w:tcPr>
            <w:tcW w:w="1510" w:type="dxa"/>
            <w:vAlign w:val="top"/>
          </w:tcPr>
          <w:p>
            <w:pPr>
              <w:pStyle w:val="TableText"/>
              <w:ind w:left="146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潜在局限性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126"/>
              <w:spacing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适用条件</w:t>
            </w:r>
          </w:p>
        </w:tc>
      </w:tr>
      <w:tr>
        <w:trPr>
          <w:trHeight w:val="497" w:hRule="atLeast"/>
        </w:trPr>
        <w:tc>
          <w:tcPr>
            <w:tcW w:w="94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before="195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土地政策</w:t>
            </w:r>
          </w:p>
        </w:tc>
        <w:tc>
          <w:tcPr>
            <w:tcW w:w="229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6"/>
              <w:spacing w:before="195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存量盘活、增容奖励</w:t>
            </w:r>
          </w:p>
        </w:tc>
        <w:tc>
          <w:tcPr>
            <w:tcW w:w="218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3"/>
              <w:spacing w:before="195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自然资源部</w:t>
            </w:r>
          </w:p>
        </w:tc>
        <w:tc>
          <w:tcPr>
            <w:tcW w:w="150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4"/>
              <w:spacing w:before="195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激活更新潜力</w:t>
            </w:r>
          </w:p>
        </w:tc>
        <w:tc>
          <w:tcPr>
            <w:tcW w:w="151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3"/>
              <w:spacing w:before="195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规划冲突</w:t>
            </w:r>
          </w:p>
        </w:tc>
        <w:tc>
          <w:tcPr>
            <w:tcW w:w="149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3"/>
              <w:spacing w:before="196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核心城市优先</w:t>
            </w:r>
          </w:p>
        </w:tc>
      </w:tr>
      <w:tr>
        <w:trPr>
          <w:trHeight w:val="608" w:hRule="atLeast"/>
        </w:trPr>
        <w:tc>
          <w:tcPr>
            <w:tcW w:w="94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9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7"/>
              </w:rPr>
              <w:t>金融政策</w:t>
            </w:r>
          </w:p>
        </w:tc>
        <w:tc>
          <w:tcPr>
            <w:tcW w:w="22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绿色信贷、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REITs</w:t>
            </w:r>
            <w:r>
              <w:rPr>
                <w:sz w:val="21"/>
                <w:szCs w:val="21"/>
              </w:rPr>
              <w:t>扩容</w:t>
            </w:r>
          </w:p>
        </w:tc>
        <w:tc>
          <w:tcPr>
            <w:tcW w:w="218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9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央行、金融监管总局</w:t>
            </w:r>
          </w:p>
        </w:tc>
        <w:tc>
          <w:tcPr>
            <w:tcW w:w="15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69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降低融资成本</w:t>
            </w:r>
          </w:p>
        </w:tc>
        <w:tc>
          <w:tcPr>
            <w:tcW w:w="151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3"/>
              <w:spacing w:before="6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风险评估复杂</w:t>
            </w:r>
          </w:p>
        </w:tc>
        <w:tc>
          <w:tcPr>
            <w:tcW w:w="14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/>
              <w:spacing w:before="68" w:line="221" w:lineRule="auto"/>
              <w:rPr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3"/>
              </w:rPr>
              <w:t>ESG</w:t>
            </w:r>
            <w:r>
              <w:rPr>
                <w:sz w:val="21"/>
                <w:szCs w:val="21"/>
                <w:spacing w:val="-3"/>
              </w:rPr>
              <w:t>标准统一</w:t>
            </w:r>
          </w:p>
        </w:tc>
      </w:tr>
      <w:tr>
        <w:trPr>
          <w:trHeight w:val="609" w:hRule="atLeast"/>
        </w:trPr>
        <w:tc>
          <w:tcPr>
            <w:tcW w:w="94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7"/>
              </w:rPr>
              <w:t>税收政策</w:t>
            </w:r>
          </w:p>
        </w:tc>
        <w:tc>
          <w:tcPr>
            <w:tcW w:w="22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减免优惠、碳税激励</w:t>
            </w:r>
          </w:p>
        </w:tc>
        <w:tc>
          <w:tcPr>
            <w:tcW w:w="218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3"/>
              <w:spacing w:before="6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财政部、税务总局</w:t>
            </w:r>
          </w:p>
        </w:tc>
        <w:tc>
          <w:tcPr>
            <w:tcW w:w="15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6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引导绿色投资</w:t>
            </w:r>
          </w:p>
        </w:tc>
        <w:tc>
          <w:tcPr>
            <w:tcW w:w="151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69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7"/>
              </w:rPr>
              <w:t>财政压力</w:t>
            </w:r>
          </w:p>
        </w:tc>
        <w:tc>
          <w:tcPr>
            <w:tcW w:w="14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/>
              <w:spacing w:before="6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双碳目标框架</w:t>
            </w:r>
          </w:p>
        </w:tc>
      </w:tr>
    </w:tbl>
    <w:p>
      <w:pPr>
        <w:pStyle w:val="BodyText"/>
        <w:ind w:left="306"/>
        <w:spacing w:before="296" w:line="187" w:lineRule="auto"/>
        <w:rPr>
          <w:sz w:val="21"/>
          <w:szCs w:val="21"/>
        </w:rPr>
      </w:pPr>
      <w:r>
        <w:rPr>
          <w:sz w:val="21"/>
          <w:szCs w:val="21"/>
        </w:rPr>
        <w:t>监管机制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白名单扩展、审慎管理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住建部</w:t>
      </w:r>
      <w:r>
        <w:rPr>
          <w:sz w:val="21"/>
          <w:szCs w:val="21"/>
        </w:rPr>
        <w:t xml:space="preserve">               </w:t>
      </w:r>
      <w:r>
        <w:rPr>
          <w:sz w:val="21"/>
          <w:szCs w:val="21"/>
        </w:rPr>
        <w:t>防范系统风险</w:t>
      </w:r>
      <w:r>
        <w:rPr>
          <w:sz w:val="21"/>
          <w:szCs w:val="21"/>
          <w:spacing w:val="28"/>
        </w:rPr>
        <w:t xml:space="preserve">  </w:t>
      </w:r>
      <w:r>
        <w:rPr>
          <w:sz w:val="21"/>
          <w:szCs w:val="21"/>
        </w:rPr>
        <w:t>执行弹性不足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数据透明化</w:t>
      </w:r>
    </w:p>
    <w:p>
      <w:pPr>
        <w:spacing w:line="187" w:lineRule="auto"/>
        <w:sectPr>
          <w:type w:val="continuous"/>
          <w:pgSz w:w="12240" w:h="15840"/>
          <w:pgMar w:top="1102" w:right="1160" w:bottom="0" w:left="673" w:header="0" w:footer="0" w:gutter="0"/>
          <w:cols w:equalWidth="0" w:num="1">
            <w:col w:w="10406" w:space="0"/>
          </w:cols>
        </w:sectPr>
        <w:rPr>
          <w:sz w:val="21"/>
          <w:szCs w:val="21"/>
        </w:rPr>
      </w:pPr>
    </w:p>
    <w:p>
      <w:pPr>
        <w:pStyle w:val="BodyText"/>
        <w:spacing w:before="44" w:line="213" w:lineRule="auto"/>
        <w:rPr/>
      </w:pPr>
      <w:r>
        <w:rPr>
          <w:spacing w:val="19"/>
        </w:rPr>
        <w:t>该矩阵提供可操作框架，但潜在局限在于跨部门协调，适用条件需顶层设计优化。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1" w:line="221" w:lineRule="auto"/>
        <w:rPr/>
      </w:pPr>
      <w:r>
        <w:rPr>
          <w:spacing w:val="27"/>
        </w:rPr>
        <w:t>(二)资金机制创新</w:t>
      </w:r>
    </w:p>
    <w:p>
      <w:pPr>
        <w:pStyle w:val="BodyText"/>
        <w:spacing w:before="277" w:line="213" w:lineRule="auto"/>
        <w:rPr/>
      </w:pPr>
      <w:r>
        <w:rPr>
          <w:spacing w:val="21"/>
        </w:rPr>
        <w:t>据央行数据，2025年白名单贷款规模扩大，可能意味着绿色金融产品体系加速构建。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spacing w:before="72" w:line="221" w:lineRule="auto"/>
        <w:rPr/>
      </w:pPr>
      <w:r>
        <w:rPr>
          <w:rFonts w:ascii="SimSun" w:hAnsi="SimSun" w:eastAsia="SimSun" w:cs="SimSun"/>
          <w:spacing w:val="25"/>
        </w:rPr>
        <w:t>1.</w:t>
      </w:r>
      <w:r>
        <w:rPr>
          <w:rFonts w:ascii="SimSun" w:hAnsi="SimSun" w:eastAsia="SimSun" w:cs="SimSun"/>
        </w:rPr>
        <w:t>REITs</w:t>
      </w:r>
      <w:r>
        <w:rPr>
          <w:rFonts w:ascii="SimSun" w:hAnsi="SimSun" w:eastAsia="SimSun" w:cs="SimSun"/>
          <w:spacing w:val="25"/>
        </w:rPr>
        <w:t xml:space="preserve"> </w:t>
      </w:r>
      <w:r>
        <w:rPr>
          <w:spacing w:val="25"/>
        </w:rPr>
        <w:t>运作流程图描述(图1:文字描述流程)</w:t>
      </w:r>
    </w:p>
    <w:p>
      <w:pPr>
        <w:pStyle w:val="BodyText"/>
        <w:ind w:left="688" w:right="21" w:hanging="329"/>
        <w:spacing w:before="266" w:line="296" w:lineRule="auto"/>
        <w:rPr/>
      </w:pPr>
      <w:r>
        <w:rPr>
          <w:rFonts w:ascii="SimSun" w:hAnsi="SimSun" w:eastAsia="SimSun" w:cs="SimSun"/>
          <w:spacing w:val="17"/>
        </w:rPr>
        <w:t>1. </w:t>
      </w:r>
      <w:r>
        <w:rPr>
          <w:spacing w:val="17"/>
        </w:rPr>
        <w:t>资产筛选(绿色基础设施)</w:t>
      </w:r>
      <w:r>
        <w:rPr>
          <w:spacing w:val="-55"/>
        </w:rPr>
        <w:t xml:space="preserve"> </w:t>
      </w:r>
      <w:r>
        <w:rPr>
          <w:spacing w:val="17"/>
        </w:rPr>
        <w:t>→</w:t>
      </w:r>
      <w:r>
        <w:rPr>
          <w:spacing w:val="-63"/>
        </w:rPr>
        <w:t xml:space="preserve"> </w:t>
      </w:r>
      <w:r>
        <w:rPr>
          <w:spacing w:val="17"/>
        </w:rPr>
        <w:t>2</w:t>
      </w:r>
      <w:r>
        <w:rPr>
          <w:spacing w:val="-53"/>
        </w:rPr>
        <w:t xml:space="preserve"> </w:t>
      </w:r>
      <w:r>
        <w:rPr>
          <w:spacing w:val="17"/>
        </w:rPr>
        <w:t>.</w:t>
      </w:r>
      <w:r>
        <w:rPr>
          <w:spacing w:val="-60"/>
        </w:rPr>
        <w:t xml:space="preserve"> </w:t>
      </w:r>
      <w:r>
        <w:rPr>
          <w:spacing w:val="17"/>
        </w:rPr>
        <w:t>基金设立(公募发</w:t>
      </w:r>
      <w:r>
        <w:rPr>
          <w:spacing w:val="16"/>
        </w:rPr>
        <w:t>行)</w:t>
      </w:r>
      <w:r>
        <w:rPr>
          <w:spacing w:val="-55"/>
        </w:rPr>
        <w:t xml:space="preserve"> </w:t>
      </w:r>
      <w:r>
        <w:rPr>
          <w:spacing w:val="16"/>
        </w:rPr>
        <w:t>→</w:t>
      </w:r>
      <w:r>
        <w:rPr>
          <w:spacing w:val="-61"/>
        </w:rPr>
        <w:t xml:space="preserve"> </w:t>
      </w:r>
      <w:r>
        <w:rPr>
          <w:spacing w:val="16"/>
        </w:rPr>
        <w:t>3</w:t>
      </w:r>
      <w:r>
        <w:rPr>
          <w:spacing w:val="-53"/>
        </w:rPr>
        <w:t xml:space="preserve"> </w:t>
      </w:r>
      <w:r>
        <w:rPr>
          <w:spacing w:val="16"/>
        </w:rPr>
        <w:t>.</w:t>
      </w:r>
      <w:r>
        <w:rPr>
          <w:spacing w:val="-58"/>
        </w:rPr>
        <w:t xml:space="preserve"> </w:t>
      </w:r>
      <w:r>
        <w:rPr>
          <w:spacing w:val="16"/>
        </w:rPr>
        <w:t>运营管理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16"/>
        </w:rPr>
        <w:t>(</w:t>
      </w:r>
      <w:r>
        <w:rPr>
          <w:rFonts w:ascii="SimSun" w:hAnsi="SimSun" w:eastAsia="SimSun" w:cs="SimSun"/>
        </w:rPr>
        <w:t>ESG</w:t>
      </w:r>
      <w:r>
        <w:rPr>
          <w:rFonts w:ascii="SimSun" w:hAnsi="SimSun" w:eastAsia="SimSun" w:cs="SimSun"/>
          <w:spacing w:val="88"/>
        </w:rPr>
        <w:t xml:space="preserve"> </w:t>
      </w:r>
      <w:r>
        <w:rPr>
          <w:spacing w:val="16"/>
        </w:rPr>
        <w:t>融</w:t>
      </w:r>
      <w:r>
        <w:rPr>
          <w:spacing w:val="-38"/>
        </w:rPr>
        <w:t xml:space="preserve"> </w:t>
      </w:r>
      <w:r>
        <w:rPr>
          <w:spacing w:val="16"/>
        </w:rPr>
        <w:t>入</w:t>
      </w:r>
      <w:r>
        <w:rPr>
          <w:spacing w:val="-41"/>
        </w:rPr>
        <w:t xml:space="preserve"> </w:t>
      </w:r>
      <w:r>
        <w:rPr>
          <w:spacing w:val="16"/>
        </w:rPr>
        <w:t>)</w:t>
      </w:r>
      <w:r>
        <w:rPr>
          <w:spacing w:val="-32"/>
        </w:rPr>
        <w:t xml:space="preserve"> </w:t>
      </w:r>
      <w:r>
        <w:rPr>
          <w:spacing w:val="16"/>
        </w:rPr>
        <w:t>→</w:t>
      </w:r>
      <w:r>
        <w:rPr>
          <w:spacing w:val="-43"/>
        </w:rPr>
        <w:t xml:space="preserve"> </w:t>
      </w:r>
      <w:r>
        <w:rPr>
          <w:spacing w:val="16"/>
        </w:rPr>
        <w:t>4</w:t>
      </w:r>
      <w:r>
        <w:rPr>
          <w:spacing w:val="-28"/>
        </w:rPr>
        <w:t xml:space="preserve"> </w:t>
      </w:r>
      <w:r>
        <w:rPr>
          <w:spacing w:val="16"/>
        </w:rPr>
        <w:t>.</w:t>
      </w:r>
      <w:r>
        <w:rPr/>
        <w:t xml:space="preserve"> </w:t>
      </w:r>
      <w:r>
        <w:rPr>
          <w:spacing w:val="26"/>
        </w:rPr>
        <w:t>分红退出(长期收益)</w:t>
      </w:r>
      <w:r>
        <w:rPr>
          <w:spacing w:val="-44"/>
        </w:rPr>
        <w:t xml:space="preserve"> </w:t>
      </w:r>
      <w:r>
        <w:rPr>
          <w:spacing w:val="26"/>
        </w:rPr>
        <w:t>→</w:t>
      </w:r>
      <w:r>
        <w:rPr>
          <w:spacing w:val="-69"/>
        </w:rPr>
        <w:t xml:space="preserve"> </w:t>
      </w:r>
      <w:r>
        <w:rPr>
          <w:spacing w:val="26"/>
        </w:rPr>
        <w:t>5</w:t>
      </w:r>
      <w:r>
        <w:rPr>
          <w:spacing w:val="-55"/>
        </w:rPr>
        <w:t xml:space="preserve"> </w:t>
      </w:r>
      <w:r>
        <w:rPr>
          <w:spacing w:val="26"/>
        </w:rPr>
        <w:t>.</w:t>
      </w:r>
      <w:r>
        <w:rPr>
          <w:spacing w:val="-63"/>
        </w:rPr>
        <w:t xml:space="preserve"> </w:t>
      </w:r>
      <w:r>
        <w:rPr>
          <w:spacing w:val="26"/>
        </w:rPr>
        <w:t>循环投资(可持续扩容)。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spacing w:before="72" w:line="213" w:lineRule="auto"/>
        <w:rPr/>
      </w:pPr>
      <w:r>
        <w:rPr>
          <w:spacing w:val="18"/>
        </w:rPr>
        <w:t>该流程体现闭环，但挑战在于底层资产成熟度。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2" w:line="222" w:lineRule="auto"/>
        <w:rPr/>
      </w:pPr>
      <w:r>
        <w:rPr>
          <w:spacing w:val="27"/>
        </w:rPr>
        <w:t>(三)导向机制构建</w:t>
      </w:r>
    </w:p>
    <w:p>
      <w:pPr>
        <w:pStyle w:val="BodyText"/>
        <w:spacing w:before="274" w:line="213" w:lineRule="auto"/>
        <w:rPr/>
      </w:pPr>
      <w:r>
        <w:rPr>
          <w:spacing w:val="19"/>
        </w:rPr>
        <w:t>据发改委规划，新型城镇化与共同富裕导向下，租购并举将成为主流。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spacing w:before="73" w:line="221" w:lineRule="auto"/>
        <w:rPr/>
      </w:pPr>
      <w:r>
        <w:rPr>
          <w:rFonts w:ascii="SimSun" w:hAnsi="SimSun" w:eastAsia="SimSun" w:cs="SimSun"/>
          <w:spacing w:val="31"/>
        </w:rPr>
        <w:t>1.</w:t>
      </w:r>
      <w:r>
        <w:rPr>
          <w:spacing w:val="31"/>
        </w:rPr>
        <w:t>潜在风险矩阵(表5:风险类型与应对)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72" w:line="221" w:lineRule="auto"/>
        <w:rPr/>
      </w:pPr>
      <w:r>
        <w:rPr>
          <w:spacing w:val="-5"/>
        </w:rPr>
        <w:t>风险类型</w:t>
      </w:r>
      <w:r>
        <w:rPr>
          <w:spacing w:val="-5"/>
        </w:rPr>
        <w:t xml:space="preserve">  </w:t>
      </w:r>
      <w:r>
        <w:rPr>
          <w:spacing w:val="-5"/>
        </w:rPr>
        <w:t>表现形式</w:t>
      </w:r>
      <w:r>
        <w:rPr>
          <w:spacing w:val="2"/>
        </w:rPr>
        <w:t xml:space="preserve">      </w:t>
      </w:r>
      <w:r>
        <w:rPr>
          <w:spacing w:val="-5"/>
        </w:rPr>
        <w:t>概率估算</w:t>
      </w:r>
      <w:r>
        <w:rPr>
          <w:spacing w:val="11"/>
        </w:rPr>
        <w:t xml:space="preserve">  </w:t>
      </w:r>
      <w:r>
        <w:rPr>
          <w:spacing w:val="-5"/>
        </w:rPr>
        <w:t>应对策略</w:t>
      </w:r>
      <w:r>
        <w:rPr>
          <w:spacing w:val="-5"/>
        </w:rPr>
        <w:t xml:space="preserve">      </w:t>
      </w:r>
      <w:r>
        <w:rPr>
          <w:spacing w:val="-5"/>
        </w:rPr>
        <w:t>潜在局限性</w:t>
      </w:r>
      <w:r>
        <w:rPr>
          <w:spacing w:val="-5"/>
        </w:rPr>
        <w:t xml:space="preserve">  </w:t>
      </w:r>
      <w:r>
        <w:rPr>
          <w:spacing w:val="-5"/>
        </w:rPr>
        <w:t>适用条件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spacing w:before="72" w:line="222" w:lineRule="auto"/>
        <w:rPr/>
      </w:pPr>
      <w:r>
        <w:rPr>
          <w:spacing w:val="-6"/>
        </w:rPr>
        <w:t>市场波动</w:t>
      </w:r>
      <w:r>
        <w:rPr>
          <w:spacing w:val="-6"/>
        </w:rPr>
        <w:t xml:space="preserve">  </w:t>
      </w:r>
      <w:r>
        <w:rPr>
          <w:spacing w:val="-6"/>
        </w:rPr>
        <w:t>需求疲软</w:t>
      </w:r>
      <w:r>
        <w:rPr>
          <w:spacing w:val="5"/>
        </w:rPr>
        <w:t xml:space="preserve">      </w:t>
      </w:r>
      <w:r>
        <w:rPr>
          <w:spacing w:val="-6"/>
        </w:rPr>
        <w:t>高</w:t>
      </w:r>
      <w:r>
        <w:rPr>
          <w:spacing w:val="-6"/>
        </w:rPr>
        <w:t xml:space="preserve">        </w:t>
      </w:r>
      <w:r>
        <w:rPr>
          <w:spacing w:val="-6"/>
        </w:rPr>
        <w:t>需求侧刺激</w:t>
      </w:r>
      <w:r>
        <w:rPr>
          <w:spacing w:val="34"/>
        </w:rPr>
        <w:t xml:space="preserve">   </w:t>
      </w:r>
      <w:r>
        <w:rPr>
          <w:spacing w:val="-6"/>
        </w:rPr>
        <w:t>政策时滞</w:t>
      </w:r>
      <w:r>
        <w:rPr>
          <w:spacing w:val="2"/>
        </w:rPr>
        <w:t xml:space="preserve">    </w:t>
      </w:r>
      <w:r>
        <w:rPr>
          <w:spacing w:val="-6"/>
        </w:rPr>
        <w:t>经济周期稳定</w:t>
      </w:r>
    </w:p>
    <w:p>
      <w:pPr>
        <w:spacing w:line="48" w:lineRule="exact"/>
        <w:rPr/>
      </w:pPr>
      <w:r/>
    </w:p>
    <w:tbl>
      <w:tblPr>
        <w:tblStyle w:val="TableNormal"/>
        <w:tblW w:w="783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40"/>
        <w:gridCol w:w="1520"/>
        <w:gridCol w:w="902"/>
        <w:gridCol w:w="1708"/>
        <w:gridCol w:w="1259"/>
        <w:gridCol w:w="1510"/>
      </w:tblGrid>
      <w:tr>
        <w:trPr>
          <w:trHeight w:val="600" w:hRule="atLeast"/>
        </w:trPr>
        <w:tc>
          <w:tcPr>
            <w:tcW w:w="9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before="286" w:line="222" w:lineRule="auto"/>
              <w:rPr/>
            </w:pPr>
            <w:r>
              <w:rPr>
                <w:spacing w:val="-9"/>
              </w:rPr>
              <w:t>金融风险</w:t>
            </w:r>
          </w:p>
        </w:tc>
        <w:tc>
          <w:tcPr>
            <w:tcW w:w="15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9"/>
              <w:spacing w:before="287" w:line="221" w:lineRule="auto"/>
              <w:rPr/>
            </w:pPr>
            <w:r>
              <w:rPr>
                <w:spacing w:val="-8"/>
              </w:rPr>
              <w:t>债务展期压力</w:t>
            </w:r>
          </w:p>
        </w:tc>
        <w:tc>
          <w:tcPr>
            <w:tcW w:w="90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9"/>
              <w:spacing w:before="287" w:line="223" w:lineRule="auto"/>
              <w:rPr/>
            </w:pPr>
            <w:r>
              <w:rPr>
                <w:spacing w:val="-7"/>
              </w:rPr>
              <w:t>中等</w:t>
            </w:r>
          </w:p>
        </w:tc>
        <w:tc>
          <w:tcPr>
            <w:tcW w:w="170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38"/>
              <w:spacing w:before="287" w:line="222" w:lineRule="auto"/>
              <w:rPr/>
            </w:pPr>
            <w:r>
              <w:rPr>
                <w:spacing w:val="-12"/>
              </w:rPr>
              <w:t>审慎管理</w:t>
            </w:r>
          </w:p>
        </w:tc>
        <w:tc>
          <w:tcPr>
            <w:tcW w:w="125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0"/>
              <w:spacing w:before="287" w:line="221" w:lineRule="auto"/>
              <w:rPr/>
            </w:pPr>
            <w:r>
              <w:rPr>
                <w:spacing w:val="-11"/>
              </w:rPr>
              <w:t>流动性陷阱</w:t>
            </w:r>
          </w:p>
        </w:tc>
        <w:tc>
          <w:tcPr>
            <w:tcW w:w="15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10"/>
              <w:spacing w:before="287" w:line="222" w:lineRule="auto"/>
              <w:rPr/>
            </w:pPr>
            <w:r>
              <w:rPr>
                <w:spacing w:val="1"/>
              </w:rPr>
              <w:t>白名单机制</w:t>
            </w:r>
          </w:p>
        </w:tc>
      </w:tr>
      <w:tr>
        <w:trPr>
          <w:trHeight w:val="600" w:hRule="atLeast"/>
        </w:trPr>
        <w:tc>
          <w:tcPr>
            <w:tcW w:w="9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before="286" w:line="222" w:lineRule="auto"/>
              <w:rPr/>
            </w:pPr>
            <w:r>
              <w:rPr>
                <w:spacing w:val="-9"/>
              </w:rPr>
              <w:t>环境风险</w:t>
            </w:r>
          </w:p>
        </w:tc>
        <w:tc>
          <w:tcPr>
            <w:tcW w:w="15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9"/>
              <w:spacing w:before="287" w:line="221" w:lineRule="auto"/>
              <w:rPr/>
            </w:pPr>
            <w:r>
              <w:rPr>
                <w:spacing w:val="-6"/>
              </w:rPr>
              <w:t>碳排放超标</w:t>
            </w:r>
          </w:p>
        </w:tc>
        <w:tc>
          <w:tcPr>
            <w:tcW w:w="90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9"/>
              <w:spacing w:before="287" w:line="223" w:lineRule="auto"/>
              <w:rPr/>
            </w:pPr>
            <w:r>
              <w:rPr>
                <w:spacing w:val="-7"/>
              </w:rPr>
              <w:t>中等</w:t>
            </w:r>
          </w:p>
        </w:tc>
        <w:tc>
          <w:tcPr>
            <w:tcW w:w="170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38"/>
              <w:spacing w:before="287" w:line="222" w:lineRule="auto"/>
              <w:rPr/>
            </w:pPr>
            <w:r>
              <w:rPr>
                <w:rFonts w:ascii="SimSun" w:hAnsi="SimSun" w:eastAsia="SimSun" w:cs="SimSun"/>
                <w:spacing w:val="-3"/>
              </w:rPr>
              <w:t>ESG</w:t>
            </w:r>
            <w:r>
              <w:rPr>
                <w:rFonts w:ascii="SimSun" w:hAnsi="SimSun" w:eastAsia="SimSun" w:cs="SimSun"/>
                <w:spacing w:val="-31"/>
              </w:rPr>
              <w:t xml:space="preserve"> </w:t>
            </w:r>
            <w:r>
              <w:rPr>
                <w:spacing w:val="-3"/>
              </w:rPr>
              <w:t>强制披露</w:t>
            </w:r>
          </w:p>
        </w:tc>
        <w:tc>
          <w:tcPr>
            <w:tcW w:w="125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0"/>
              <w:spacing w:before="286" w:line="222" w:lineRule="auto"/>
              <w:rPr/>
            </w:pPr>
            <w:r>
              <w:rPr>
                <w:spacing w:val="-2"/>
              </w:rPr>
              <w:t>技术瓶颈</w:t>
            </w:r>
          </w:p>
        </w:tc>
        <w:tc>
          <w:tcPr>
            <w:tcW w:w="15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1"/>
              <w:spacing w:before="287" w:line="221" w:lineRule="auto"/>
              <w:rPr/>
            </w:pPr>
            <w:r>
              <w:rPr>
                <w:spacing w:val="-10"/>
              </w:rPr>
              <w:t>双碳路径明确</w:t>
            </w:r>
          </w:p>
        </w:tc>
      </w:tr>
    </w:tbl>
    <w:p>
      <w:pPr>
        <w:pStyle w:val="BodyText"/>
        <w:spacing w:before="286" w:line="220" w:lineRule="auto"/>
        <w:rPr/>
      </w:pPr>
      <w:r>
        <w:rPr>
          <w:spacing w:val="-9"/>
        </w:rPr>
        <w:t>社会风险</w:t>
      </w:r>
      <w:r>
        <w:rPr>
          <w:spacing w:val="-9"/>
        </w:rPr>
        <w:t xml:space="preserve">  </w:t>
      </w:r>
      <w:r>
        <w:rPr>
          <w:spacing w:val="-9"/>
        </w:rPr>
        <w:t>住房不均衡</w:t>
      </w:r>
      <w:r>
        <w:rPr>
          <w:spacing w:val="11"/>
        </w:rPr>
        <w:t xml:space="preserve">    </w:t>
      </w:r>
      <w:r>
        <w:rPr>
          <w:spacing w:val="-9"/>
        </w:rPr>
        <w:t>高</w:t>
      </w:r>
      <w:r>
        <w:rPr>
          <w:spacing w:val="15"/>
        </w:rPr>
        <w:t xml:space="preserve">       </w:t>
      </w:r>
      <w:r>
        <w:rPr>
          <w:spacing w:val="-9"/>
        </w:rPr>
        <w:t>保障房供给</w:t>
      </w:r>
      <w:r>
        <w:rPr>
          <w:spacing w:val="6"/>
        </w:rPr>
        <w:t xml:space="preserve">    </w:t>
      </w:r>
      <w:r>
        <w:rPr>
          <w:spacing w:val="-9"/>
        </w:rPr>
        <w:t>财政负担</w:t>
      </w:r>
      <w:r>
        <w:rPr/>
        <w:t xml:space="preserve">    </w:t>
      </w:r>
      <w:r>
        <w:rPr>
          <w:spacing w:val="-9"/>
        </w:rPr>
        <w:t>共同富裕目标</w:t>
      </w:r>
    </w:p>
    <w:p>
      <w:pPr>
        <w:spacing w:line="454" w:lineRule="auto"/>
        <w:rPr>
          <w:rFonts w:ascii="Arial"/>
          <w:sz w:val="21"/>
        </w:rPr>
      </w:pPr>
      <w:r/>
    </w:p>
    <w:p>
      <w:pPr>
        <w:pStyle w:val="BodyText"/>
        <w:spacing w:before="73" w:line="213" w:lineRule="auto"/>
        <w:rPr/>
      </w:pPr>
      <w:r>
        <w:rPr>
          <w:spacing w:val="18"/>
        </w:rPr>
        <w:t>该矩阵揭示风险可控，但需前瞻应对。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2" w:line="222" w:lineRule="auto"/>
        <w:rPr/>
      </w:pPr>
      <w:r>
        <w:rPr>
          <w:spacing w:val="33"/>
        </w:rPr>
        <w:t>(四)辩证评估</w:t>
      </w:r>
    </w:p>
    <w:p>
      <w:pPr>
        <w:pStyle w:val="BodyText"/>
        <w:ind w:right="23"/>
        <w:spacing w:before="255" w:line="371" w:lineRule="auto"/>
        <w:rPr/>
      </w:pPr>
      <w:r>
        <w:rPr>
          <w:spacing w:val="20"/>
        </w:rPr>
        <w:t>一方面，这些机制可能加速转型；另一方面，其挑战在于执行效能与区域差异，适用条件需试点</w:t>
      </w:r>
      <w:r>
        <w:rPr>
          <w:spacing w:val="10"/>
        </w:rPr>
        <w:t xml:space="preserve"> </w:t>
      </w:r>
      <w:r>
        <w:rPr>
          <w:spacing w:val="9"/>
        </w:rPr>
        <w:t>先行。</w:t>
      </w:r>
    </w:p>
    <w:p>
      <w:pPr>
        <w:pStyle w:val="BodyText"/>
        <w:ind w:left="3"/>
        <w:spacing w:before="181" w:line="219" w:lineRule="auto"/>
        <w:outlineLvl w:val="4"/>
        <w:rPr/>
      </w:pPr>
      <w:r>
        <w:rPr>
          <w:b/>
          <w:bCs/>
          <w:spacing w:val="25"/>
        </w:rPr>
        <w:t>四</w:t>
      </w:r>
      <w:r>
        <w:rPr>
          <w:spacing w:val="-18"/>
        </w:rPr>
        <w:t xml:space="preserve"> </w:t>
      </w:r>
      <w:r>
        <w:rPr>
          <w:b/>
          <w:bCs/>
          <w:spacing w:val="25"/>
        </w:rPr>
        <w:t>、十年路线图展望(2025-</w:t>
      </w:r>
      <w:r>
        <w:rPr>
          <w:spacing w:val="-63"/>
        </w:rPr>
        <w:t xml:space="preserve"> </w:t>
      </w:r>
      <w:r>
        <w:rPr>
          <w:b/>
          <w:bCs/>
          <w:spacing w:val="25"/>
        </w:rPr>
        <w:t>2035)</w:t>
      </w:r>
    </w:p>
    <w:p>
      <w:pPr>
        <w:pStyle w:val="BodyText"/>
        <w:spacing w:before="245" w:line="361" w:lineRule="auto"/>
        <w:rPr/>
      </w:pPr>
      <w:r>
        <w:rPr>
          <w:spacing w:val="27"/>
        </w:rPr>
        <w:t>路线图分阶段推进，通常而言，2025-2030年重点止跌回稳与存量盘活，203</w:t>
      </w:r>
      <w:r>
        <w:rPr>
          <w:spacing w:val="26"/>
        </w:rPr>
        <w:t>0-2035年实现高</w:t>
      </w:r>
      <w:r>
        <w:rPr/>
        <w:t xml:space="preserve"> </w:t>
      </w:r>
      <w:r>
        <w:rPr>
          <w:spacing w:val="14"/>
        </w:rPr>
        <w:t>质量发展。</w:t>
      </w:r>
    </w:p>
    <w:p>
      <w:pPr>
        <w:pStyle w:val="BodyText"/>
        <w:spacing w:before="238" w:line="222" w:lineRule="auto"/>
        <w:rPr/>
      </w:pPr>
      <w:r>
        <w:rPr>
          <w:rFonts w:ascii="SimSun" w:hAnsi="SimSun" w:eastAsia="SimSun" w:cs="SimSun"/>
          <w:spacing w:val="33"/>
        </w:rPr>
        <w:t>1.</w:t>
      </w:r>
      <w:r>
        <w:rPr>
          <w:spacing w:val="33"/>
        </w:rPr>
        <w:t>阶段性目标对比表(表6:2025-20</w:t>
      </w:r>
      <w:r>
        <w:rPr>
          <w:spacing w:val="32"/>
        </w:rPr>
        <w:t>35年关键里程碑)</w:t>
      </w:r>
    </w:p>
    <w:p>
      <w:pPr>
        <w:spacing w:line="222" w:lineRule="auto"/>
        <w:sectPr>
          <w:pgSz w:w="12240" w:h="15840"/>
          <w:pgMar w:top="1183" w:right="1155" w:bottom="0" w:left="970" w:header="0" w:footer="0" w:gutter="0"/>
        </w:sectPr>
        <w:rPr/>
      </w:pPr>
    </w:p>
    <w:tbl>
      <w:tblPr>
        <w:tblStyle w:val="TableNormal"/>
        <w:tblW w:w="1008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4"/>
        <w:gridCol w:w="1000"/>
        <w:gridCol w:w="1172"/>
        <w:gridCol w:w="2045"/>
        <w:gridCol w:w="1443"/>
        <w:gridCol w:w="944"/>
        <w:gridCol w:w="706"/>
        <w:gridCol w:w="795"/>
        <w:gridCol w:w="1230"/>
      </w:tblGrid>
      <w:tr>
        <w:trPr>
          <w:trHeight w:val="296" w:hRule="atLeast"/>
        </w:trPr>
        <w:tc>
          <w:tcPr>
            <w:tcW w:w="7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4" w:type="dxa"/>
            <w:vAlign w:val="top"/>
          </w:tcPr>
          <w:p>
            <w:pPr>
              <w:pStyle w:val="TableText"/>
              <w:ind w:left="199"/>
              <w:spacing w:before="10" w:line="223" w:lineRule="auto"/>
              <w:rPr/>
            </w:pPr>
            <w:r>
              <w:rPr>
                <w:b/>
                <w:bCs/>
                <w:spacing w:val="-5"/>
              </w:rPr>
              <w:t>核心</w:t>
            </w:r>
          </w:p>
        </w:tc>
        <w:tc>
          <w:tcPr>
            <w:tcW w:w="706" w:type="dxa"/>
            <w:vAlign w:val="top"/>
          </w:tcPr>
          <w:p>
            <w:pPr>
              <w:pStyle w:val="TableText"/>
              <w:ind w:left="95"/>
              <w:spacing w:line="223" w:lineRule="auto"/>
              <w:rPr/>
            </w:pPr>
            <w:r>
              <w:rPr>
                <w:b/>
                <w:bCs/>
                <w:spacing w:val="-7"/>
              </w:rPr>
              <w:t>关键</w:t>
            </w:r>
          </w:p>
        </w:tc>
        <w:tc>
          <w:tcPr>
            <w:tcW w:w="795" w:type="dxa"/>
            <w:vAlign w:val="top"/>
          </w:tcPr>
          <w:p>
            <w:pPr>
              <w:pStyle w:val="TableText"/>
              <w:ind w:left="179"/>
              <w:spacing w:line="226" w:lineRule="auto"/>
              <w:rPr/>
            </w:pPr>
            <w:r>
              <w:rPr>
                <w:b/>
                <w:bCs/>
                <w:spacing w:val="-5"/>
              </w:rPr>
              <w:t>促进</w:t>
            </w:r>
          </w:p>
        </w:tc>
        <w:tc>
          <w:tcPr>
            <w:tcW w:w="1230" w:type="dxa"/>
            <w:vAlign w:val="top"/>
          </w:tcPr>
          <w:p>
            <w:pPr>
              <w:pStyle w:val="TableText"/>
              <w:ind w:left="184"/>
              <w:spacing w:line="222" w:lineRule="auto"/>
              <w:rPr/>
            </w:pPr>
            <w:r>
              <w:rPr>
                <w:b/>
                <w:bCs/>
                <w:spacing w:val="-6"/>
              </w:rPr>
              <w:t>战略</w:t>
            </w:r>
          </w:p>
        </w:tc>
      </w:tr>
      <w:tr>
        <w:trPr>
          <w:trHeight w:val="481" w:hRule="atLeast"/>
        </w:trPr>
        <w:tc>
          <w:tcPr>
            <w:tcW w:w="7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0" w:type="dxa"/>
            <w:vAlign w:val="top"/>
          </w:tcPr>
          <w:p>
            <w:pPr>
              <w:pStyle w:val="TableText"/>
              <w:ind w:left="159"/>
              <w:spacing w:before="64" w:line="222" w:lineRule="auto"/>
              <w:rPr/>
            </w:pPr>
            <w:r>
              <w:rPr>
                <w:b/>
                <w:bCs/>
                <w:spacing w:val="-7"/>
              </w:rPr>
              <w:t>阶段</w:t>
            </w:r>
          </w:p>
        </w:tc>
        <w:tc>
          <w:tcPr>
            <w:tcW w:w="11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5" w:type="dxa"/>
            <w:vAlign w:val="top"/>
          </w:tcPr>
          <w:p>
            <w:pPr>
              <w:pStyle w:val="TableText"/>
              <w:ind w:left="187"/>
              <w:spacing w:before="74" w:line="223" w:lineRule="auto"/>
              <w:rPr/>
            </w:pPr>
            <w:r>
              <w:rPr>
                <w:b/>
                <w:bCs/>
                <w:spacing w:val="-6"/>
              </w:rPr>
              <w:t>时间节点</w:t>
            </w:r>
          </w:p>
        </w:tc>
        <w:tc>
          <w:tcPr>
            <w:tcW w:w="14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4" w:type="dxa"/>
            <w:vAlign w:val="top"/>
          </w:tcPr>
          <w:p>
            <w:pPr>
              <w:pStyle w:val="TableText"/>
              <w:ind w:left="199"/>
              <w:spacing w:before="67" w:line="224" w:lineRule="auto"/>
              <w:rPr/>
            </w:pPr>
            <w:r>
              <w:rPr>
                <w:b/>
                <w:bCs/>
                <w:spacing w:val="-12"/>
              </w:rPr>
              <w:t>目标</w:t>
            </w:r>
          </w:p>
        </w:tc>
        <w:tc>
          <w:tcPr>
            <w:tcW w:w="706" w:type="dxa"/>
            <w:vAlign w:val="top"/>
          </w:tcPr>
          <w:p>
            <w:pPr>
              <w:pStyle w:val="TableText"/>
              <w:ind w:left="95"/>
              <w:spacing w:before="64" w:line="223" w:lineRule="auto"/>
              <w:rPr/>
            </w:pPr>
            <w:r>
              <w:rPr>
                <w:b/>
                <w:bCs/>
                <w:spacing w:val="-5"/>
              </w:rPr>
              <w:t>指标</w:t>
            </w:r>
          </w:p>
        </w:tc>
        <w:tc>
          <w:tcPr>
            <w:tcW w:w="795" w:type="dxa"/>
            <w:vAlign w:val="top"/>
          </w:tcPr>
          <w:p>
            <w:pPr>
              <w:pStyle w:val="TableText"/>
              <w:ind w:left="179"/>
              <w:spacing w:before="77" w:line="224" w:lineRule="auto"/>
              <w:rPr/>
            </w:pPr>
            <w:r>
              <w:rPr>
                <w:b/>
                <w:bCs/>
                <w:spacing w:val="-5"/>
              </w:rPr>
              <w:t>机制</w:t>
            </w:r>
          </w:p>
        </w:tc>
        <w:tc>
          <w:tcPr>
            <w:tcW w:w="1230" w:type="dxa"/>
            <w:vAlign w:val="top"/>
          </w:tcPr>
          <w:p>
            <w:pPr>
              <w:pStyle w:val="TableText"/>
              <w:ind w:left="184"/>
              <w:spacing w:before="62" w:line="222" w:lineRule="auto"/>
              <w:rPr/>
            </w:pPr>
            <w:r>
              <w:rPr>
                <w:b/>
                <w:bCs/>
                <w:spacing w:val="-7"/>
              </w:rPr>
              <w:t>关联</w:t>
            </w:r>
          </w:p>
        </w:tc>
      </w:tr>
      <w:tr>
        <w:trPr>
          <w:trHeight w:val="854" w:hRule="atLeast"/>
        </w:trPr>
        <w:tc>
          <w:tcPr>
            <w:tcW w:w="75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right="125"/>
              <w:spacing w:before="188" w:line="275" w:lineRule="auto"/>
              <w:rPr/>
            </w:pPr>
            <w:r>
              <w:rPr>
                <w:spacing w:val="-11"/>
              </w:rPr>
              <w:t>短期恢</w:t>
            </w:r>
            <w:r>
              <w:rPr/>
              <w:t xml:space="preserve"> </w:t>
            </w:r>
            <w:r>
              <w:rPr/>
              <w:t>复</w:t>
            </w:r>
          </w:p>
        </w:tc>
        <w:tc>
          <w:tcPr>
            <w:tcW w:w="1000" w:type="dxa"/>
            <w:vAlign w:val="top"/>
            <w:tcBorders>
              <w:bottom w:val="single" w:color="000000" w:sz="2" w:space="0"/>
            </w:tcBorders>
          </w:tcPr>
          <w:p>
            <w:pPr>
              <w:ind w:left="155"/>
              <w:spacing w:before="234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2025-</w:t>
            </w:r>
          </w:p>
          <w:p>
            <w:pPr>
              <w:ind w:left="155"/>
              <w:spacing w:before="203" w:line="18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2027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35"/>
              <w:spacing w:before="197" w:line="224" w:lineRule="auto"/>
              <w:rPr/>
            </w:pPr>
            <w:r>
              <w:rPr>
                <w:spacing w:val="-3"/>
              </w:rPr>
              <w:t>市场止</w:t>
            </w:r>
          </w:p>
          <w:p>
            <w:pPr>
              <w:pStyle w:val="TableText"/>
              <w:ind w:left="335"/>
              <w:spacing w:before="92" w:line="222" w:lineRule="auto"/>
              <w:rPr/>
            </w:pPr>
            <w:r>
              <w:rPr>
                <w:spacing w:val="-2"/>
              </w:rPr>
              <w:t>跌回稳</w:t>
            </w:r>
          </w:p>
        </w:tc>
        <w:tc>
          <w:tcPr>
            <w:tcW w:w="204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3" w:right="179"/>
              <w:spacing w:before="195" w:line="272" w:lineRule="auto"/>
              <w:rPr/>
            </w:pPr>
            <w:r>
              <w:rPr>
                <w:spacing w:val="-10"/>
              </w:rPr>
              <w:t>投资下降趋缓、销</w:t>
            </w:r>
            <w:r>
              <w:rPr/>
              <w:t xml:space="preserve"> </w:t>
            </w:r>
            <w:r>
              <w:rPr>
                <w:spacing w:val="-3"/>
              </w:rPr>
              <w:t>售回暖</w:t>
            </w:r>
          </w:p>
        </w:tc>
        <w:tc>
          <w:tcPr>
            <w:tcW w:w="144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8" w:right="196"/>
              <w:spacing w:before="195" w:line="272" w:lineRule="auto"/>
              <w:rPr/>
            </w:pPr>
            <w:r>
              <w:rPr>
                <w:spacing w:val="-7"/>
              </w:rPr>
              <w:t>白名单、金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融支持</w:t>
            </w:r>
          </w:p>
        </w:tc>
        <w:tc>
          <w:tcPr>
            <w:tcW w:w="94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5" w:right="95"/>
              <w:spacing w:before="183" w:line="277" w:lineRule="auto"/>
              <w:rPr/>
            </w:pPr>
            <w:r>
              <w:rPr>
                <w:spacing w:val="-3"/>
              </w:rPr>
              <w:t>新型城</w:t>
            </w:r>
            <w:r>
              <w:rPr/>
              <w:t xml:space="preserve"> </w:t>
            </w:r>
            <w:r>
              <w:rPr>
                <w:spacing w:val="-2"/>
              </w:rPr>
              <w:t>镇化</w:t>
            </w:r>
          </w:p>
        </w:tc>
        <w:tc>
          <w:tcPr>
            <w:tcW w:w="706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5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0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93" w:hRule="atLeast"/>
        </w:trPr>
        <w:tc>
          <w:tcPr>
            <w:tcW w:w="75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before="296" w:line="222" w:lineRule="auto"/>
              <w:rPr/>
            </w:pPr>
            <w:r>
              <w:rPr>
                <w:spacing w:val="-13"/>
              </w:rPr>
              <w:t>中期转</w:t>
            </w:r>
          </w:p>
        </w:tc>
        <w:tc>
          <w:tcPr>
            <w:tcW w:w="1000" w:type="dxa"/>
            <w:vAlign w:val="top"/>
            <w:tcBorders>
              <w:top w:val="single" w:color="000000" w:sz="2" w:space="0"/>
            </w:tcBorders>
          </w:tcPr>
          <w:p>
            <w:pPr>
              <w:ind w:left="125"/>
              <w:spacing w:before="296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2028-</w:t>
            </w:r>
          </w:p>
        </w:tc>
        <w:tc>
          <w:tcPr>
            <w:tcW w:w="117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35"/>
              <w:spacing w:before="306" w:line="222" w:lineRule="auto"/>
              <w:rPr/>
            </w:pPr>
            <w:r>
              <w:rPr>
                <w:spacing w:val="-3"/>
              </w:rPr>
              <w:t>存量时</w:t>
            </w:r>
          </w:p>
        </w:tc>
        <w:tc>
          <w:tcPr>
            <w:tcW w:w="204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3"/>
              <w:spacing w:before="305" w:line="221" w:lineRule="auto"/>
              <w:rPr/>
            </w:pPr>
            <w:r>
              <w:rPr>
                <w:spacing w:val="-11"/>
              </w:rPr>
              <w:t>城市更新规模扩</w:t>
            </w:r>
          </w:p>
        </w:tc>
        <w:tc>
          <w:tcPr>
            <w:tcW w:w="144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8"/>
              <w:spacing w:before="305" w:line="221" w:lineRule="auto"/>
              <w:rPr/>
            </w:pPr>
            <w:r>
              <w:rPr>
                <w:spacing w:val="-10"/>
              </w:rPr>
              <w:t>绿色金融、</w:t>
            </w:r>
          </w:p>
        </w:tc>
        <w:tc>
          <w:tcPr>
            <w:tcW w:w="3675" w:type="dxa"/>
            <w:vAlign w:val="top"/>
            <w:gridSpan w:val="4"/>
            <w:tcBorders>
              <w:top w:val="single" w:color="000000" w:sz="2" w:space="0"/>
            </w:tcBorders>
          </w:tcPr>
          <w:p>
            <w:pPr>
              <w:pStyle w:val="TableText"/>
              <w:ind w:left="195"/>
              <w:spacing w:before="305" w:line="221" w:lineRule="auto"/>
              <w:rPr/>
            </w:pPr>
            <w:r>
              <w:rPr>
                <w:spacing w:val="-3"/>
              </w:rPr>
              <w:t>双碳战</w:t>
            </w:r>
          </w:p>
        </w:tc>
      </w:tr>
      <w:tr>
        <w:trPr>
          <w:trHeight w:val="380" w:hRule="atLeast"/>
        </w:trPr>
        <w:tc>
          <w:tcPr>
            <w:tcW w:w="75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before="79" w:line="227" w:lineRule="auto"/>
              <w:rPr/>
            </w:pPr>
            <w:r>
              <w:rPr/>
              <w:t>型</w:t>
            </w:r>
          </w:p>
        </w:tc>
        <w:tc>
          <w:tcPr>
            <w:tcW w:w="1000" w:type="dxa"/>
            <w:vAlign w:val="top"/>
            <w:tcBorders>
              <w:bottom w:val="single" w:color="000000" w:sz="2" w:space="0"/>
            </w:tcBorders>
          </w:tcPr>
          <w:p>
            <w:pPr>
              <w:ind w:left="155"/>
              <w:spacing w:before="153" w:line="18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2030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35"/>
              <w:spacing w:before="74" w:line="222" w:lineRule="auto"/>
              <w:rPr/>
            </w:pPr>
            <w:r>
              <w:rPr>
                <w:spacing w:val="-2"/>
              </w:rPr>
              <w:t>代深化</w:t>
            </w:r>
          </w:p>
        </w:tc>
        <w:tc>
          <w:tcPr>
            <w:tcW w:w="204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3"/>
              <w:spacing w:before="72" w:line="221" w:lineRule="auto"/>
              <w:rPr/>
            </w:pPr>
            <w:r>
              <w:rPr>
                <w:spacing w:val="-2"/>
              </w:rPr>
              <w:t>大、</w:t>
            </w:r>
            <w:r>
              <w:rPr>
                <w:rFonts w:ascii="SimSun" w:hAnsi="SimSun" w:eastAsia="SimSun" w:cs="SimSun"/>
                <w:spacing w:val="-2"/>
              </w:rPr>
              <w:t>REITs</w:t>
            </w:r>
            <w:r>
              <w:rPr>
                <w:spacing w:val="-2"/>
              </w:rPr>
              <w:t>成熟</w:t>
            </w:r>
          </w:p>
        </w:tc>
        <w:tc>
          <w:tcPr>
            <w:tcW w:w="144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8"/>
              <w:spacing w:before="73" w:line="222" w:lineRule="auto"/>
              <w:rPr/>
            </w:pPr>
            <w:r>
              <w:rPr>
                <w:spacing w:val="-3"/>
              </w:rPr>
              <w:t>租购并举</w:t>
            </w:r>
          </w:p>
        </w:tc>
        <w:tc>
          <w:tcPr>
            <w:tcW w:w="3675" w:type="dxa"/>
            <w:vAlign w:val="top"/>
            <w:gridSpan w:val="4"/>
            <w:tcBorders>
              <w:bottom w:val="single" w:color="000000" w:sz="2" w:space="0"/>
            </w:tcBorders>
          </w:tcPr>
          <w:p>
            <w:pPr>
              <w:pStyle w:val="TableText"/>
              <w:ind w:left="195"/>
              <w:spacing w:before="74" w:line="222" w:lineRule="auto"/>
              <w:rPr/>
            </w:pPr>
            <w:r>
              <w:rPr/>
              <w:t>略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9" w:lineRule="auto"/>
        <w:sectPr>
          <w:pgSz w:w="12240" w:h="15840"/>
          <w:pgMar w:top="1105" w:right="1057" w:bottom="0" w:left="980" w:header="0" w:footer="0" w:gutter="0"/>
          <w:cols w:equalWidth="0" w:num="1">
            <w:col w:w="1020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right="541"/>
        <w:spacing w:before="44" w:line="31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pacing w:val="-4"/>
        </w:rPr>
        <w:t>长期可</w:t>
      </w:r>
      <w:r>
        <w:rPr>
          <w:spacing w:val="24"/>
        </w:rPr>
        <w:t xml:space="preserve">  </w:t>
      </w:r>
      <w:r>
        <w:rPr>
          <w:rFonts w:ascii="SimSun" w:hAnsi="SimSun" w:eastAsia="SimSun" w:cs="SimSun"/>
          <w:spacing w:val="-4"/>
        </w:rPr>
        <w:t>2031-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pacing w:val="-2"/>
        </w:rPr>
        <w:t>持续</w:t>
      </w:r>
      <w:r>
        <w:rPr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2035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74"/>
        <w:spacing w:before="55" w:line="293" w:lineRule="auto"/>
        <w:rPr/>
      </w:pPr>
      <w:r>
        <w:rPr>
          <w:spacing w:val="-5"/>
        </w:rPr>
        <w:t>高质量</w:t>
      </w:r>
      <w:r>
        <w:rPr/>
        <w:t xml:space="preserve"> </w:t>
      </w:r>
      <w:r>
        <w:rPr>
          <w:spacing w:val="-3"/>
        </w:rPr>
        <w:t>发展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3"/>
        <w:spacing w:before="51" w:line="312" w:lineRule="auto"/>
        <w:rPr/>
      </w:pPr>
      <w:r>
        <w:rPr>
          <w:rFonts w:ascii="Times New Roman" w:hAnsi="Times New Roman" w:eastAsia="Times New Roman" w:cs="Times New Roman"/>
          <w:spacing w:val="-7"/>
        </w:rPr>
        <w:t>ESG</w:t>
      </w:r>
      <w:r>
        <w:rPr>
          <w:spacing w:val="-7"/>
        </w:rPr>
        <w:t>覆盖率高、碳</w:t>
      </w:r>
      <w:r>
        <w:rPr>
          <w:spacing w:val="2"/>
        </w:rPr>
        <w:t xml:space="preserve"> </w:t>
      </w:r>
      <w:r>
        <w:rPr>
          <w:spacing w:val="-3"/>
        </w:rPr>
        <w:t>足迹降低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19"/>
        <w:spacing w:before="54" w:line="311" w:lineRule="auto"/>
        <w:rPr/>
      </w:pPr>
      <w:r>
        <w:rPr>
          <w:spacing w:val="-13"/>
        </w:rPr>
        <w:t>数字中国、</w:t>
      </w:r>
      <w:r>
        <w:rPr>
          <w:spacing w:val="3"/>
        </w:rPr>
        <w:t xml:space="preserve"> </w:t>
      </w:r>
      <w:r>
        <w:rPr>
          <w:spacing w:val="-6"/>
        </w:rPr>
        <w:t>共同富裕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954"/>
        <w:spacing w:before="54" w:line="304" w:lineRule="auto"/>
        <w:rPr/>
      </w:pPr>
      <w:r>
        <w:rPr>
          <w:spacing w:val="-8"/>
        </w:rPr>
        <w:t>国家安</w:t>
      </w:r>
      <w:r>
        <w:rPr>
          <w:spacing w:val="1"/>
        </w:rPr>
        <w:t xml:space="preserve"> </w:t>
      </w:r>
      <w:r>
        <w:rPr>
          <w:spacing w:val="-3"/>
        </w:rPr>
        <w:t>全观</w:t>
      </w:r>
    </w:p>
    <w:p>
      <w:pPr>
        <w:spacing w:line="304" w:lineRule="auto"/>
        <w:sectPr>
          <w:type w:val="continuous"/>
          <w:pgSz w:w="12240" w:h="15840"/>
          <w:pgMar w:top="1105" w:right="1057" w:bottom="0" w:left="980" w:header="0" w:footer="0" w:gutter="0"/>
          <w:cols w:equalWidth="0" w:num="5">
            <w:col w:w="1990" w:space="100"/>
            <w:col w:w="920" w:space="100"/>
            <w:col w:w="1941" w:space="100"/>
            <w:col w:w="1360" w:space="100"/>
            <w:col w:w="3593" w:space="0"/>
          </w:cols>
        </w:sectPr>
        <w:rPr/>
      </w:pP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spacing w:before="72" w:line="213" w:lineRule="auto"/>
        <w:rPr/>
      </w:pPr>
      <w:r>
        <w:rPr>
          <w:spacing w:val="18"/>
        </w:rPr>
        <w:t>该表提供清晰路径，但潜在局限在于外部不确定性。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2" w:line="222" w:lineRule="auto"/>
        <w:outlineLvl w:val="4"/>
        <w:rPr/>
      </w:pPr>
      <w:r>
        <w:rPr>
          <w:b/>
          <w:bCs/>
          <w:spacing w:val="10"/>
        </w:rPr>
        <w:t>五</w:t>
      </w:r>
      <w:r>
        <w:rPr>
          <w:spacing w:val="-49"/>
        </w:rPr>
        <w:t xml:space="preserve"> </w:t>
      </w:r>
      <w:r>
        <w:rPr>
          <w:b/>
          <w:bCs/>
          <w:spacing w:val="10"/>
        </w:rPr>
        <w:t>、结论与战略建议</w:t>
      </w:r>
    </w:p>
    <w:p>
      <w:pPr>
        <w:pStyle w:val="BodyText"/>
        <w:spacing w:before="266" w:line="343" w:lineRule="auto"/>
        <w:rPr/>
      </w:pPr>
      <w:r>
        <w:rPr>
          <w:spacing w:val="20"/>
        </w:rPr>
        <w:t>中国房地产行业可持续发展十年路线图，不仅是行业转型路径，更</w:t>
      </w:r>
      <w:r>
        <w:rPr>
          <w:spacing w:val="19"/>
        </w:rPr>
        <w:t>是服务双碳战略、新型城镇化</w:t>
      </w:r>
      <w:r>
        <w:rPr/>
        <w:t xml:space="preserve">  </w:t>
      </w:r>
      <w:r>
        <w:rPr>
          <w:spacing w:val="20"/>
        </w:rPr>
        <w:t>与共同富裕的国家战略体现。通常而言，在国家安全观框架下，推动房地产金融审慎管理与绿色</w:t>
      </w:r>
      <w:r>
        <w:rPr>
          <w:spacing w:val="7"/>
        </w:rPr>
        <w:t xml:space="preserve">  </w:t>
      </w:r>
      <w:r>
        <w:rPr>
          <w:spacing w:val="22"/>
        </w:rPr>
        <w:t>转型，可能助力构建人类命运共同体下的全球可持续范式。建议考虑：1)完善政策工具箱，扩大</w:t>
      </w:r>
      <w:r>
        <w:rPr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>REITs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26"/>
        </w:rPr>
        <w:t>与绿色金融规模；2)强化多元协同，鼓励城市有机更新；3)注重风险防控，分阶段推</w:t>
      </w:r>
    </w:p>
    <w:p>
      <w:pPr>
        <w:pStyle w:val="BodyText"/>
        <w:ind w:right="110"/>
        <w:spacing w:before="7" w:line="354" w:lineRule="auto"/>
        <w:rPr/>
      </w:pPr>
      <w:r>
        <w:rPr>
          <w:spacing w:val="16"/>
        </w:rPr>
        <w:t>进。这些措施预计将驱动行业内生动力释放，但需审慎评估实施</w:t>
      </w:r>
      <w:r>
        <w:rPr>
          <w:spacing w:val="15"/>
        </w:rPr>
        <w:t>挑战，</w:t>
      </w:r>
      <w:r>
        <w:rPr>
          <w:spacing w:val="82"/>
        </w:rPr>
        <w:t xml:space="preserve"> </w:t>
      </w:r>
      <w:r>
        <w:rPr>
          <w:spacing w:val="15"/>
        </w:rPr>
        <w:t>一种可能的路径是试点先</w:t>
      </w:r>
      <w:r>
        <w:rPr/>
        <w:t xml:space="preserve"> </w:t>
      </w:r>
      <w:r>
        <w:rPr>
          <w:spacing w:val="12"/>
        </w:rPr>
        <w:t>行与动态调整。</w:t>
      </w:r>
    </w:p>
    <w:p>
      <w:pPr>
        <w:pStyle w:val="BodyText"/>
        <w:ind w:left="3"/>
        <w:spacing w:before="234" w:line="223" w:lineRule="auto"/>
        <w:rPr/>
      </w:pPr>
      <w:r>
        <w:rPr>
          <w:b/>
          <w:bCs/>
          <w:spacing w:val="21"/>
        </w:rPr>
        <w:t>关键引用</w:t>
      </w:r>
    </w:p>
    <w:p>
      <w:pPr>
        <w:pStyle w:val="BodyText"/>
        <w:ind w:left="369"/>
        <w:spacing w:before="244" w:line="220" w:lineRule="auto"/>
        <w:rPr/>
      </w:pPr>
      <w:r>
        <w:rPr>
          <w:spacing w:val="16"/>
        </w:rPr>
        <w:t>·</w:t>
      </w:r>
      <w:r>
        <w:rPr>
          <w:spacing w:val="-49"/>
        </w:rPr>
        <w:t xml:space="preserve"> </w:t>
      </w:r>
      <w:r>
        <w:rPr>
          <w:spacing w:val="16"/>
        </w:rPr>
        <w:t>国家统计局2025年房地产市场数据报告</w:t>
      </w:r>
    </w:p>
    <w:p>
      <w:pPr>
        <w:pStyle w:val="BodyText"/>
        <w:ind w:left="369"/>
        <w:spacing w:before="278" w:line="220" w:lineRule="auto"/>
        <w:rPr/>
      </w:pPr>
      <w:r>
        <w:rPr>
          <w:spacing w:val="12"/>
        </w:rPr>
        <w:t>·</w:t>
      </w:r>
      <w:r>
        <w:rPr>
          <w:spacing w:val="-78"/>
        </w:rPr>
        <w:t xml:space="preserve"> </w:t>
      </w:r>
      <w:r>
        <w:rPr>
          <w:spacing w:val="12"/>
        </w:rPr>
        <w:t>住房和城乡建设部城市更新行动意见</w:t>
      </w:r>
    </w:p>
    <w:p>
      <w:pPr>
        <w:pStyle w:val="BodyText"/>
        <w:ind w:left="369"/>
        <w:spacing w:before="288" w:line="220" w:lineRule="auto"/>
        <w:rPr/>
      </w:pPr>
      <w:r>
        <w:rPr>
          <w:spacing w:val="17"/>
        </w:rPr>
        <w:t>·</w:t>
      </w:r>
      <w:r>
        <w:rPr>
          <w:spacing w:val="-56"/>
        </w:rPr>
        <w:t xml:space="preserve"> </w:t>
      </w:r>
      <w:r>
        <w:rPr>
          <w:spacing w:val="17"/>
        </w:rPr>
        <w:t>仲量联行2025年中国房地产市场展望报告</w:t>
      </w:r>
    </w:p>
    <w:p>
      <w:pPr>
        <w:pStyle w:val="BodyText"/>
        <w:ind w:left="369"/>
        <w:spacing w:before="278" w:line="220" w:lineRule="auto"/>
        <w:rPr/>
      </w:pPr>
      <w:r>
        <w:rPr>
          <w:spacing w:val="12"/>
        </w:rPr>
        <w:t>·</w:t>
      </w:r>
      <w:r>
        <w:rPr>
          <w:spacing w:val="-65"/>
        </w:rPr>
        <w:t xml:space="preserve"> </w:t>
      </w:r>
      <w:r>
        <w:rPr>
          <w:spacing w:val="12"/>
        </w:rPr>
        <w:t>麦肯锡全球研究所中国房地产转型报告</w:t>
      </w:r>
    </w:p>
    <w:p>
      <w:pPr>
        <w:pStyle w:val="BodyText"/>
        <w:ind w:left="369"/>
        <w:spacing w:before="278" w:line="220" w:lineRule="auto"/>
        <w:rPr/>
      </w:pPr>
      <w:r>
        <w:rPr>
          <w:spacing w:val="11"/>
        </w:rPr>
        <w:t>·</w:t>
      </w:r>
      <w:r>
        <w:rPr>
          <w:spacing w:val="-47"/>
        </w:rPr>
        <w:t xml:space="preserve"> </w:t>
      </w:r>
      <w:r>
        <w:rPr>
          <w:spacing w:val="11"/>
        </w:rPr>
        <w:t>中国人民银行房地产融资协调机制报告</w:t>
      </w:r>
    </w:p>
    <w:p>
      <w:pPr>
        <w:pStyle w:val="BodyText"/>
        <w:ind w:left="369"/>
        <w:spacing w:before="259" w:line="187" w:lineRule="auto"/>
        <w:rPr/>
      </w:pPr>
      <w:r>
        <w:rPr>
          <w:spacing w:val="2"/>
        </w:rPr>
        <w:t>·</w:t>
      </w:r>
      <w:r>
        <w:rPr>
          <w:spacing w:val="-75"/>
        </w:rPr>
        <w:t xml:space="preserve"> </w:t>
      </w:r>
      <w:r>
        <w:rPr>
          <w:spacing w:val="2"/>
        </w:rPr>
        <w:t>国家发展和改革委员会“十四五”规划相关文件</w:t>
      </w:r>
    </w:p>
    <w:sectPr>
      <w:type w:val="continuous"/>
      <w:pgSz w:w="12240" w:h="15840"/>
      <w:pgMar w:top="1105" w:right="1057" w:bottom="0" w:left="980" w:header="0" w:footer="0" w:gutter="0"/>
      <w:cols w:equalWidth="0" w:num="1">
        <w:col w:w="1020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2"/>
      <w:szCs w:val="2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2026-03-15T23:57:40Z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2026-03-15T23:57:41</vt:filetime>
  </property>
  <property fmtid="{D5CDD505-2E9C-101B-9397-08002B2CF9AE}" pid="4" name="UsrData">
    <vt:lpwstr>69b6d6f29aafeb0020194f0bwl</vt:lpwstr>
  </property>
</Properties>
</file>