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
        <w:spacing w:before="46" w:line="220" w:lineRule="auto"/>
        <w:rPr>
          <w:rFonts w:ascii="SimHei" w:hAnsi="SimHei" w:eastAsia="SimHei" w:cs="SimHei"/>
          <w:sz w:val="23"/>
          <w:szCs w:val="23"/>
        </w:rPr>
      </w:pPr>
      <w:r>
        <w:rPr>
          <w:rFonts w:ascii="SimHei" w:hAnsi="SimHei" w:eastAsia="SimHei" w:cs="SimHei"/>
          <w:sz w:val="23"/>
          <w:szCs w:val="23"/>
          <w:b/>
          <w:bCs/>
          <w:spacing w:val="8"/>
        </w:rPr>
        <w:t>中国房地产行业可持续发展的动力与未来10年国家</w:t>
      </w:r>
      <w:r>
        <w:rPr>
          <w:rFonts w:ascii="SimHei" w:hAnsi="SimHei" w:eastAsia="SimHei" w:cs="SimHei"/>
          <w:sz w:val="23"/>
          <w:szCs w:val="23"/>
          <w:b/>
          <w:bCs/>
          <w:spacing w:val="7"/>
        </w:rPr>
        <w:t>政策导向分析报告</w:t>
      </w:r>
    </w:p>
    <w:p>
      <w:pPr>
        <w:ind w:left="3"/>
        <w:spacing w:before="279" w:line="223" w:lineRule="auto"/>
        <w:rPr>
          <w:rFonts w:ascii="SimHei" w:hAnsi="SimHei" w:eastAsia="SimHei" w:cs="SimHei"/>
          <w:sz w:val="23"/>
          <w:szCs w:val="23"/>
        </w:rPr>
      </w:pPr>
      <w:r>
        <w:rPr>
          <w:rFonts w:ascii="SimHei" w:hAnsi="SimHei" w:eastAsia="SimHei" w:cs="SimHei"/>
          <w:sz w:val="23"/>
          <w:szCs w:val="23"/>
          <w:b/>
          <w:bCs/>
          <w:spacing w:val="18"/>
        </w:rPr>
        <w:t>报告日期：2026年2月</w:t>
      </w:r>
    </w:p>
    <w:p>
      <w:pPr>
        <w:ind w:firstLine="3"/>
        <w:spacing w:before="139" w:line="342" w:lineRule="auto"/>
        <w:rPr>
          <w:rFonts w:ascii="SimHei" w:hAnsi="SimHei" w:eastAsia="SimHei" w:cs="SimHei"/>
          <w:sz w:val="23"/>
          <w:szCs w:val="23"/>
        </w:rPr>
      </w:pPr>
      <w:r>
        <w:rPr>
          <w:rFonts w:ascii="SimHei" w:hAnsi="SimHei" w:eastAsia="SimHei" w:cs="SimHei"/>
          <w:sz w:val="23"/>
          <w:szCs w:val="23"/>
          <w:b/>
          <w:bCs/>
          <w:spacing w:val="12"/>
        </w:rPr>
        <w:t>编制视角：</w:t>
      </w:r>
      <w:r>
        <w:rPr>
          <w:rFonts w:ascii="SimHei" w:hAnsi="SimHei" w:eastAsia="SimHei" w:cs="SimHei"/>
          <w:sz w:val="23"/>
          <w:szCs w:val="23"/>
          <w:spacing w:val="12"/>
        </w:rPr>
        <w:t>基于2025年底至2026年初中央</w:t>
      </w:r>
      <w:r>
        <w:rPr>
          <w:rFonts w:ascii="SimHei" w:hAnsi="SimHei" w:eastAsia="SimHei" w:cs="SimHei"/>
          <w:sz w:val="23"/>
          <w:szCs w:val="23"/>
          <w:spacing w:val="11"/>
        </w:rPr>
        <w:t>经济工作会议、全国住房城乡建设工作会议、“十五</w:t>
      </w:r>
      <w:r>
        <w:rPr>
          <w:rFonts w:ascii="SimHei" w:hAnsi="SimHei" w:eastAsia="SimHei" w:cs="SimHei"/>
          <w:sz w:val="23"/>
          <w:szCs w:val="23"/>
        </w:rPr>
        <w:t xml:space="preserve"> </w:t>
      </w:r>
      <w:r>
        <w:rPr>
          <w:rFonts w:ascii="SimHei" w:hAnsi="SimHei" w:eastAsia="SimHei" w:cs="SimHei"/>
          <w:sz w:val="23"/>
          <w:szCs w:val="23"/>
          <w:spacing w:val="1"/>
        </w:rPr>
        <w:t>五”规划建议及相关权威机构研判</w:t>
      </w:r>
    </w:p>
    <w:p>
      <w:pPr>
        <w:ind w:left="4"/>
        <w:spacing w:before="328" w:line="220" w:lineRule="auto"/>
        <w:outlineLvl w:val="2"/>
        <w:rPr>
          <w:rFonts w:ascii="SimHei" w:hAnsi="SimHei" w:eastAsia="SimHei" w:cs="SimHei"/>
          <w:sz w:val="30"/>
          <w:szCs w:val="30"/>
        </w:rPr>
      </w:pPr>
      <w:r>
        <w:rPr>
          <w:rFonts w:ascii="SimHei" w:hAnsi="SimHei" w:eastAsia="SimHei" w:cs="SimHei"/>
          <w:sz w:val="30"/>
          <w:szCs w:val="30"/>
          <w:b/>
          <w:bCs/>
          <w:spacing w:val="-4"/>
        </w:rPr>
        <w:t>一、房地产行业可持续发展的核心动力分析</w:t>
      </w:r>
    </w:p>
    <w:p>
      <w:pPr>
        <w:ind w:right="6"/>
        <w:spacing w:before="216" w:line="342" w:lineRule="auto"/>
        <w:rPr>
          <w:rFonts w:ascii="SimHei" w:hAnsi="SimHei" w:eastAsia="SimHei" w:cs="SimHei"/>
          <w:sz w:val="23"/>
          <w:szCs w:val="23"/>
        </w:rPr>
      </w:pPr>
      <w:r>
        <w:rPr>
          <w:rFonts w:ascii="SimHei" w:hAnsi="SimHei" w:eastAsia="SimHei" w:cs="SimHei"/>
          <w:sz w:val="23"/>
          <w:szCs w:val="23"/>
          <w:spacing w:val="7"/>
        </w:rPr>
        <w:t>当前，中国房地产已从高速增量扩张阶段转向存量提质增效与高质量发展阶段。传统“土地财政</w:t>
      </w:r>
      <w:r>
        <w:rPr>
          <w:rFonts w:ascii="SimHei" w:hAnsi="SimHei" w:eastAsia="SimHei" w:cs="SimHei"/>
          <w:sz w:val="23"/>
          <w:szCs w:val="23"/>
          <w:spacing w:val="2"/>
        </w:rPr>
        <w:t xml:space="preserve"> </w:t>
      </w:r>
      <w:r>
        <w:rPr>
          <w:rFonts w:ascii="SimHei" w:hAnsi="SimHei" w:eastAsia="SimHei" w:cs="SimHei"/>
          <w:sz w:val="23"/>
          <w:szCs w:val="23"/>
          <w:spacing w:val="5"/>
        </w:rPr>
        <w:t>+高周转开发”模式走到尽头，可持续发展动力已发生根本性重构。</w:t>
      </w:r>
    </w:p>
    <w:p>
      <w:pPr>
        <w:ind w:left="3"/>
        <w:spacing w:before="133" w:line="221" w:lineRule="auto"/>
        <w:rPr>
          <w:rFonts w:ascii="SimHei" w:hAnsi="SimHei" w:eastAsia="SimHei" w:cs="SimHei"/>
          <w:sz w:val="23"/>
          <w:szCs w:val="23"/>
        </w:rPr>
      </w:pPr>
      <w:r>
        <w:rPr>
          <w:rFonts w:ascii="SimHei" w:hAnsi="SimHei" w:eastAsia="SimHei" w:cs="SimHei"/>
          <w:sz w:val="23"/>
          <w:szCs w:val="23"/>
          <w:b/>
          <w:bCs/>
          <w:spacing w:val="28"/>
        </w:rPr>
        <w:t>主要动力来源(2026-2035年维度)</w:t>
      </w:r>
    </w:p>
    <w:p>
      <w:pPr>
        <w:spacing w:line="221" w:lineRule="auto"/>
        <w:sectPr>
          <w:pgSz w:w="12240" w:h="15840"/>
          <w:pgMar w:top="1146" w:right="1295" w:bottom="0" w:left="980" w:header="0" w:footer="0" w:gutter="0"/>
        </w:sectPr>
        <w:rPr>
          <w:rFonts w:ascii="SimHei" w:hAnsi="SimHei" w:eastAsia="SimHei" w:cs="SimHei"/>
          <w:sz w:val="23"/>
          <w:szCs w:val="23"/>
        </w:rPr>
      </w:pPr>
    </w:p>
    <w:p>
      <w:pPr>
        <w:pStyle w:val="BodyText"/>
        <w:spacing w:before="46" w:line="221" w:lineRule="auto"/>
        <w:rPr/>
      </w:pPr>
      <w:r>
        <w:rPr>
          <w:rFonts w:ascii="SimSun" w:hAnsi="SimSun" w:eastAsia="SimSun" w:cs="SimSun"/>
          <w:b/>
          <w:bCs/>
          <w:spacing w:val="10"/>
        </w:rPr>
        <w:t>1.</w:t>
      </w:r>
      <w:r>
        <w:rPr>
          <w:rFonts w:ascii="SimSun" w:hAnsi="SimSun" w:eastAsia="SimSun" w:cs="SimSun"/>
          <w:spacing w:val="10"/>
        </w:rPr>
        <w:t xml:space="preserve"> </w:t>
      </w:r>
      <w:r>
        <w:rPr>
          <w:b/>
          <w:bCs/>
          <w:spacing w:val="10"/>
        </w:rPr>
        <w:t>新型城镇化内涵式升级(结构性需求动力)</w:t>
      </w:r>
    </w:p>
    <w:p>
      <w:pPr>
        <w:pStyle w:val="BodyText"/>
        <w:ind w:left="740" w:right="129" w:hanging="64"/>
        <w:spacing w:before="269" w:line="310" w:lineRule="auto"/>
        <w:rPr>
          <w:sz w:val="17"/>
          <w:szCs w:val="17"/>
        </w:rPr>
      </w:pPr>
      <w:r>
        <w:rPr>
          <w:spacing w:val="23"/>
        </w:rPr>
        <w:t>·</w:t>
      </w:r>
      <w:r>
        <w:rPr>
          <w:spacing w:val="-70"/>
        </w:rPr>
        <w:t xml:space="preserve"> </w:t>
      </w:r>
      <w:r>
        <w:rPr>
          <w:spacing w:val="23"/>
        </w:rPr>
        <w:t>常住人口城镇化率已达67%,未来5—10</w:t>
      </w:r>
      <w:r>
        <w:rPr>
          <w:spacing w:val="22"/>
        </w:rPr>
        <w:t>年预计缓慢提升至接近75%—80%,重点从</w:t>
      </w:r>
      <w:r>
        <w:rPr/>
        <w:t xml:space="preserve"> </w:t>
      </w:r>
      <w:r>
        <w:rPr>
          <w:sz w:val="17"/>
          <w:szCs w:val="17"/>
          <w:spacing w:val="14"/>
        </w:rPr>
        <w:t>“量”转向“质”。</w:t>
      </w:r>
    </w:p>
    <w:p>
      <w:pPr>
        <w:pStyle w:val="BodyText"/>
        <w:ind w:left="825" w:right="156" w:hanging="149"/>
        <w:spacing w:before="277" w:line="282" w:lineRule="auto"/>
        <w:rPr/>
      </w:pPr>
      <w:r>
        <w:rPr>
          <w:spacing w:val="13"/>
        </w:rPr>
        <w:t>·</w:t>
      </w:r>
      <w:r>
        <w:rPr>
          <w:spacing w:val="-92"/>
        </w:rPr>
        <w:t xml:space="preserve"> </w:t>
      </w:r>
      <w:r>
        <w:rPr>
          <w:spacing w:val="13"/>
        </w:rPr>
        <w:t>核心城市群(京津冀、长三角、粤港澳大湾区)与都</w:t>
      </w:r>
      <w:r>
        <w:rPr>
          <w:spacing w:val="12"/>
        </w:rPr>
        <w:t>市圈继续集聚人口，新市民、青</w:t>
      </w:r>
      <w:r>
        <w:rPr/>
        <w:t xml:space="preserve"> </w:t>
      </w:r>
      <w:r>
        <w:rPr>
          <w:spacing w:val="10"/>
        </w:rPr>
        <w:t>年人才、银发群体产生刚性+改善性住房需求。</w:t>
      </w:r>
    </w:p>
    <w:p>
      <w:pPr>
        <w:pStyle w:val="BodyText"/>
        <w:ind w:left="676"/>
        <w:spacing w:before="246" w:line="213" w:lineRule="auto"/>
        <w:rPr/>
      </w:pPr>
      <w:r>
        <w:rPr>
          <w:spacing w:val="5"/>
        </w:rPr>
        <w:t>·</w:t>
      </w:r>
      <w:r>
        <w:rPr>
          <w:spacing w:val="-77"/>
        </w:rPr>
        <w:t xml:space="preserve"> </w:t>
      </w:r>
      <w:r>
        <w:rPr>
          <w:spacing w:val="5"/>
        </w:rPr>
        <w:t>家庭小型化、职住平衡、适老化改造等细分需求持续释放，成为中长期内生动力。</w:t>
      </w:r>
    </w:p>
    <w:p>
      <w:pPr>
        <w:spacing w:line="274" w:lineRule="auto"/>
        <w:rPr>
          <w:rFonts w:ascii="Arial"/>
          <w:sz w:val="21"/>
        </w:rPr>
      </w:pPr>
      <w:r/>
    </w:p>
    <w:p>
      <w:pPr>
        <w:pStyle w:val="BodyText"/>
        <w:spacing w:before="75" w:line="220" w:lineRule="auto"/>
        <w:rPr/>
      </w:pPr>
      <w:r>
        <w:rPr>
          <w:rFonts w:ascii="SimSun" w:hAnsi="SimSun" w:eastAsia="SimSun" w:cs="SimSun"/>
          <w:b/>
          <w:bCs/>
          <w:spacing w:val="-4"/>
        </w:rPr>
        <w:t>2.</w:t>
      </w:r>
      <w:r>
        <w:rPr>
          <w:rFonts w:ascii="SimSun" w:hAnsi="SimSun" w:eastAsia="SimSun" w:cs="SimSun"/>
          <w:spacing w:val="-23"/>
        </w:rPr>
        <w:t xml:space="preserve"> </w:t>
      </w:r>
      <w:r>
        <w:rPr>
          <w:b/>
          <w:bCs/>
          <w:spacing w:val="-4"/>
        </w:rPr>
        <w:t>从“有房住”到“住好房”的品质升级需</w:t>
      </w:r>
      <w:r>
        <w:rPr>
          <w:b/>
          <w:bCs/>
          <w:spacing w:val="-5"/>
        </w:rPr>
        <w:t>求(消费升级动力)</w:t>
      </w:r>
    </w:p>
    <w:p>
      <w:pPr>
        <w:pStyle w:val="BodyText"/>
        <w:ind w:left="676"/>
        <w:spacing w:before="259" w:line="220" w:lineRule="auto"/>
        <w:rPr/>
      </w:pPr>
      <w:r>
        <w:rPr>
          <w:spacing w:val="-3"/>
        </w:rPr>
        <w:t>·居民对安全、舒适、绿色、智慧“好房子”的期待已成为社会共识。</w:t>
      </w:r>
    </w:p>
    <w:p>
      <w:pPr>
        <w:pStyle w:val="BodyText"/>
        <w:ind w:left="825" w:right="392" w:hanging="149"/>
        <w:spacing w:before="277" w:line="338" w:lineRule="auto"/>
        <w:rPr/>
      </w:pPr>
      <w:r>
        <w:rPr>
          <w:spacing w:val="-2"/>
        </w:rPr>
        <w:t>·</w:t>
      </w:r>
      <w:r>
        <w:rPr>
          <w:spacing w:val="-2"/>
        </w:rPr>
        <w:t xml:space="preserve"> </w:t>
      </w:r>
      <w:r>
        <w:rPr>
          <w:spacing w:val="-2"/>
        </w:rPr>
        <w:t>“好房子”标准覆盖设计、材料、建造、运维全链条，带动产业链绿色转型与智能升</w:t>
      </w:r>
      <w:r>
        <w:rPr/>
        <w:t xml:space="preserve"> </w:t>
      </w:r>
      <w:r>
        <w:rPr>
          <w:spacing w:val="-4"/>
        </w:rPr>
        <w:t>级。</w:t>
      </w:r>
    </w:p>
    <w:p>
      <w:pPr>
        <w:pStyle w:val="BodyText"/>
        <w:ind w:left="676"/>
        <w:spacing w:before="97" w:line="213" w:lineRule="auto"/>
        <w:rPr/>
      </w:pPr>
      <w:r>
        <w:rPr>
          <w:spacing w:val="1"/>
        </w:rPr>
        <w:t>·物业服务从基础保洁向“物业+生活服务”社区综合服务演进，</w:t>
      </w:r>
      <w:r>
        <w:rPr/>
        <w:t>创造新消费场景。</w:t>
      </w:r>
    </w:p>
    <w:p>
      <w:pPr>
        <w:spacing w:line="264" w:lineRule="auto"/>
        <w:rPr>
          <w:rFonts w:ascii="Arial"/>
          <w:sz w:val="21"/>
        </w:rPr>
      </w:pPr>
      <w:r/>
    </w:p>
    <w:p>
      <w:pPr>
        <w:pStyle w:val="BodyText"/>
        <w:spacing w:before="76" w:line="221" w:lineRule="auto"/>
        <w:rPr/>
      </w:pPr>
      <w:r>
        <w:rPr>
          <w:rFonts w:ascii="SimSun" w:hAnsi="SimSun" w:eastAsia="SimSun" w:cs="SimSun"/>
          <w:b/>
          <w:bCs/>
          <w:spacing w:val="10"/>
        </w:rPr>
        <w:t>3.</w:t>
      </w:r>
      <w:r>
        <w:rPr>
          <w:rFonts w:ascii="SimSun" w:hAnsi="SimSun" w:eastAsia="SimSun" w:cs="SimSun"/>
          <w:spacing w:val="10"/>
        </w:rPr>
        <w:t xml:space="preserve"> </w:t>
      </w:r>
      <w:r>
        <w:rPr>
          <w:b/>
          <w:bCs/>
          <w:spacing w:val="10"/>
        </w:rPr>
        <w:t>城市更新与存量盘活(供给侧结构性改革动力)</w:t>
      </w:r>
    </w:p>
    <w:p>
      <w:pPr>
        <w:pStyle w:val="BodyText"/>
        <w:ind w:left="825" w:right="131" w:hanging="149"/>
        <w:spacing w:before="268" w:line="279" w:lineRule="auto"/>
        <w:rPr/>
      </w:pPr>
      <w:r>
        <w:rPr>
          <w:spacing w:val="7"/>
        </w:rPr>
        <w:t>·</w:t>
      </w:r>
      <w:r>
        <w:rPr>
          <w:spacing w:val="-83"/>
        </w:rPr>
        <w:t xml:space="preserve"> </w:t>
      </w:r>
      <w:r>
        <w:rPr>
          <w:spacing w:val="7"/>
        </w:rPr>
        <w:t>城镇老旧小区改造、城中村改造、危旧房更新、闲置低效用地再开发成为主要增量来</w:t>
      </w:r>
      <w:r>
        <w:rPr/>
        <w:t xml:space="preserve"> </w:t>
      </w:r>
      <w:r>
        <w:rPr>
          <w:spacing w:val="-4"/>
        </w:rPr>
        <w:t>源。</w:t>
      </w:r>
    </w:p>
    <w:p>
      <w:pPr>
        <w:pStyle w:val="BodyText"/>
        <w:ind w:left="825" w:hanging="149"/>
        <w:spacing w:before="255" w:line="348" w:lineRule="auto"/>
        <w:rPr/>
      </w:pPr>
      <w:r>
        <w:rPr>
          <w:spacing w:val="-3"/>
        </w:rPr>
        <w:t>·“十四五”累计改造老旧小区24万+个，“十</w:t>
      </w:r>
      <w:r>
        <w:rPr>
          <w:spacing w:val="-4"/>
        </w:rPr>
        <w:t>五五”将继续大规模推进，成为稳投资、惠民</w:t>
      </w:r>
      <w:r>
        <w:rPr/>
        <w:t xml:space="preserve"> </w:t>
      </w:r>
      <w:r>
        <w:rPr>
          <w:spacing w:val="7"/>
        </w:rPr>
        <w:t>生、促消费的重要抓手。</w:t>
      </w:r>
    </w:p>
    <w:p>
      <w:pPr>
        <w:pStyle w:val="BodyText"/>
        <w:ind w:left="825" w:right="129" w:hanging="149"/>
        <w:spacing w:before="93" w:line="281" w:lineRule="auto"/>
        <w:rPr/>
      </w:pPr>
      <w:r>
        <w:rPr>
          <w:spacing w:val="7"/>
        </w:rPr>
        <w:t>·</w:t>
      </w:r>
      <w:r>
        <w:rPr>
          <w:spacing w:val="-81"/>
        </w:rPr>
        <w:t xml:space="preserve"> </w:t>
      </w:r>
      <w:r>
        <w:rPr>
          <w:spacing w:val="7"/>
        </w:rPr>
        <w:t>存量商品房收购用于保障房、人才房、租赁房、学生宿舍等，实现新旧联动、租购循</w:t>
      </w:r>
      <w:r>
        <w:rPr/>
        <w:t xml:space="preserve"> </w:t>
      </w:r>
      <w:r>
        <w:rPr>
          <w:spacing w:val="-4"/>
        </w:rPr>
        <w:t>环。</w:t>
      </w:r>
    </w:p>
    <w:p>
      <w:pPr>
        <w:spacing w:line="249" w:lineRule="auto"/>
        <w:rPr>
          <w:rFonts w:ascii="Arial"/>
          <w:sz w:val="21"/>
        </w:rPr>
      </w:pPr>
      <w:r/>
    </w:p>
    <w:p>
      <w:pPr>
        <w:pStyle w:val="BodyText"/>
        <w:spacing w:before="75" w:line="220" w:lineRule="auto"/>
        <w:rPr/>
      </w:pPr>
      <w:r>
        <w:rPr>
          <w:rFonts w:ascii="SimSun" w:hAnsi="SimSun" w:eastAsia="SimSun" w:cs="SimSun"/>
          <w:b/>
          <w:bCs/>
          <w:spacing w:val="13"/>
        </w:rPr>
        <w:t>4.</w:t>
      </w:r>
      <w:r>
        <w:rPr>
          <w:rFonts w:ascii="SimSun" w:hAnsi="SimSun" w:eastAsia="SimSun" w:cs="SimSun"/>
          <w:spacing w:val="-21"/>
        </w:rPr>
        <w:t xml:space="preserve"> </w:t>
      </w:r>
      <w:r>
        <w:rPr>
          <w:b/>
          <w:bCs/>
          <w:spacing w:val="13"/>
        </w:rPr>
        <w:t>住房制度体系完善(制度性保障动力)</w:t>
      </w:r>
    </w:p>
    <w:p>
      <w:pPr>
        <w:pStyle w:val="BodyText"/>
        <w:ind w:left="676"/>
        <w:spacing w:before="270" w:line="221" w:lineRule="auto"/>
        <w:rPr/>
      </w:pPr>
      <w:r>
        <w:rPr>
          <w:spacing w:val="-4"/>
        </w:rPr>
        <w:t>·构建“租购并举、多主体供给、多渠道保障”的长效机制。</w:t>
      </w:r>
    </w:p>
    <w:p>
      <w:pPr>
        <w:pStyle w:val="BodyText"/>
        <w:ind w:left="825" w:right="151" w:hanging="149"/>
        <w:spacing w:before="254" w:line="284" w:lineRule="auto"/>
        <w:rPr/>
      </w:pPr>
      <w:r>
        <w:rPr>
          <w:spacing w:val="1"/>
        </w:rPr>
        <w:t>·住房租赁市场规范发展、保障性住房精准供给、“人房地钱”要素联动机制落地，成为</w:t>
      </w:r>
      <w:r>
        <w:rPr>
          <w:spacing w:val="9"/>
        </w:rPr>
        <w:t xml:space="preserve"> </w:t>
      </w:r>
      <w:r>
        <w:rPr>
          <w:spacing w:val="7"/>
        </w:rPr>
        <w:t>行业健康运行的制度基石。</w:t>
      </w:r>
    </w:p>
    <w:p>
      <w:pPr>
        <w:spacing w:line="243" w:lineRule="auto"/>
        <w:rPr>
          <w:rFonts w:ascii="Arial"/>
          <w:sz w:val="21"/>
        </w:rPr>
      </w:pPr>
      <w:r/>
    </w:p>
    <w:p>
      <w:pPr>
        <w:pStyle w:val="BodyText"/>
        <w:spacing w:before="75" w:line="221" w:lineRule="auto"/>
        <w:rPr/>
      </w:pPr>
      <w:r>
        <w:rPr>
          <w:rFonts w:ascii="SimSun" w:hAnsi="SimSun" w:eastAsia="SimSun" w:cs="SimSun"/>
          <w:b/>
          <w:bCs/>
          <w:spacing w:val="12"/>
        </w:rPr>
        <w:t>5.</w:t>
      </w:r>
      <w:r>
        <w:rPr>
          <w:rFonts w:ascii="SimSun" w:hAnsi="SimSun" w:eastAsia="SimSun" w:cs="SimSun"/>
          <w:spacing w:val="-6"/>
        </w:rPr>
        <w:t xml:space="preserve"> </w:t>
      </w:r>
      <w:r>
        <w:rPr>
          <w:b/>
          <w:bCs/>
          <w:spacing w:val="12"/>
        </w:rPr>
        <w:t>绿色低碳与数字智慧转型(新质生产力动力)</w:t>
      </w:r>
    </w:p>
    <w:p>
      <w:pPr>
        <w:pStyle w:val="BodyText"/>
        <w:ind w:left="676"/>
        <w:spacing w:before="268" w:line="213" w:lineRule="auto"/>
        <w:rPr/>
      </w:pPr>
      <w:r>
        <w:rPr>
          <w:spacing w:val="5"/>
        </w:rPr>
        <w:t>·</w:t>
      </w:r>
      <w:r>
        <w:rPr>
          <w:spacing w:val="-92"/>
        </w:rPr>
        <w:t xml:space="preserve"> </w:t>
      </w:r>
      <w:r>
        <w:rPr>
          <w:spacing w:val="5"/>
        </w:rPr>
        <w:t>双碳目标下，建筑全生命周期低碳化、智</w:t>
      </w:r>
      <w:r>
        <w:rPr>
          <w:spacing w:val="4"/>
        </w:rPr>
        <w:t>能化改造需求爆发。</w:t>
      </w:r>
    </w:p>
    <w:p>
      <w:pPr>
        <w:pStyle w:val="BodyText"/>
        <w:ind w:left="825" w:right="125" w:hanging="149"/>
        <w:spacing w:before="286" w:line="276" w:lineRule="auto"/>
        <w:rPr/>
      </w:pPr>
      <w:r>
        <w:rPr>
          <w:spacing w:val="7"/>
        </w:rPr>
        <w:t>·</w:t>
      </w:r>
      <w:r>
        <w:rPr>
          <w:spacing w:val="-78"/>
        </w:rPr>
        <w:t xml:space="preserve"> </w:t>
      </w:r>
      <w:r>
        <w:rPr>
          <w:spacing w:val="7"/>
        </w:rPr>
        <w:t>装配式建筑、超低能耗建筑、智能家居、数字孪生社区等新技术应用，成为新的增长</w:t>
      </w:r>
      <w:r>
        <w:rPr/>
        <w:t xml:space="preserve"> </w:t>
      </w:r>
      <w:r>
        <w:rPr>
          <w:spacing w:val="-4"/>
        </w:rPr>
        <w:t>极。</w:t>
      </w:r>
    </w:p>
    <w:p>
      <w:pPr>
        <w:spacing w:line="276" w:lineRule="auto"/>
        <w:sectPr>
          <w:pgSz w:w="12240" w:h="15840"/>
          <w:pgMar w:top="1267" w:right="1059" w:bottom="0" w:left="1333" w:header="0" w:footer="0" w:gutter="0"/>
        </w:sectPr>
        <w:rPr/>
      </w:pPr>
    </w:p>
    <w:p>
      <w:pPr>
        <w:pStyle w:val="BodyText"/>
        <w:ind w:left="18" w:right="16" w:hanging="19"/>
        <w:spacing w:before="59" w:line="295" w:lineRule="auto"/>
        <w:rPr>
          <w:sz w:val="30"/>
          <w:szCs w:val="30"/>
        </w:rPr>
      </w:pPr>
      <w:r>
        <w:rPr>
          <w:sz w:val="30"/>
          <w:szCs w:val="30"/>
          <w:spacing w:val="17"/>
        </w:rPr>
        <w:t>二、未来10年(2026—2035)国家政策</w:t>
      </w:r>
      <w:r>
        <w:rPr>
          <w:sz w:val="30"/>
          <w:szCs w:val="30"/>
          <w:spacing w:val="16"/>
        </w:rPr>
        <w:t>、资金、导向促进有序良性发展的核</w:t>
      </w:r>
      <w:r>
        <w:rPr>
          <w:sz w:val="30"/>
          <w:szCs w:val="30"/>
        </w:rPr>
        <w:t xml:space="preserve"> </w:t>
      </w:r>
      <w:r>
        <w:rPr>
          <w:sz w:val="30"/>
          <w:szCs w:val="30"/>
          <w:spacing w:val="5"/>
        </w:rPr>
        <w:t>心路径</w:t>
      </w:r>
    </w:p>
    <w:p>
      <w:pPr>
        <w:pStyle w:val="BodyText"/>
        <w:ind w:left="163"/>
        <w:spacing w:before="87" w:line="222" w:lineRule="auto"/>
        <w:rPr/>
      </w:pPr>
      <w:r>
        <w:rPr>
          <w:b/>
          <w:bCs/>
          <w:spacing w:val="16"/>
        </w:rPr>
        <w:t>(一)总体政策导向</w:t>
      </w:r>
    </w:p>
    <w:p>
      <w:pPr>
        <w:pStyle w:val="BodyText"/>
        <w:ind w:left="379"/>
        <w:spacing w:before="256" w:line="213" w:lineRule="auto"/>
        <w:rPr/>
      </w:pPr>
      <w:r>
        <w:rPr>
          <w:spacing w:val="10"/>
        </w:rPr>
        <w:t>·</w:t>
      </w:r>
      <w:r>
        <w:rPr>
          <w:spacing w:val="-67"/>
        </w:rPr>
        <w:t xml:space="preserve"> </w:t>
      </w:r>
      <w:r>
        <w:rPr>
          <w:spacing w:val="10"/>
        </w:rPr>
        <w:t>短期(2026-</w:t>
      </w:r>
      <w:r>
        <w:rPr>
          <w:spacing w:val="-67"/>
        </w:rPr>
        <w:t xml:space="preserve"> </w:t>
      </w:r>
      <w:r>
        <w:rPr>
          <w:spacing w:val="10"/>
        </w:rPr>
        <w:t>2028年):</w:t>
      </w:r>
      <w:r>
        <w:rPr>
          <w:spacing w:val="-45"/>
        </w:rPr>
        <w:t xml:space="preserve"> </w:t>
      </w:r>
      <w:r>
        <w:rPr>
          <w:spacing w:val="10"/>
        </w:rPr>
        <w:t>止跌回稳、去库存、防风险为主，政策力</w:t>
      </w:r>
      <w:r>
        <w:rPr>
          <w:spacing w:val="9"/>
        </w:rPr>
        <w:t>度“一次给够”。</w:t>
      </w:r>
    </w:p>
    <w:p>
      <w:pPr>
        <w:pStyle w:val="BodyText"/>
        <w:ind w:left="519" w:hanging="140"/>
        <w:spacing w:before="295" w:line="276" w:lineRule="auto"/>
        <w:rPr/>
      </w:pPr>
      <w:r>
        <w:rPr>
          <w:spacing w:val="16"/>
        </w:rPr>
        <w:t>·</w:t>
      </w:r>
      <w:r>
        <w:rPr>
          <w:spacing w:val="-45"/>
        </w:rPr>
        <w:t xml:space="preserve"> </w:t>
      </w:r>
      <w:r>
        <w:rPr>
          <w:spacing w:val="16"/>
        </w:rPr>
        <w:t>中长期(2029-</w:t>
      </w:r>
      <w:r>
        <w:rPr>
          <w:spacing w:val="-69"/>
        </w:rPr>
        <w:t xml:space="preserve"> </w:t>
      </w:r>
      <w:r>
        <w:rPr>
          <w:spacing w:val="16"/>
        </w:rPr>
        <w:t>2035年):</w:t>
      </w:r>
      <w:r>
        <w:rPr>
          <w:spacing w:val="-54"/>
        </w:rPr>
        <w:t xml:space="preserve"> </w:t>
      </w:r>
      <w:r>
        <w:rPr>
          <w:spacing w:val="16"/>
        </w:rPr>
        <w:t>高质量发展、新模式全面落地，行业回归居住本质，成为民生保</w:t>
      </w:r>
      <w:r>
        <w:rPr/>
        <w:t xml:space="preserve"> </w:t>
      </w:r>
      <w:r>
        <w:rPr>
          <w:spacing w:val="7"/>
        </w:rPr>
        <w:t>障与共同富裕的重要支柱。</w:t>
      </w:r>
    </w:p>
    <w:p>
      <w:pPr>
        <w:pStyle w:val="BodyText"/>
        <w:ind w:left="508" w:right="50" w:hanging="129"/>
        <w:spacing w:before="262" w:line="280" w:lineRule="auto"/>
        <w:rPr/>
      </w:pPr>
      <w:r>
        <w:rPr>
          <w:spacing w:val="9"/>
        </w:rPr>
        <w:t>·</w:t>
      </w:r>
      <w:r>
        <w:rPr>
          <w:spacing w:val="-96"/>
        </w:rPr>
        <w:t xml:space="preserve"> </w:t>
      </w:r>
      <w:r>
        <w:rPr>
          <w:spacing w:val="9"/>
        </w:rPr>
        <w:t>核心关键词：控增量、去库存、优供给；城市更新+好房子；租购并</w:t>
      </w:r>
      <w:r>
        <w:rPr>
          <w:spacing w:val="8"/>
        </w:rPr>
        <w:t>举+要素联动；现房销售</w:t>
      </w:r>
      <w:r>
        <w:rPr/>
        <w:t xml:space="preserve"> </w:t>
      </w:r>
      <w:r>
        <w:rPr>
          <w:spacing w:val="11"/>
        </w:rPr>
        <w:t>+品质提升。</w:t>
      </w:r>
    </w:p>
    <w:p>
      <w:pPr>
        <w:spacing w:line="251" w:lineRule="auto"/>
        <w:rPr>
          <w:rFonts w:ascii="Arial"/>
          <w:sz w:val="21"/>
        </w:rPr>
      </w:pPr>
      <w:r/>
    </w:p>
    <w:p>
      <w:pPr>
        <w:pStyle w:val="BodyText"/>
        <w:ind w:left="163"/>
        <w:spacing w:before="75" w:line="221" w:lineRule="auto"/>
        <w:rPr/>
      </w:pPr>
      <w:r>
        <w:rPr>
          <w:b/>
          <w:bCs/>
          <w:spacing w:val="12"/>
        </w:rPr>
        <w:t>(二)关键政策方向与落地重点</w:t>
      </w:r>
    </w:p>
    <w:p>
      <w:pPr>
        <w:spacing w:line="221" w:lineRule="auto"/>
        <w:sectPr>
          <w:pgSz w:w="12240" w:h="15840"/>
          <w:pgMar w:top="1239" w:right="1011" w:bottom="0" w:left="980" w:header="0" w:footer="0" w:gutter="0"/>
        </w:sectPr>
        <w:rPr/>
      </w:pPr>
    </w:p>
    <w:p>
      <w:pPr>
        <w:pStyle w:val="BodyText"/>
        <w:ind w:left="189"/>
        <w:spacing w:before="46" w:line="221" w:lineRule="auto"/>
        <w:rPr/>
      </w:pPr>
      <w:r>
        <w:rPr>
          <w:rFonts w:ascii="SimSun" w:hAnsi="SimSun" w:eastAsia="SimSun" w:cs="SimSun"/>
          <w:b/>
          <w:bCs/>
          <w:spacing w:val="4"/>
        </w:rPr>
        <w:t>1.</w:t>
      </w:r>
      <w:r>
        <w:rPr>
          <w:rFonts w:ascii="SimSun" w:hAnsi="SimSun" w:eastAsia="SimSun" w:cs="SimSun"/>
          <w:spacing w:val="4"/>
        </w:rPr>
        <w:t xml:space="preserve"> </w:t>
      </w:r>
      <w:r>
        <w:rPr>
          <w:b/>
          <w:bCs/>
          <w:spacing w:val="4"/>
        </w:rPr>
        <w:t>需求端：因城施策、分类支持刚需与改善</w:t>
      </w:r>
    </w:p>
    <w:p>
      <w:pPr>
        <w:pStyle w:val="BodyText"/>
        <w:ind w:left="866"/>
        <w:spacing w:before="287" w:line="220" w:lineRule="auto"/>
        <w:rPr/>
      </w:pPr>
      <w:r>
        <w:rPr>
          <w:spacing w:val="8"/>
        </w:rPr>
        <w:t>·</w:t>
      </w:r>
      <w:r>
        <w:rPr>
          <w:spacing w:val="-95"/>
        </w:rPr>
        <w:t xml:space="preserve"> </w:t>
      </w:r>
      <w:r>
        <w:rPr>
          <w:spacing w:val="8"/>
        </w:rPr>
        <w:t>核心城市优化/基本取消限制性购房政策(限</w:t>
      </w:r>
      <w:r>
        <w:rPr>
          <w:spacing w:val="7"/>
        </w:rPr>
        <w:t>购、限贷、限售等)。</w:t>
      </w:r>
    </w:p>
    <w:p>
      <w:pPr>
        <w:pStyle w:val="BodyText"/>
        <w:ind w:left="866"/>
        <w:spacing w:before="246" w:line="213" w:lineRule="auto"/>
        <w:rPr/>
      </w:pPr>
      <w:r>
        <w:rPr>
          <w:spacing w:val="-1"/>
        </w:rPr>
        <w:t>·</w:t>
      </w:r>
      <w:r>
        <w:rPr>
          <w:spacing w:val="-93"/>
        </w:rPr>
        <w:t xml:space="preserve"> </w:t>
      </w:r>
      <w:r>
        <w:rPr>
          <w:spacing w:val="-1"/>
        </w:rPr>
        <w:t>降低首付比例、房贷利率、公积金贷款门槛；实施“卖旧买新、以旧换新”财税支持。</w:t>
      </w:r>
    </w:p>
    <w:p>
      <w:pPr>
        <w:pStyle w:val="BodyText"/>
        <w:ind w:left="866"/>
        <w:spacing w:before="264" w:line="213" w:lineRule="auto"/>
        <w:rPr/>
      </w:pPr>
      <w:r>
        <w:rPr>
          <w:spacing w:val="3"/>
        </w:rPr>
        <w:t>·</w:t>
      </w:r>
      <w:r>
        <w:rPr>
          <w:spacing w:val="-87"/>
        </w:rPr>
        <w:t xml:space="preserve"> </w:t>
      </w:r>
      <w:r>
        <w:rPr>
          <w:spacing w:val="3"/>
        </w:rPr>
        <w:t>支持居民合理住房消费，清理不合理限制措施。</w:t>
      </w:r>
    </w:p>
    <w:p>
      <w:pPr>
        <w:spacing w:line="254" w:lineRule="auto"/>
        <w:rPr>
          <w:rFonts w:ascii="Arial"/>
          <w:sz w:val="21"/>
        </w:rPr>
      </w:pPr>
      <w:r/>
    </w:p>
    <w:p>
      <w:pPr>
        <w:pStyle w:val="BodyText"/>
        <w:ind w:left="189"/>
        <w:spacing w:before="75" w:line="221" w:lineRule="auto"/>
        <w:rPr/>
      </w:pPr>
      <w:r>
        <w:rPr>
          <w:rFonts w:ascii="SimSun" w:hAnsi="SimSun" w:eastAsia="SimSun" w:cs="SimSun"/>
          <w:b/>
          <w:bCs/>
          <w:spacing w:val="6"/>
        </w:rPr>
        <w:t>2.</w:t>
      </w:r>
      <w:r>
        <w:rPr>
          <w:rFonts w:ascii="SimSun" w:hAnsi="SimSun" w:eastAsia="SimSun" w:cs="SimSun"/>
          <w:spacing w:val="-23"/>
        </w:rPr>
        <w:t xml:space="preserve"> </w:t>
      </w:r>
      <w:r>
        <w:rPr>
          <w:b/>
          <w:bCs/>
          <w:spacing w:val="6"/>
        </w:rPr>
        <w:t>供给端：严控增量、盘活存量、提质增效</w:t>
      </w:r>
    </w:p>
    <w:p>
      <w:pPr>
        <w:pStyle w:val="BodyText"/>
        <w:ind w:left="866"/>
        <w:spacing w:before="268" w:line="213" w:lineRule="auto"/>
        <w:rPr/>
      </w:pPr>
      <w:r>
        <w:rPr>
          <w:spacing w:val="5"/>
        </w:rPr>
        <w:t>·</w:t>
      </w:r>
      <w:r>
        <w:rPr>
          <w:spacing w:val="-96"/>
        </w:rPr>
        <w:t xml:space="preserve"> </w:t>
      </w:r>
      <w:r>
        <w:rPr>
          <w:spacing w:val="5"/>
        </w:rPr>
        <w:t>严格控制新增建设用地规模，土地出让以城市更新、城中</w:t>
      </w:r>
      <w:r>
        <w:rPr>
          <w:spacing w:val="4"/>
        </w:rPr>
        <w:t>村改造为主。</w:t>
      </w:r>
    </w:p>
    <w:p>
      <w:pPr>
        <w:pStyle w:val="BodyText"/>
        <w:ind w:left="866"/>
        <w:spacing w:before="265" w:line="213" w:lineRule="auto"/>
        <w:rPr/>
      </w:pPr>
      <w:r>
        <w:rPr>
          <w:spacing w:val="-3"/>
        </w:rPr>
        <w:t>·大规模推进城市更新行动，编制“十五五</w:t>
      </w:r>
      <w:r>
        <w:rPr>
          <w:spacing w:val="-4"/>
        </w:rPr>
        <w:t>”城市更新专项规划。</w:t>
      </w:r>
    </w:p>
    <w:p>
      <w:pPr>
        <w:pStyle w:val="BodyText"/>
        <w:ind w:left="866"/>
        <w:spacing w:before="284" w:line="220" w:lineRule="auto"/>
        <w:rPr/>
      </w:pPr>
      <w:r>
        <w:rPr>
          <w:spacing w:val="5"/>
        </w:rPr>
        <w:t>·推动收购存量商品房用于保障性住房、安置房、人</w:t>
      </w:r>
      <w:r>
        <w:rPr>
          <w:spacing w:val="4"/>
        </w:rPr>
        <w:t>才房、租赁房。</w:t>
      </w:r>
    </w:p>
    <w:p>
      <w:pPr>
        <w:pStyle w:val="BodyText"/>
        <w:ind w:left="866"/>
        <w:spacing w:before="257" w:line="213" w:lineRule="auto"/>
        <w:rPr/>
      </w:pPr>
      <w:r>
        <w:rPr>
          <w:spacing w:val="2"/>
        </w:rPr>
        <w:t>·</w:t>
      </w:r>
      <w:r>
        <w:rPr>
          <w:spacing w:val="-92"/>
        </w:rPr>
        <w:t xml:space="preserve"> </w:t>
      </w:r>
      <w:r>
        <w:rPr>
          <w:spacing w:val="2"/>
        </w:rPr>
        <w:t>有序推进现房销售制，规范预售资金监管。</w:t>
      </w:r>
    </w:p>
    <w:p>
      <w:pPr>
        <w:spacing w:line="274" w:lineRule="auto"/>
        <w:rPr>
          <w:rFonts w:ascii="Arial"/>
          <w:sz w:val="21"/>
        </w:rPr>
      </w:pPr>
      <w:r/>
    </w:p>
    <w:p>
      <w:pPr>
        <w:pStyle w:val="BodyText"/>
        <w:ind w:left="189"/>
        <w:spacing w:before="74" w:line="220" w:lineRule="auto"/>
        <w:rPr/>
      </w:pPr>
      <w:r>
        <w:rPr>
          <w:rFonts w:ascii="SimSun" w:hAnsi="SimSun" w:eastAsia="SimSun" w:cs="SimSun"/>
          <w:b/>
          <w:bCs/>
          <w:spacing w:val="6"/>
        </w:rPr>
        <w:t>3.</w:t>
      </w:r>
      <w:r>
        <w:rPr>
          <w:rFonts w:ascii="SimSun" w:hAnsi="SimSun" w:eastAsia="SimSun" w:cs="SimSun"/>
          <w:spacing w:val="-14"/>
        </w:rPr>
        <w:t xml:space="preserve"> </w:t>
      </w:r>
      <w:r>
        <w:rPr>
          <w:b/>
          <w:bCs/>
          <w:spacing w:val="6"/>
        </w:rPr>
        <w:t>保障端：优化多层次住房保障体系</w:t>
      </w:r>
    </w:p>
    <w:p>
      <w:pPr>
        <w:pStyle w:val="BodyText"/>
        <w:ind w:right="24"/>
        <w:spacing w:before="250" w:line="213" w:lineRule="auto"/>
        <w:jc w:val="right"/>
        <w:rPr/>
      </w:pPr>
      <w:r>
        <w:rPr>
          <w:spacing w:val="6"/>
        </w:rPr>
        <w:t>·</w:t>
      </w:r>
      <w:r>
        <w:rPr>
          <w:spacing w:val="-89"/>
        </w:rPr>
        <w:t xml:space="preserve"> </w:t>
      </w:r>
      <w:r>
        <w:rPr>
          <w:spacing w:val="6"/>
        </w:rPr>
        <w:t>配售型、配租型保障性住房精准供给，重点解决工薪群体、新市民、困难家庭需求。</w:t>
      </w:r>
    </w:p>
    <w:p>
      <w:pPr>
        <w:pStyle w:val="BodyText"/>
        <w:ind w:left="866"/>
        <w:spacing w:before="285" w:line="213" w:lineRule="auto"/>
        <w:rPr/>
      </w:pPr>
      <w:r>
        <w:rPr>
          <w:spacing w:val="4"/>
        </w:rPr>
        <w:t>·</w:t>
      </w:r>
      <w:r>
        <w:rPr>
          <w:spacing w:val="-88"/>
        </w:rPr>
        <w:t xml:space="preserve"> </w:t>
      </w:r>
      <w:r>
        <w:rPr>
          <w:spacing w:val="4"/>
        </w:rPr>
        <w:t>加快发展专业化、规模化住房租赁市场，长租房政策逐步完善。</w:t>
      </w:r>
    </w:p>
    <w:p>
      <w:pPr>
        <w:pStyle w:val="BodyText"/>
        <w:ind w:left="866"/>
        <w:spacing w:before="264" w:line="220" w:lineRule="auto"/>
        <w:rPr/>
      </w:pPr>
      <w:r>
        <w:rPr>
          <w:spacing w:val="1"/>
        </w:rPr>
        <w:t>·推进老旧住房自主更新、原拆原建。</w:t>
      </w:r>
    </w:p>
    <w:p>
      <w:pPr>
        <w:spacing w:line="266" w:lineRule="auto"/>
        <w:rPr>
          <w:rFonts w:ascii="Arial"/>
          <w:sz w:val="21"/>
        </w:rPr>
      </w:pPr>
      <w:r/>
    </w:p>
    <w:p>
      <w:pPr>
        <w:pStyle w:val="BodyText"/>
        <w:ind w:left="189"/>
        <w:spacing w:before="75" w:line="220" w:lineRule="auto"/>
        <w:rPr/>
      </w:pPr>
      <w:r>
        <w:rPr>
          <w:rFonts w:ascii="SimSun" w:hAnsi="SimSun" w:eastAsia="SimSun" w:cs="SimSun"/>
          <w:b/>
          <w:bCs/>
          <w:spacing w:val="-15"/>
        </w:rPr>
        <w:t>4.</w:t>
      </w:r>
      <w:r>
        <w:rPr>
          <w:rFonts w:ascii="SimSun" w:hAnsi="SimSun" w:eastAsia="SimSun" w:cs="SimSun"/>
          <w:spacing w:val="-15"/>
        </w:rPr>
        <w:t xml:space="preserve"> </w:t>
      </w:r>
      <w:r>
        <w:rPr>
          <w:b/>
          <w:bCs/>
          <w:spacing w:val="-15"/>
        </w:rPr>
        <w:t>品质端：系统推进“好房子”“四好”建设</w:t>
      </w:r>
    </w:p>
    <w:p>
      <w:pPr>
        <w:pStyle w:val="BodyText"/>
        <w:ind w:left="866"/>
        <w:spacing w:before="269" w:line="220" w:lineRule="auto"/>
        <w:rPr/>
      </w:pPr>
      <w:r>
        <w:rPr>
          <w:spacing w:val="9"/>
        </w:rPr>
        <w:t>·</w:t>
      </w:r>
      <w:r>
        <w:rPr>
          <w:spacing w:val="-90"/>
        </w:rPr>
        <w:t xml:space="preserve"> </w:t>
      </w:r>
      <w:r>
        <w:rPr>
          <w:spacing w:val="9"/>
        </w:rPr>
        <w:t>全链条实施房屋品质提升工程(好标准、好设计、好材料、好建造、</w:t>
      </w:r>
      <w:r>
        <w:rPr>
          <w:spacing w:val="8"/>
        </w:rPr>
        <w:t>好运维)。</w:t>
      </w:r>
    </w:p>
    <w:p>
      <w:pPr>
        <w:pStyle w:val="BodyText"/>
        <w:ind w:left="866"/>
        <w:spacing w:before="256" w:line="220" w:lineRule="auto"/>
        <w:rPr/>
      </w:pPr>
      <w:r>
        <w:rPr>
          <w:spacing w:val="3"/>
        </w:rPr>
        <w:t>·</w:t>
      </w:r>
      <w:r>
        <w:rPr>
          <w:spacing w:val="-80"/>
        </w:rPr>
        <w:t xml:space="preserve"> </w:t>
      </w:r>
      <w:r>
        <w:rPr>
          <w:spacing w:val="3"/>
        </w:rPr>
        <w:t>一体推进好房子、好小区、好社区、好城区建设。</w:t>
      </w:r>
    </w:p>
    <w:p>
      <w:pPr>
        <w:pStyle w:val="BodyText"/>
        <w:ind w:left="866"/>
        <w:spacing w:before="267" w:line="213" w:lineRule="auto"/>
        <w:rPr/>
      </w:pPr>
      <w:r>
        <w:rPr>
          <w:spacing w:val="-3"/>
        </w:rPr>
        <w:t>·物业服务向“物业+生活服务”升级，探索社区治理新模式。</w:t>
      </w:r>
    </w:p>
    <w:p>
      <w:pPr>
        <w:spacing w:line="254" w:lineRule="auto"/>
        <w:rPr>
          <w:rFonts w:ascii="Arial"/>
          <w:sz w:val="21"/>
        </w:rPr>
      </w:pPr>
      <w:r/>
    </w:p>
    <w:p>
      <w:pPr>
        <w:pStyle w:val="BodyText"/>
        <w:ind w:left="189"/>
        <w:spacing w:before="75" w:line="221" w:lineRule="auto"/>
        <w:rPr/>
      </w:pPr>
      <w:r>
        <w:rPr>
          <w:rFonts w:ascii="SimSun" w:hAnsi="SimSun" w:eastAsia="SimSun" w:cs="SimSun"/>
          <w:b/>
          <w:bCs/>
          <w:spacing w:val="6"/>
        </w:rPr>
        <w:t>5.</w:t>
      </w:r>
      <w:r>
        <w:rPr>
          <w:rFonts w:ascii="SimSun" w:hAnsi="SimSun" w:eastAsia="SimSun" w:cs="SimSun"/>
          <w:spacing w:val="-19"/>
        </w:rPr>
        <w:t xml:space="preserve"> </w:t>
      </w:r>
      <w:r>
        <w:rPr>
          <w:b/>
          <w:bCs/>
          <w:spacing w:val="6"/>
        </w:rPr>
        <w:t>融资端：精准滴灌、风险可控</w:t>
      </w:r>
    </w:p>
    <w:p>
      <w:pPr>
        <w:pStyle w:val="BodyText"/>
        <w:ind w:left="866"/>
        <w:spacing w:before="258" w:line="213" w:lineRule="auto"/>
        <w:rPr/>
      </w:pPr>
      <w:r>
        <w:rPr>
          <w:spacing w:val="-8"/>
        </w:rPr>
        <w:t>·房地产项目“白名单”全覆盖，主办银行制落地。</w:t>
      </w:r>
    </w:p>
    <w:p>
      <w:pPr>
        <w:pStyle w:val="BodyText"/>
        <w:ind w:left="866"/>
        <w:spacing w:before="285" w:line="221" w:lineRule="auto"/>
        <w:rPr/>
      </w:pPr>
      <w:r>
        <w:rPr>
          <w:spacing w:val="2"/>
        </w:rPr>
        <w:t>·</w:t>
      </w:r>
      <w:r>
        <w:rPr>
          <w:spacing w:val="-93"/>
        </w:rPr>
        <w:t xml:space="preserve"> </w:t>
      </w:r>
      <w:r>
        <w:rPr>
          <w:spacing w:val="2"/>
        </w:rPr>
        <w:t>基础设施</w:t>
      </w:r>
      <w:r>
        <w:rPr>
          <w:rFonts w:ascii="SimSun" w:hAnsi="SimSun" w:eastAsia="SimSun" w:cs="SimSun"/>
        </w:rPr>
        <w:t>REITs</w:t>
      </w:r>
      <w:r>
        <w:rPr>
          <w:rFonts w:ascii="SimSun" w:hAnsi="SimSun" w:eastAsia="SimSun" w:cs="SimSun"/>
          <w:spacing w:val="-52"/>
        </w:rPr>
        <w:t xml:space="preserve"> </w:t>
      </w:r>
      <w:r>
        <w:rPr>
          <w:spacing w:val="2"/>
        </w:rPr>
        <w:t>扩容至城市更新、酒店、办公等资产。</w:t>
      </w:r>
    </w:p>
    <w:p>
      <w:pPr>
        <w:pStyle w:val="BodyText"/>
        <w:ind w:left="1005" w:hanging="139"/>
        <w:spacing w:before="263" w:line="281" w:lineRule="auto"/>
        <w:rPr/>
      </w:pPr>
      <w:r>
        <w:rPr>
          <w:spacing w:val="7"/>
        </w:rPr>
        <w:t>·</w:t>
      </w:r>
      <w:r>
        <w:rPr>
          <w:spacing w:val="-91"/>
        </w:rPr>
        <w:t xml:space="preserve"> </w:t>
      </w:r>
      <w:r>
        <w:rPr>
          <w:spacing w:val="7"/>
        </w:rPr>
        <w:t>专项债、超长期特别国债、中央预算内投资重点支持城市</w:t>
      </w:r>
      <w:r>
        <w:rPr>
          <w:spacing w:val="6"/>
        </w:rPr>
        <w:t>更新、地下管网、保障房等</w:t>
      </w:r>
      <w:r>
        <w:rPr/>
        <w:t xml:space="preserve"> </w:t>
      </w:r>
      <w:r>
        <w:rPr>
          <w:spacing w:val="1"/>
        </w:rPr>
        <w:t>领域。</w:t>
      </w:r>
    </w:p>
    <w:p>
      <w:pPr>
        <w:spacing w:line="242" w:lineRule="auto"/>
        <w:rPr>
          <w:rFonts w:ascii="Arial"/>
          <w:sz w:val="21"/>
        </w:rPr>
      </w:pPr>
      <w:r/>
    </w:p>
    <w:p>
      <w:pPr>
        <w:pStyle w:val="BodyText"/>
        <w:spacing w:before="75" w:line="222" w:lineRule="auto"/>
        <w:outlineLvl w:val="4"/>
        <w:rPr/>
      </w:pPr>
      <w:r>
        <w:rPr>
          <w:b/>
          <w:bCs/>
          <w:spacing w:val="27"/>
        </w:rPr>
        <w:t>(三)资金支持规模与渠道展望(2026-203</w:t>
      </w:r>
      <w:r>
        <w:rPr>
          <w:b/>
          <w:bCs/>
          <w:spacing w:val="26"/>
        </w:rPr>
        <w:t>5年)</w:t>
      </w:r>
    </w:p>
    <w:p>
      <w:pPr>
        <w:spacing w:line="222" w:lineRule="auto"/>
        <w:sectPr>
          <w:pgSz w:w="12240" w:h="15840"/>
          <w:pgMar w:top="1237" w:right="1210" w:bottom="0" w:left="1143" w:header="0" w:footer="0" w:gutter="0"/>
        </w:sectPr>
        <w:rPr/>
      </w:pPr>
    </w:p>
    <w:p>
      <w:pPr>
        <w:pStyle w:val="BodyText"/>
        <w:ind w:left="509" w:hanging="140"/>
        <w:spacing w:before="46" w:line="292" w:lineRule="auto"/>
        <w:rPr/>
      </w:pPr>
      <w:r>
        <w:rPr>
          <w:spacing w:val="8"/>
        </w:rPr>
        <w:t>·</w:t>
      </w:r>
      <w:r>
        <w:rPr>
          <w:spacing w:val="-93"/>
        </w:rPr>
        <w:t xml:space="preserve"> </w:t>
      </w:r>
      <w:r>
        <w:rPr>
          <w:spacing w:val="8"/>
        </w:rPr>
        <w:t>财政资金：中央财政城市更新专项补助、预</w:t>
      </w:r>
      <w:r>
        <w:rPr>
          <w:spacing w:val="7"/>
        </w:rPr>
        <w:t>算内投资持续加码；地方专项债中保障性安居工</w:t>
      </w:r>
      <w:r>
        <w:rPr/>
        <w:t xml:space="preserve"> </w:t>
      </w:r>
      <w:r>
        <w:rPr>
          <w:spacing w:val="7"/>
        </w:rPr>
        <w:t>程占比提升。</w:t>
      </w:r>
    </w:p>
    <w:p>
      <w:pPr>
        <w:pStyle w:val="BodyText"/>
        <w:ind w:left="369"/>
        <w:spacing w:before="262" w:line="220" w:lineRule="auto"/>
        <w:rPr/>
      </w:pPr>
      <w:r>
        <w:rPr>
          <w:spacing w:val="5"/>
        </w:rPr>
        <w:t>·</w:t>
      </w:r>
      <w:r>
        <w:rPr>
          <w:spacing w:val="-98"/>
        </w:rPr>
        <w:t xml:space="preserve"> </w:t>
      </w:r>
      <w:r>
        <w:rPr>
          <w:spacing w:val="5"/>
        </w:rPr>
        <w:t>政策性金融：国开行、农发行城中村改造、保障房专项借款规模</w:t>
      </w:r>
      <w:r>
        <w:rPr>
          <w:spacing w:val="4"/>
        </w:rPr>
        <w:t>扩大。</w:t>
      </w:r>
    </w:p>
    <w:p>
      <w:pPr>
        <w:pStyle w:val="BodyText"/>
        <w:ind w:left="369"/>
        <w:spacing w:before="276" w:line="213" w:lineRule="auto"/>
        <w:rPr/>
      </w:pPr>
      <w:r>
        <w:rPr/>
        <w:t>·</w:t>
      </w:r>
      <w:r>
        <w:rPr>
          <w:spacing w:val="-91"/>
        </w:rPr>
        <w:t xml:space="preserve"> </w:t>
      </w:r>
      <w:r>
        <w:rPr/>
        <w:t>商业金融：银行“城新贷”、城市更新信贷额度持续投放；利率优惠、财政贴息机制完善。</w:t>
      </w:r>
    </w:p>
    <w:p>
      <w:pPr>
        <w:pStyle w:val="BodyText"/>
        <w:ind w:left="369"/>
        <w:spacing w:before="264" w:line="213" w:lineRule="auto"/>
        <w:rPr/>
      </w:pPr>
      <w:r>
        <w:rPr>
          <w:spacing w:val="4"/>
        </w:rPr>
        <w:t>·</w:t>
      </w:r>
      <w:r>
        <w:rPr>
          <w:spacing w:val="-81"/>
        </w:rPr>
        <w:t xml:space="preserve"> </w:t>
      </w:r>
      <w:r>
        <w:rPr>
          <w:spacing w:val="4"/>
        </w:rPr>
        <w:t>资本市场：</w:t>
      </w:r>
      <w:r>
        <w:rPr>
          <w:rFonts w:ascii="SimSun" w:hAnsi="SimSun" w:eastAsia="SimSun" w:cs="SimSun"/>
        </w:rPr>
        <w:t>REITs</w:t>
      </w:r>
      <w:r>
        <w:rPr>
          <w:rFonts w:ascii="SimSun" w:hAnsi="SimSun" w:eastAsia="SimSun" w:cs="SimSun"/>
          <w:spacing w:val="-43"/>
        </w:rPr>
        <w:t xml:space="preserve"> </w:t>
      </w:r>
      <w:r>
        <w:rPr>
          <w:spacing w:val="4"/>
        </w:rPr>
        <w:t>常态化扩募，盘活存量资产；探索资产证券化支持城市更新。</w:t>
      </w:r>
    </w:p>
    <w:p>
      <w:pPr>
        <w:pStyle w:val="BodyText"/>
        <w:ind w:left="509" w:right="128" w:hanging="140"/>
        <w:spacing w:before="264" w:line="279" w:lineRule="auto"/>
        <w:rPr/>
      </w:pPr>
      <w:r>
        <w:rPr>
          <w:spacing w:val="12"/>
        </w:rPr>
        <w:t>·</w:t>
      </w:r>
      <w:r>
        <w:rPr>
          <w:spacing w:val="-86"/>
        </w:rPr>
        <w:t xml:space="preserve"> </w:t>
      </w:r>
      <w:r>
        <w:rPr>
          <w:spacing w:val="12"/>
        </w:rPr>
        <w:t>总体预期：未来10年城市更新累计投资有望达20-30万亿元规模，成为房地产及关联产业</w:t>
      </w:r>
      <w:r>
        <w:rPr/>
        <w:t xml:space="preserve"> </w:t>
      </w:r>
      <w:r>
        <w:rPr>
          <w:spacing w:val="5"/>
        </w:rPr>
        <w:t>最主要资金来源。</w:t>
      </w:r>
    </w:p>
    <w:p>
      <w:pPr>
        <w:spacing w:line="385" w:lineRule="auto"/>
        <w:rPr>
          <w:rFonts w:ascii="Arial"/>
          <w:sz w:val="21"/>
        </w:rPr>
      </w:pPr>
      <w:r/>
    </w:p>
    <w:p>
      <w:pPr>
        <w:pStyle w:val="BodyText"/>
        <w:ind w:left="4"/>
        <w:spacing w:before="98" w:line="222" w:lineRule="auto"/>
        <w:rPr>
          <w:sz w:val="30"/>
          <w:szCs w:val="30"/>
        </w:rPr>
      </w:pPr>
      <w:r>
        <w:rPr>
          <w:sz w:val="30"/>
          <w:szCs w:val="30"/>
          <w:b/>
          <w:bCs/>
          <w:spacing w:val="-4"/>
        </w:rPr>
        <w:t>三、结论与战略判断</w:t>
      </w:r>
    </w:p>
    <w:p>
      <w:pPr>
        <w:pStyle w:val="BodyText"/>
        <w:ind w:right="22"/>
        <w:spacing w:before="247" w:line="339" w:lineRule="auto"/>
        <w:rPr/>
      </w:pPr>
      <w:r>
        <w:rPr>
          <w:spacing w:val="5"/>
        </w:rPr>
        <w:t>中国房地产可持续发展的根本动力已从“土地红利+投资拉动”转向“以人为本的居住需求</w:t>
      </w:r>
      <w:r>
        <w:rPr>
          <w:spacing w:val="4"/>
        </w:rPr>
        <w:t>升级+城</w:t>
      </w:r>
      <w:r>
        <w:rPr/>
        <w:t xml:space="preserve"> </w:t>
      </w:r>
      <w:r>
        <w:rPr>
          <w:spacing w:val="9"/>
        </w:rPr>
        <w:t>市存量提质增效+制度体系完善”三位一体的新格局。</w:t>
      </w:r>
    </w:p>
    <w:p>
      <w:pPr>
        <w:pStyle w:val="BodyText"/>
        <w:ind w:right="18"/>
        <w:spacing w:before="96" w:line="383" w:lineRule="auto"/>
        <w:rPr/>
      </w:pPr>
      <w:r>
        <w:rPr/>
        <w:t>未来10年，国家将通过“稳市场、防风险”与“促转型、提品质”双轮驱动，</w:t>
      </w:r>
      <w:r>
        <w:rPr>
          <w:spacing w:val="-1"/>
        </w:rPr>
        <w:t>推动行业实现软着陆与</w:t>
      </w:r>
      <w:r>
        <w:rPr/>
        <w:t xml:space="preserve"> </w:t>
      </w:r>
      <w:r>
        <w:rPr>
          <w:spacing w:val="6"/>
        </w:rPr>
        <w:t>长效健康发展。2026年作为“十五五”开局之年，是政策</w:t>
      </w:r>
      <w:r>
        <w:rPr>
          <w:spacing w:val="5"/>
        </w:rPr>
        <w:t>力度最大、模式转换最关键的一年。</w:t>
      </w:r>
    </w:p>
    <w:p>
      <w:pPr>
        <w:pStyle w:val="BodyText"/>
        <w:spacing w:before="17" w:line="222" w:lineRule="auto"/>
        <w:rPr/>
      </w:pPr>
      <w:r>
        <w:rPr>
          <w:spacing w:val="2"/>
        </w:rPr>
        <w:t>核心预期：</w:t>
      </w:r>
    </w:p>
    <w:p>
      <w:pPr>
        <w:pStyle w:val="BodyText"/>
        <w:ind w:left="369"/>
        <w:spacing w:before="253" w:line="213" w:lineRule="auto"/>
        <w:rPr/>
      </w:pPr>
      <w:r>
        <w:rPr>
          <w:spacing w:val="15"/>
        </w:rPr>
        <w:t>·2026-2028年：市场止跌回稳，核心城市率先企稳。</w:t>
      </w:r>
    </w:p>
    <w:p>
      <w:pPr>
        <w:pStyle w:val="BodyText"/>
        <w:ind w:left="509" w:right="59" w:hanging="140"/>
        <w:spacing w:before="275" w:line="347" w:lineRule="auto"/>
        <w:rPr/>
      </w:pPr>
      <w:r>
        <w:rPr>
          <w:spacing w:val="9"/>
        </w:rPr>
        <w:t>·2029-2035年：行业进入以“好房子”、城</w:t>
      </w:r>
      <w:r>
        <w:rPr>
          <w:spacing w:val="8"/>
        </w:rPr>
        <w:t>市更新、住房租赁为主的高质量发展轨道，成为</w:t>
      </w:r>
      <w:r>
        <w:rPr/>
        <w:t xml:space="preserve"> </w:t>
      </w:r>
      <w:r>
        <w:rPr>
          <w:spacing w:val="8"/>
        </w:rPr>
        <w:t>扩大内需、共同富裕、现代化人民城市建设的重要支撑。</w:t>
      </w:r>
    </w:p>
    <w:p>
      <w:pPr>
        <w:pStyle w:val="BodyText"/>
        <w:ind w:right="19"/>
        <w:spacing w:before="132" w:line="353" w:lineRule="auto"/>
        <w:rPr/>
      </w:pPr>
      <w:r>
        <w:rPr>
          <w:spacing w:val="8"/>
        </w:rPr>
        <w:t>房地</w:t>
      </w:r>
      <w:r>
        <w:rPr>
          <w:b/>
          <w:bCs/>
          <w:spacing w:val="8"/>
        </w:rPr>
        <w:t>产不再是短期刺激工具，而是服务人的全面发展、支撑国家现代化的长效支柱。高质量发展</w:t>
      </w:r>
      <w:r>
        <w:rPr>
          <w:spacing w:val="16"/>
        </w:rPr>
        <w:t xml:space="preserve"> </w:t>
      </w:r>
      <w:r>
        <w:rPr>
          <w:spacing w:val="8"/>
        </w:rPr>
        <w:t>之路虽有阵痛，但方向明确、前景可期。</w:t>
      </w:r>
    </w:p>
    <w:p>
      <w:pPr>
        <w:pStyle w:val="BodyText"/>
        <w:ind w:left="3"/>
        <w:spacing w:before="113" w:line="224" w:lineRule="auto"/>
        <w:rPr/>
      </w:pPr>
      <w:r>
        <w:rPr>
          <w:b/>
          <w:bCs/>
          <w:spacing w:val="8"/>
        </w:rPr>
        <w:t>报告结束</w:t>
      </w:r>
    </w:p>
    <w:sectPr>
      <w:pgSz w:w="12240" w:h="15840"/>
      <w:pgMar w:top="1190" w:right="1129" w:bottom="0" w:left="98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3"/>
      <w:szCs w:val="23"/>
      <w:lang w:val="en-US" w:eastAsia="en-US" w:bidi="ar-SA"/>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settings" Target="settings.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2026-03-15T23:57:52Z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2026-03-15T23:57:52</vt:filetime>
  </property>
  <property fmtid="{D5CDD505-2E9C-101B-9397-08002B2CF9AE}" pid="4" name="UsrData">
    <vt:lpwstr>69b6d6fe259dfc001fa653d5wl</vt:lpwstr>
  </property>
</Properties>
</file>