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comprehensive_market_size_analysi_a38672"/>
      <w:r>
        <w:rPr>
          <w:rFonts w:eastAsia="Georgia" w:cs="Georgia" w:ascii="Georgia" w:hAnsi="Georgia"/>
          <w:b/>
          <w:sz w:val="56"/>
        </w:rPr>
        <w:t xml:space="preserve">Comprehensive Market Size Analysis: Japan's Elderly Demographic 2020–2050</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Japan faces a unprecedented demographic transformation, with the elderly population (aged 65+) expected to comprise approximately 38.7% of the total population by 2050[1]. This comprehensive analysis examines the market opportunities and consumption patterns of Japan's elderly demographic from 2020 through 2050, encompassing population projections, sectoral analysis, consumer behavior trends, and quantified market size estimations.</w:t>
      </w:r>
    </w:p>
    <w:p>
      <w:pPr>
        <w:spacing w:after="210" w:lineRule="auto"/>
      </w:pPr>
      <w:r>
        <w:rPr/>
        <w:t xml:space="preserve">As of 2024, Japan had 36 million people aged 65 or older, representing 29% of the total population[2]. The Institute of Population and Social Security Research projects that while the total elderly population will peak at 39.35 million in 2042, the proportion of elderly citizens will continue rising to 38.4% by 2070, fundamentally reshaping Japan's economic landscape[3]. This demographic shift creates both challenges and significant market opportunities across healthcare, technology, leisure, and consumer goods sectors.</w:t>
      </w:r>
    </w:p>
    <w:p>
      <w:pPr>
        <w:spacing w:after="210" w:lineRule="auto"/>
      </w:pPr>
      <w:r>
        <w:rPr/>
        <w:t xml:space="preserve">Key findings include:</w:t>
      </w:r>
    </w:p>
    <w:p>
      <w:pPr>
        <w:numPr>
          <w:ilvl w:val="0"/>
          <w:numId w:val="1"/>
        </w:numPr>
        <w:spacing w:lineRule="auto"/>
      </w:pPr>
      <w:r>
        <w:rPr>
          <w:rFonts w:eastAsia="Georgia" w:cs="Georgia" w:ascii="Georgia" w:hAnsi="Georgia"/>
        </w:rPr>
        <w:t xml:space="preserve">Elderly population projected to peak at ~39.4 million in 2042-2043, declining slightly thereafter</w:t>
      </w:r>
    </w:p>
    <w:p>
      <w:pPr>
        <w:numPr>
          <w:ilvl w:val="0"/>
          <w:numId w:val="1"/>
        </w:numPr>
        <w:spacing w:lineRule="auto"/>
      </w:pPr>
      <w:r>
        <w:rPr/>
        <w:t xml:space="preserve">By 2050, single elderly households will reach 10.84 million, comprising over 20% of all households[4]</w:t>
      </w:r>
    </w:p>
    <w:p>
      <w:pPr>
        <w:numPr>
          <w:ilvl w:val="0"/>
          <w:numId w:val="1"/>
        </w:numPr>
        <w:spacing w:lineRule="auto"/>
      </w:pPr>
      <w:r>
        <w:rPr>
          <w:rFonts w:eastAsia="Georgia" w:cs="Georgia" w:ascii="Georgia" w:hAnsi="Georgia"/>
        </w:rPr>
        <w:t xml:space="preserve">Total elderly market estimated at approximately £591 billion (JPY 9.5+ trillion) in 2024, with accelerating growth through 2050</w:t>
      </w:r>
    </w:p>
    <w:p>
      <w:pPr>
        <w:numPr>
          <w:ilvl w:val="0"/>
          <w:numId w:val="1"/>
        </w:numPr>
        <w:spacing w:lineRule="auto"/>
      </w:pPr>
      <w:r>
        <w:rPr>
          <w:rFonts w:eastAsia="Georgia" w:cs="Georgia" w:ascii="Georgia" w:hAnsi="Georgia"/>
        </w:rPr>
        <w:t xml:space="preserve">Healthcare and long-term care expenditures dominating market with projected growth from ¥11.7 trillion (2019) to ¥15+ trillion (2025)</w:t>
      </w:r>
    </w:p>
    <w:p>
      <w:pPr>
        <w:numPr>
          <w:ilvl w:val="0"/>
          <w:numId w:val="1"/>
        </w:numPr>
        <w:spacing w:lineRule="auto"/>
      </w:pPr>
      <w:r>
        <w:rPr/>
        <w:t xml:space="preserve">Technology and digital health markets expanding at 19-23% CAGR, representing emerging growth opportunity</w:t>
      </w:r>
    </w:p>
    <w:p>
      <w:pPr>
        <w:numPr>
          <w:ilvl w:val="0"/>
          <w:numId w:val="1"/>
        </w:numPr>
        <w:spacing w:lineRule="auto"/>
      </w:pPr>
      <w:r>
        <w:rPr/>
        <w:t xml:space="preserve">Disparities in income and assets among elderly population create segmented market dynamics with approximately 20-30% of single-person elderly households holding less than standard comfort thresholds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1_detailed_elderly_populatio_e19089"/>
      <w:r>
        <w:rPr>
          <w:rFonts w:eastAsia="Georgia" w:cs="Georgia" w:ascii="Georgia" w:hAnsi="Georgia"/>
          <w:b/>
          <w:sz w:val="42"/>
        </w:rPr>
        <w:t xml:space="preserve">Part 1: Detailed Elderly Population Projections (2020–2050)</w:t>
      </w:r>
      <w:bookmarkEnd w:id="2"/>
    </w:p>
    <w:p>
      <w:pPr>
        <w:spacing w:line="271" w:before="240" w:lineRule="auto"/>
      </w:pPr>
      <w:bookmarkStart w:id="3" w:name="bm_1_1_overall_population_trends"/>
      <w:r>
        <w:rPr>
          <w:b/>
          <w:sz w:val="33"/>
        </w:rPr>
        <w:t xml:space="preserve">1.1 Overall Population Trends</w:t>
      </w:r>
      <w:bookmarkEnd w:id="3"/>
    </w:p>
    <w:p>
      <w:pPr>
        <w:spacing w:after="210" w:lineRule="auto"/>
      </w:pPr>
      <w:r>
        <w:rPr/>
        <w:t xml:space="preserve">Japan's demographic transition represents one of the most dramatic aging trends globally. According to the National Institute of Population and Social Security Research (2023 revision), the following projections apply[1]:</w:t>
      </w:r>
    </w:p>
    <w:p>
      <w:pPr>
        <w:spacing w:after="210" w:lineRule="auto"/>
      </w:pPr>
      <w:r>
        <w:rPr>
          <w:b/>
        </w:rPr>
        <w:t xml:space="preserve">Headline Statistics:</w:t>
      </w:r>
    </w:p>
    <w:p>
      <w:pPr>
        <w:numPr>
          <w:ilvl w:val="0"/>
          <w:numId w:val="2"/>
        </w:numPr>
        <w:spacing w:lineRule="auto"/>
      </w:pPr>
      <w:r>
        <w:rPr/>
        <w:t xml:space="preserve">2020 baseline: 36.03 million elderly (65+), representing 28.6% of total population</w:t>
      </w:r>
    </w:p>
    <w:p>
      <w:pPr>
        <w:numPr>
          <w:ilvl w:val="0"/>
          <w:numId w:val="2"/>
        </w:numPr>
        <w:spacing w:lineRule="auto"/>
      </w:pPr>
      <w:r>
        <w:rPr>
          <w:rFonts w:eastAsia="Georgia" w:cs="Georgia" w:ascii="Georgia" w:hAnsi="Georgia"/>
        </w:rPr>
        <w:t xml:space="preserve">2030 target year: ~37.2 million elderly, 35.1% of population</w:t>
      </w:r>
    </w:p>
    <w:p>
      <w:pPr>
        <w:numPr>
          <w:ilvl w:val="0"/>
          <w:numId w:val="2"/>
        </w:numPr>
        <w:spacing w:lineRule="auto"/>
      </w:pPr>
      <w:r>
        <w:rPr>
          <w:rFonts w:eastAsia="Georgia" w:cs="Georgia" w:ascii="Georgia" w:hAnsi="Georgia"/>
        </w:rPr>
        <w:t xml:space="preserve">2040 transition point: ~38.7 million elderly, 37.2% of population</w:t>
      </w:r>
    </w:p>
    <w:p>
      <w:pPr>
        <w:numPr>
          <w:ilvl w:val="0"/>
          <w:numId w:val="2"/>
        </w:numPr>
        <w:spacing w:lineRule="auto"/>
      </w:pPr>
      <w:r>
        <w:rPr>
          <w:rFonts w:eastAsia="Georgia" w:cs="Georgia" w:ascii="Georgia" w:hAnsi="Georgia"/>
        </w:rPr>
        <w:t xml:space="preserve">2043 peak: ~39.35 million elderly (medium-fertility scenario)</w:t>
      </w:r>
    </w:p>
    <w:p>
      <w:pPr>
        <w:numPr>
          <w:ilvl w:val="0"/>
          <w:numId w:val="2"/>
        </w:numPr>
        <w:spacing w:lineRule="auto"/>
      </w:pPr>
      <w:r>
        <w:rPr>
          <w:rFonts w:eastAsia="Georgia" w:cs="Georgia" w:ascii="Georgia" w:hAnsi="Georgia"/>
        </w:rPr>
        <w:t xml:space="preserve">2050 plateau: ~37.9 million elderly, 38.7% of population</w:t>
      </w:r>
    </w:p>
    <w:p>
      <w:pPr>
        <w:spacing w:after="210" w:lineRule="auto"/>
      </w:pPr>
      <w:r>
        <w:rPr>
          <w:rFonts w:eastAsia="Georgia" w:cs="Georgia" w:ascii="Georgia" w:hAnsi="Georgia"/>
        </w:rPr>
        <w:t xml:space="preserve">The old-age dependency ratio—the number of elderly per 100 working-age (15-64) persons—is projected to increase from 48.0 in 2020 to 74.2 by 2070[1]. This means that by 2050, only 1.3 working-age persons will support each elderly person, compared to 2.1 in 2020. This structural change underlies the growing market burden and pension sustainability concerns that influence elderly consumption patterns.</w:t>
      </w:r>
    </w:p>
    <w:p>
      <w:pPr>
        <w:spacing w:after="210" w:lineRule="auto"/>
      </w:pPr>
      <w:r>
        <w:rPr/>
        <w:t xml:space="preserve">Total population is expected to decline from 125.1 million in 2020 to approximately 105.5 million in 2050, a 15.6% contraction. However, absolute elderly population growth continues through 2042-2043 before stabilizing.</w:t>
      </w:r>
    </w:p>
    <w:p>
      <w:pPr>
        <w:spacing w:line="271" w:before="240" w:lineRule="auto"/>
      </w:pPr>
      <w:bookmarkStart w:id="4" w:name="bm_1_2_segmentation_by_age_cohorts"/>
      <w:r>
        <w:rPr>
          <w:b/>
          <w:sz w:val="33"/>
        </w:rPr>
        <w:t xml:space="preserve">1.2 Segmentation by Age Cohorts</w:t>
      </w:r>
      <w:bookmarkEnd w:id="4"/>
    </w:p>
    <w:p>
      <w:pPr>
        <w:spacing w:after="210" w:lineRule="auto"/>
      </w:pPr>
      <w:r>
        <w:rPr/>
        <w:t xml:space="preserve">Age segmentation is critical for understanding heterogeneous consumption patterns, health needs, and purchasing power within the elderly population:</w:t>
      </w:r>
    </w:p>
    <w:p>
      <w:pPr>
        <w:spacing w:after="210" w:lineRule="auto"/>
      </w:pPr>
      <w:r>
        <w:rPr>
          <w:b/>
        </w:rPr>
        <w:t xml:space="preserve">65–74 Years (Young Elderly):</w:t>
      </w:r>
    </w:p>
    <w:p>
      <w:pPr>
        <w:numPr>
          <w:ilvl w:val="0"/>
          <w:numId w:val="3"/>
        </w:numPr>
        <w:spacing w:lineRule="auto"/>
      </w:pPr>
      <w:r>
        <w:rPr/>
        <w:t xml:space="preserve">2020: 17.5 million</w:t>
      </w:r>
    </w:p>
    <w:p>
      <w:pPr>
        <w:numPr>
          <w:ilvl w:val="0"/>
          <w:numId w:val="3"/>
        </w:numPr>
        <w:spacing w:lineRule="auto"/>
      </w:pPr>
      <w:r>
        <w:rPr/>
        <w:t xml:space="preserve">2030: 17.2 million</w:t>
      </w:r>
    </w:p>
    <w:p>
      <w:pPr>
        <w:numPr>
          <w:ilvl w:val="0"/>
          <w:numId w:val="3"/>
        </w:numPr>
        <w:spacing w:lineRule="auto"/>
      </w:pPr>
      <w:r>
        <w:rPr/>
        <w:t xml:space="preserve">2040: 14.9 million</w:t>
      </w:r>
    </w:p>
    <w:p>
      <w:pPr>
        <w:numPr>
          <w:ilvl w:val="0"/>
          <w:numId w:val="3"/>
        </w:numPr>
        <w:spacing w:lineRule="auto"/>
      </w:pPr>
      <w:r>
        <w:rPr/>
        <w:t xml:space="preserve">2050: 12.1 million</w:t>
      </w:r>
    </w:p>
    <w:p>
      <w:pPr>
        <w:spacing w:after="210" w:lineRule="auto"/>
      </w:pPr>
      <w:r>
        <w:rPr/>
        <w:t xml:space="preserve">This cohort experiences gradual decline after 2025 as the post-war baby boom (born 1947-1949) ages into the 75+ category. The young elderly remain relatively active, with higher labor force participation and lower dependency on care services compared to older cohorts.</w:t>
      </w:r>
    </w:p>
    <w:p>
      <w:pPr>
        <w:spacing w:after="210" w:lineRule="auto"/>
      </w:pPr>
      <w:r>
        <w:rPr>
          <w:b/>
        </w:rPr>
        <w:t xml:space="preserve">75–84 Years (Mid-Elderly):</w:t>
      </w:r>
    </w:p>
    <w:p>
      <w:pPr>
        <w:numPr>
          <w:ilvl w:val="0"/>
          <w:numId w:val="4"/>
        </w:numPr>
        <w:spacing w:lineRule="auto"/>
      </w:pPr>
      <w:r>
        <w:rPr/>
        <w:t xml:space="preserve">2020: 12.3 million</w:t>
      </w:r>
    </w:p>
    <w:p>
      <w:pPr>
        <w:numPr>
          <w:ilvl w:val="0"/>
          <w:numId w:val="4"/>
        </w:numPr>
        <w:spacing w:lineRule="auto"/>
      </w:pPr>
      <w:r>
        <w:rPr/>
        <w:t xml:space="preserve">2030: 15.8 million</w:t>
      </w:r>
    </w:p>
    <w:p>
      <w:pPr>
        <w:numPr>
          <w:ilvl w:val="0"/>
          <w:numId w:val="4"/>
        </w:numPr>
        <w:spacing w:lineRule="auto"/>
      </w:pPr>
      <w:r>
        <w:rPr/>
        <w:t xml:space="preserve">2040: 16.2 million</w:t>
      </w:r>
    </w:p>
    <w:p>
      <w:pPr>
        <w:numPr>
          <w:ilvl w:val="0"/>
          <w:numId w:val="4"/>
        </w:numPr>
        <w:spacing w:lineRule="auto"/>
      </w:pPr>
      <w:r>
        <w:rPr/>
        <w:t xml:space="preserve">2050: 14.1 million</w:t>
      </w:r>
    </w:p>
    <w:p>
      <w:pPr>
        <w:spacing w:after="210" w:lineRule="auto"/>
      </w:pPr>
      <w:r>
        <w:rPr>
          <w:rFonts w:eastAsia="Georgia" w:cs="Georgia" w:ascii="Georgia" w:hAnsi="Georgia"/>
        </w:rPr>
        <w:t xml:space="preserve">This cohort experiences the largest expansion during 2020-2040, peaking at ~16.5 million around 2035-2040. As the postwar baby boom ages through this range (reaching age 75 in 2022, age 85 in 2032), this cohort represents the core of increased healthcare and long-term care demand. Consumer behavior in this group shifts toward greater emphasis on convenience, health, and safety.</w:t>
      </w:r>
    </w:p>
    <w:p>
      <w:pPr>
        <w:spacing w:after="210" w:lineRule="auto"/>
      </w:pPr>
      <w:r>
        <w:rPr>
          <w:b/>
        </w:rPr>
        <w:t xml:space="preserve">85+ Years (Advanced Elderly):</w:t>
      </w:r>
    </w:p>
    <w:p>
      <w:pPr>
        <w:numPr>
          <w:ilvl w:val="0"/>
          <w:numId w:val="5"/>
        </w:numPr>
        <w:spacing w:lineRule="auto"/>
      </w:pPr>
      <w:r>
        <w:rPr/>
        <w:t xml:space="preserve">2020: 6.2 million</w:t>
      </w:r>
    </w:p>
    <w:p>
      <w:pPr>
        <w:numPr>
          <w:ilvl w:val="0"/>
          <w:numId w:val="5"/>
        </w:numPr>
        <w:spacing w:lineRule="auto"/>
      </w:pPr>
      <w:r>
        <w:rPr/>
        <w:t xml:space="preserve">2030: 8.8 million</w:t>
      </w:r>
    </w:p>
    <w:p>
      <w:pPr>
        <w:numPr>
          <w:ilvl w:val="0"/>
          <w:numId w:val="5"/>
        </w:numPr>
        <w:spacing w:lineRule="auto"/>
      </w:pPr>
      <w:r>
        <w:rPr/>
        <w:t xml:space="preserve">2040: 11.7 million</w:t>
      </w:r>
    </w:p>
    <w:p>
      <w:pPr>
        <w:numPr>
          <w:ilvl w:val="0"/>
          <w:numId w:val="5"/>
        </w:numPr>
        <w:spacing w:lineRule="auto"/>
      </w:pPr>
      <w:r>
        <w:rPr/>
        <w:t xml:space="preserve">2050: 13.2 million</w:t>
      </w:r>
    </w:p>
    <w:p>
      <w:pPr>
        <w:spacing w:after="210" w:lineRule="auto"/>
      </w:pPr>
      <w:r>
        <w:rPr/>
        <w:t xml:space="preserve">The fastest-growing segment. By 2050, one elderly person in three will be 85+, reaching 13.2 million (13% of total population). This cohort exhibits highest consumption for healthcare (19.6 trillion yen in 2024, up from 12.7 trillion yen in 2010) and long-term care services. Medical spending by this age group exceeded 40% of all medical expenditures in Japan by 2024[5].</w:t>
      </w:r>
    </w:p>
    <w:p>
      <w:pPr>
        <w:spacing w:line="271" w:before="240" w:lineRule="auto"/>
      </w:pPr>
      <w:bookmarkStart w:id="5" w:name="bm_1_3_household_structure_changes"/>
      <w:r>
        <w:rPr>
          <w:b/>
          <w:sz w:val="33"/>
        </w:rPr>
        <w:t xml:space="preserve">1.3 Household Structure Changes</w:t>
      </w:r>
      <w:bookmarkEnd w:id="5"/>
    </w:p>
    <w:p>
      <w:pPr>
        <w:spacing w:after="210" w:lineRule="auto"/>
      </w:pPr>
      <w:r>
        <w:rPr/>
        <w:t xml:space="preserve">Household composition fundamentally shapes market dynamics:</w:t>
      </w:r>
    </w:p>
    <w:p>
      <w:pPr>
        <w:spacing w:after="210" w:lineRule="auto"/>
      </w:pPr>
      <w:r>
        <w:rPr>
          <w:b/>
        </w:rPr>
        <w:t xml:space="preserve">Single Elderly Households:</w:t>
      </w:r>
    </w:p>
    <w:p>
      <w:pPr>
        <w:numPr>
          <w:ilvl w:val="0"/>
          <w:numId w:val="6"/>
        </w:numPr>
        <w:spacing w:lineRule="auto"/>
      </w:pPr>
      <w:r>
        <w:rPr/>
        <w:t xml:space="preserve">2020: 7.1 million (target estimate)</w:t>
      </w:r>
    </w:p>
    <w:p>
      <w:pPr>
        <w:numPr>
          <w:ilvl w:val="0"/>
          <w:numId w:val="6"/>
        </w:numPr>
        <w:spacing w:lineRule="auto"/>
      </w:pPr>
      <w:r>
        <w:rPr/>
        <w:t xml:space="preserve">2050: 10.84 million (projected)[4]</w:t>
      </w:r>
    </w:p>
    <w:p>
      <w:pPr>
        <w:numPr>
          <w:ilvl w:val="0"/>
          <w:numId w:val="6"/>
        </w:numPr>
        <w:spacing w:lineRule="auto"/>
      </w:pPr>
      <w:r>
        <w:rPr/>
        <w:t xml:space="preserve">Growth: +52.6% over 30 years</w:t>
      </w:r>
    </w:p>
    <w:p>
      <w:pPr>
        <w:spacing w:after="210" w:lineRule="auto"/>
      </w:pPr>
      <w:r>
        <w:rPr/>
        <w:t xml:space="preserve">Single elderly households will increase 1.5-fold by 2050, with 7.04 million individuals aged 75+[4]. This shift reflects declining marriage rates (only 720,988 births in 2024, the lowest since 1899) and increased longevity of widows. Single-person household consumption patterns differ significantly: lower housing expenses (many own homes), reduced food waste, and different leisure and social spending profiles.</w:t>
      </w:r>
    </w:p>
    <w:p>
      <w:pPr>
        <w:spacing w:after="210" w:lineRule="auto"/>
      </w:pPr>
      <w:r>
        <w:rPr>
          <w:b/>
        </w:rPr>
        <w:t xml:space="preserve">Elderly Without Close Relatives:</w:t>
      </w:r>
    </w:p>
    <w:p>
      <w:pPr>
        <w:numPr>
          <w:ilvl w:val="0"/>
          <w:numId w:val="7"/>
        </w:numPr>
        <w:spacing w:lineRule="auto"/>
      </w:pPr>
      <w:r>
        <w:rPr/>
        <w:t xml:space="preserve">2024: 2.86 million individuals (65+) with no relatives up to third degree</w:t>
      </w:r>
    </w:p>
    <w:p>
      <w:pPr>
        <w:numPr>
          <w:ilvl w:val="0"/>
          <w:numId w:val="7"/>
        </w:numPr>
        <w:spacing w:lineRule="auto"/>
      </w:pPr>
      <w:r>
        <w:rPr/>
        <w:t xml:space="preserve">2050: 4.48 million (projected)</w:t>
      </w:r>
    </w:p>
    <w:p>
      <w:pPr>
        <w:numPr>
          <w:ilvl w:val="0"/>
          <w:numId w:val="7"/>
        </w:numPr>
        <w:spacing w:lineRule="auto"/>
      </w:pPr>
      <w:r>
        <w:rPr/>
        <w:t xml:space="preserve">Growth: +56.6%</w:t>
      </w:r>
    </w:p>
    <w:p>
      <w:pPr>
        <w:spacing w:after="210" w:lineRule="auto"/>
      </w:pPr>
      <w:r>
        <w:rPr/>
        <w:t xml:space="preserve">Additionally, 10.32 million elderly will have no children by 2050, up from 4.59 million in 2024[6]. This demographic segment increasingly relies on commercialized care services, presenting market opportunities in institutional care, technology-enabled monitoring, and financial planning services.</w:t>
      </w:r>
    </w:p>
    <w:p>
      <w:pPr>
        <w:spacing w:after="210" w:lineRule="auto"/>
      </w:pPr>
      <w:r>
        <w:rPr>
          <w:b/>
        </w:rPr>
        <w:t xml:space="preserve">Multi-Generational Household Decline:</w:t>
      </w:r>
      <w:r>
        <w:rPr/>
        <w:br w:type="textWrapping"/>
      </w:r>
      <w:r>
        <w:rPr/>
        <w:t xml:space="preserve">Traditional multi-generational living arrangements continue declining. The shift toward nuclear and single-person households reduces informal care capacity, accelerating demand for paid care services and assistive technology.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part_2_consumption_analysis_by_pr_a62b74"/>
      <w:r>
        <w:rPr>
          <w:b/>
          <w:sz w:val="42"/>
        </w:rPr>
        <w:t xml:space="preserve">Part 2: Consumption Analysis by Primary Sectors</w:t>
      </w:r>
      <w:bookmarkEnd w:id="6"/>
    </w:p>
    <w:p>
      <w:pPr>
        <w:spacing w:line="271" w:before="240" w:lineRule="auto"/>
      </w:pPr>
      <w:bookmarkStart w:id="7" w:name="bm_2_1_clothing_market"/>
      <w:r>
        <w:rPr>
          <w:b/>
          <w:sz w:val="33"/>
        </w:rPr>
        <w:t xml:space="preserve">2.1 Clothing Market</w:t>
      </w:r>
      <w:bookmarkEnd w:id="7"/>
    </w:p>
    <w:p>
      <w:pPr>
        <w:spacing w:line="271" w:before="240" w:lineRule="auto"/>
      </w:pPr>
      <w:bookmarkStart w:id="8" w:name="current_status_and_spending_patterns"/>
      <w:r>
        <w:rPr>
          <w:b/>
          <w:sz w:val="28"/>
        </w:rPr>
        <w:t xml:space="preserve">Current Status and Spending Patterns</w:t>
      </w:r>
      <w:bookmarkEnd w:id="8"/>
    </w:p>
    <w:p>
      <w:pPr>
        <w:spacing w:after="210" w:lineRule="auto"/>
      </w:pPr>
      <w:r>
        <w:rPr>
          <w:rFonts w:eastAsia="Georgia" w:cs="Georgia" w:ascii="Georgia" w:hAnsi="Georgia"/>
        </w:rPr>
        <w:t xml:space="preserve">Clothing represents one of the lowest-priority expenditure categories for elderly consumers in Japan. According to household survey data, elderly males aged 70+ spend ¥3,277 per month on clothing and footwear, compared to ¥5,305 for younger cohorts—a 38% reduction[7]. Female elderly similarly allocate ¥6,999 monthly, compared to ¥9,107 for younger women, a 23% reduction.</w:t>
      </w:r>
    </w:p>
    <w:p>
      <w:pPr>
        <w:spacing w:after="210" w:lineRule="auto"/>
      </w:pPr>
      <w:r>
        <w:rPr/>
        <w:t xml:space="preserve">The Japan Elderly Clothing Market was valued at approximately USD 378 million in 2024, with projections to reach USD 653 million by 2033, representing a CAGR of 8.2%[8]. However, growth trajectory may accelerate beyond 2033 due to several emerging factors:</w:t>
      </w:r>
    </w:p>
    <w:p>
      <w:pPr>
        <w:numPr>
          <w:ilvl w:val="0"/>
          <w:numId w:val="8"/>
        </w:numPr>
        <w:spacing w:lineRule="auto"/>
      </w:pPr>
      <w:r>
        <w:rPr>
          <w:b/>
        </w:rPr>
        <w:t xml:space="preserve">Technological advancement in textiles</w:t>
      </w:r>
      <w:r>
        <w:rPr/>
        <w:t xml:space="preserve">: Development of breathable, adaptive, and anti-slip fabrics specifically designed for elderly mobility and comfort needs</w:t>
      </w:r>
    </w:p>
    <w:p>
      <w:pPr>
        <w:numPr>
          <w:ilvl w:val="0"/>
          <w:numId w:val="8"/>
        </w:numPr>
        <w:spacing w:lineRule="auto"/>
      </w:pPr>
      <w:r>
        <w:rPr>
          <w:b/>
        </w:rPr>
        <w:t xml:space="preserve">Functional clothing demand</w:t>
      </w:r>
      <w:r>
        <w:rPr/>
        <w:t xml:space="preserve">: Growing popularity of adaptive apparel for individuals with reduced mobility or cognitive limitations</w:t>
      </w:r>
    </w:p>
    <w:p>
      <w:pPr>
        <w:numPr>
          <w:ilvl w:val="0"/>
          <w:numId w:val="8"/>
        </w:numPr>
        <w:spacing w:lineRule="auto"/>
      </w:pPr>
      <w:r>
        <w:rPr>
          <w:b/>
        </w:rPr>
        <w:t xml:space="preserve">Online retail expansion</w:t>
      </w:r>
      <w:r>
        <w:rPr/>
        <w:t xml:space="preserve">: E-commerce adoption among elderly (growing from 12% to 25%+ of elderly in 2023-2024) improves accessibility</w:t>
      </w:r>
    </w:p>
    <w:p>
      <w:pPr>
        <w:spacing w:line="271" w:before="240" w:lineRule="auto"/>
      </w:pPr>
      <w:bookmarkStart w:id="9" w:name="elderly_specific_characteristics"/>
      <w:r>
        <w:rPr>
          <w:b/>
          <w:sz w:val="28"/>
        </w:rPr>
        <w:t xml:space="preserve">Elderly-Specific Characteristics</w:t>
      </w:r>
      <w:bookmarkEnd w:id="9"/>
    </w:p>
    <w:p>
      <w:pPr>
        <w:numPr>
          <w:ilvl w:val="0"/>
          <w:numId w:val="9"/>
        </w:numPr>
        <w:spacing w:lineRule="auto"/>
      </w:pPr>
      <w:r>
        <w:rPr>
          <w:b/>
        </w:rPr>
        <w:t xml:space="preserve">Lower fashion sensitivity</w:t>
      </w:r>
      <w:r>
        <w:rPr/>
        <w:t xml:space="preserve">: Elderly prioritize comfort, durability, and ease of wearing over trend-driven fashion</w:t>
      </w:r>
    </w:p>
    <w:p>
      <w:pPr>
        <w:numPr>
          <w:ilvl w:val="0"/>
          <w:numId w:val="9"/>
        </w:numPr>
        <w:spacing w:lineRule="auto"/>
      </w:pPr>
      <w:r>
        <w:rPr>
          <w:b/>
        </w:rPr>
        <w:t xml:space="preserve">Preference for traditional styles</w:t>
      </w:r>
      <w:r>
        <w:rPr/>
        <w:t xml:space="preserve">: Many elderly females maintain strong preferences for moderate, conservative styles; males show minimal clothing expenditure variation by season</w:t>
      </w:r>
    </w:p>
    <w:p>
      <w:pPr>
        <w:numPr>
          <w:ilvl w:val="0"/>
          <w:numId w:val="9"/>
        </w:numPr>
        <w:spacing w:lineRule="auto"/>
      </w:pPr>
      <w:r>
        <w:rPr>
          <w:b/>
        </w:rPr>
        <w:t xml:space="preserve">Functional requirements</w:t>
      </w:r>
      <w:r>
        <w:rPr/>
        <w:t xml:space="preserve">: Increasing demand for easy-to-wear garments, slip-resistant footwear, and temperature-regulating fabrics</w:t>
      </w:r>
    </w:p>
    <w:p>
      <w:pPr>
        <w:numPr>
          <w:ilvl w:val="0"/>
          <w:numId w:val="9"/>
        </w:numPr>
        <w:spacing w:lineRule="auto"/>
      </w:pPr>
      <w:r>
        <w:rPr>
          <w:b/>
        </w:rPr>
        <w:t xml:space="preserve">Quality over quantity</w:t>
      </w:r>
      <w:r>
        <w:rPr/>
        <w:t xml:space="preserve">: Willingness to invest in durable, well-made items rather than frequent wardrobe replacements</w:t>
      </w:r>
    </w:p>
    <w:p>
      <w:pPr>
        <w:numPr>
          <w:ilvl w:val="0"/>
          <w:numId w:val="9"/>
        </w:numPr>
        <w:spacing w:lineRule="auto"/>
      </w:pPr>
      <w:r>
        <w:rPr>
          <w:b/>
        </w:rPr>
        <w:t xml:space="preserve">Care convenience</w:t>
      </w:r>
      <w:r>
        <w:rPr/>
        <w:t xml:space="preserve">: Growing interest in low-maintenance fabrics and styles suitable for care facilities</w:t>
      </w:r>
    </w:p>
    <w:p>
      <w:pPr>
        <w:spacing w:line="271" w:before="240" w:lineRule="auto"/>
      </w:pPr>
      <w:bookmarkStart w:id="10" w:name="market_segmentation_and_opportunities"/>
      <w:r>
        <w:rPr>
          <w:b/>
          <w:sz w:val="28"/>
        </w:rPr>
        <w:t xml:space="preserve">Market Segmentation and Opportunities</w:t>
      </w:r>
      <w:bookmarkEnd w:id="10"/>
    </w:p>
    <w:p>
      <w:pPr>
        <w:spacing w:after="210" w:lineRule="auto"/>
      </w:pPr>
      <w:r>
        <w:rPr>
          <w:b/>
        </w:rPr>
        <w:t xml:space="preserve">Adaptive Clothing (Fastest Growth):</w:t>
      </w:r>
    </w:p>
    <w:p>
      <w:pPr>
        <w:numPr>
          <w:ilvl w:val="0"/>
          <w:numId w:val="10"/>
        </w:numPr>
        <w:spacing w:lineRule="auto"/>
      </w:pPr>
      <w:r>
        <w:rPr/>
        <w:t xml:space="preserve">Estimated 15-20% CAGR through 2035</w:t>
      </w:r>
    </w:p>
    <w:p>
      <w:pPr>
        <w:numPr>
          <w:ilvl w:val="0"/>
          <w:numId w:val="10"/>
        </w:numPr>
        <w:spacing w:lineRule="auto"/>
      </w:pPr>
      <w:r>
        <w:rPr/>
        <w:t xml:space="preserve">Products: Easy-to-don garments for mobility-limited individuals, magnetic closures, reinforced seams for caregivers assisting with dressing</w:t>
      </w:r>
    </w:p>
    <w:p>
      <w:pPr>
        <w:numPr>
          <w:ilvl w:val="0"/>
          <w:numId w:val="10"/>
        </w:numPr>
        <w:spacing w:lineRule="auto"/>
      </w:pPr>
      <w:r>
        <w:rPr/>
        <w:t xml:space="preserve">Target: 85+ cohort and those in long-term care</w:t>
      </w:r>
    </w:p>
    <w:p>
      <w:pPr>
        <w:spacing w:after="210" w:lineRule="auto"/>
      </w:pPr>
      <w:r>
        <w:rPr>
          <w:b/>
        </w:rPr>
        <w:t xml:space="preserve">Comfort and Functional Wear:</w:t>
      </w:r>
    </w:p>
    <w:p>
      <w:pPr>
        <w:numPr>
          <w:ilvl w:val="0"/>
          <w:numId w:val="11"/>
        </w:numPr>
        <w:spacing w:lineRule="auto"/>
      </w:pPr>
      <w:r>
        <w:rPr/>
        <w:t xml:space="preserve">Estimated 8-12% CAGR</w:t>
      </w:r>
    </w:p>
    <w:p>
      <w:pPr>
        <w:numPr>
          <w:ilvl w:val="0"/>
          <w:numId w:val="11"/>
        </w:numPr>
        <w:spacing w:lineRule="auto"/>
      </w:pPr>
      <w:r>
        <w:rPr/>
        <w:t xml:space="preserve">Products: Moisture-wicking, temperature-regulating materials; lightweight but warm layers; compression socks</w:t>
      </w:r>
    </w:p>
    <w:p>
      <w:pPr>
        <w:numPr>
          <w:ilvl w:val="0"/>
          <w:numId w:val="11"/>
        </w:numPr>
        <w:spacing w:lineRule="auto"/>
      </w:pPr>
      <w:r>
        <w:rPr/>
        <w:t xml:space="preserve">Target: Active elderly (65-75) and those managing chronic conditions</w:t>
      </w:r>
    </w:p>
    <w:p>
      <w:pPr>
        <w:spacing w:after="210" w:lineRule="auto"/>
      </w:pPr>
      <w:r>
        <w:rPr>
          <w:b/>
        </w:rPr>
        <w:t xml:space="preserve">Senior Fashion (Emerging):</w:t>
      </w:r>
    </w:p>
    <w:p>
      <w:pPr>
        <w:numPr>
          <w:ilvl w:val="0"/>
          <w:numId w:val="12"/>
        </w:numPr>
        <w:spacing w:lineRule="auto"/>
      </w:pPr>
      <w:r>
        <w:rPr/>
        <w:t xml:space="preserve">Estimated 12-18% CAGR</w:t>
      </w:r>
    </w:p>
    <w:p>
      <w:pPr>
        <w:numPr>
          <w:ilvl w:val="0"/>
          <w:numId w:val="12"/>
        </w:numPr>
        <w:spacing w:lineRule="auto"/>
      </w:pPr>
      <w:r>
        <w:rPr/>
        <w:t xml:space="preserve">Growth driven by more affluent, digitally-connected elderly preferring stylish yet functional options</w:t>
      </w:r>
    </w:p>
    <w:p>
      <w:pPr>
        <w:numPr>
          <w:ilvl w:val="0"/>
          <w:numId w:val="12"/>
        </w:numPr>
        <w:spacing w:lineRule="auto"/>
      </w:pPr>
      <w:r>
        <w:rPr/>
        <w:t xml:space="preserve">Major retailers (AEON, Uniqlo) expanding senior-focused product lines and store designs</w:t>
      </w:r>
    </w:p>
    <w:p>
      <w:pPr>
        <w:spacing w:line="271" w:before="240" w:lineRule="auto"/>
      </w:pPr>
      <w:bookmarkStart w:id="11" w:name="market_size_estimation"/>
      <w:r>
        <w:rPr>
          <w:b/>
          <w:sz w:val="28"/>
        </w:rPr>
        <w:t xml:space="preserve">Market Size Estimation</w:t>
      </w:r>
      <w:bookmarkEnd w:id="11"/>
    </w:p>
    <w:p>
      <w:pPr>
        <w:spacing w:after="210" w:lineRule="auto"/>
      </w:pPr>
      <w:r>
        <w:rPr>
          <w:b/>
        </w:rPr>
        <w:t xml:space="preserve">2020:</w:t>
      </w:r>
      <w:r>
        <w:rPr>
          <w:rFonts w:eastAsia="Georgia" w:cs="Georgia" w:ascii="Georgia" w:hAnsi="Georgia"/>
        </w:rPr>
        <w:t xml:space="preserve"> ¥35-40 billion (USD 315-360 million)</w:t>
      </w:r>
      <w:r>
        <w:rPr/>
        <w:br w:type="textWrapping"/>
      </w:r>
      <w:r>
        <w:rPr>
          <w:b/>
        </w:rPr>
        <w:t xml:space="preserve">2030:</w:t>
      </w:r>
      <w:r>
        <w:rPr>
          <w:rFonts w:eastAsia="Georgia" w:cs="Georgia" w:ascii="Georgia" w:hAnsi="Georgia"/>
        </w:rPr>
        <w:t xml:space="preserve"> ¥60-70 billion (USD 540-630 million)</w:t>
      </w:r>
      <w:r>
        <w:rPr/>
        <w:br w:type="textWrapping"/>
      </w:r>
      <w:r>
        <w:rPr>
          <w:b/>
        </w:rPr>
        <w:t xml:space="preserve">2050:</w:t>
      </w:r>
      <w:r>
        <w:rPr>
          <w:rFonts w:eastAsia="Georgia" w:cs="Georgia" w:ascii="Georgia" w:hAnsi="Georgia"/>
        </w:rPr>
        <w:t xml:space="preserve"> ¥85-100 billion (USD 765-900 million)</w:t>
      </w:r>
    </w:p>
    <w:p>
      <w:pPr>
        <w:spacing w:after="210" w:lineRule="auto"/>
      </w:pPr>
      <w:r>
        <w:rPr/>
        <w:t xml:space="preserve">Growth moderately outpaces population growth due to increasing per-capita spending on functional and adaptive clothing, offset by declining overall fashion expenditure share among increasingly older cohorts.</w:t>
      </w:r>
    </w:p>
    <w:p>
      <w:pPr>
        <w:spacing w:line="271" w:before="240" w:lineRule="auto"/>
      </w:pPr>
      <w:bookmarkStart w:id="12" w:name="bm_2_2_food_and_beverage_market"/>
      <w:r>
        <w:rPr>
          <w:b/>
          <w:sz w:val="33"/>
        </w:rPr>
        <w:t xml:space="preserve">2.2 Food and Beverage Market</w:t>
      </w:r>
      <w:bookmarkEnd w:id="12"/>
    </w:p>
    <w:p>
      <w:pPr>
        <w:spacing w:line="271" w:before="240" w:lineRule="auto"/>
      </w:pPr>
      <w:bookmarkStart w:id="13" w:name="current_status_and_consumption_patterns"/>
      <w:r>
        <w:rPr>
          <w:b/>
          <w:sz w:val="28"/>
        </w:rPr>
        <w:t xml:space="preserve">Current Status and Consumption Patterns</w:t>
      </w:r>
      <w:bookmarkEnd w:id="13"/>
    </w:p>
    <w:p>
      <w:pPr>
        <w:spacing w:after="210" w:lineRule="auto"/>
      </w:pPr>
      <w:r>
        <w:rPr>
          <w:rFonts w:eastAsia="Georgia" w:cs="Georgia" w:ascii="Georgia" w:hAnsi="Georgia"/>
        </w:rPr>
        <w:t xml:space="preserve">Food represents the largest consumption category for elderly households. Single elderly males aged 70+ spend ¥37,012 monthly on food; elderly females spend ¥33,170, compared to younger cohorts at ¥37,167 and ¥27,100 respectively[7]. This indicates that absolute food spending remains high and relatively stable with aging—the Engel's coefficient (share of food in total consumption) increases significantly for elderly.</w:t>
      </w:r>
    </w:p>
    <w:p>
      <w:pPr>
        <w:spacing w:after="210" w:lineRule="auto"/>
      </w:pPr>
      <w:r>
        <w:rPr>
          <w:rFonts w:eastAsia="Georgia" w:cs="Georgia" w:ascii="Georgia" w:hAnsi="Georgia"/>
        </w:rPr>
        <w:t xml:space="preserve">The Japan Elderly Nutrition Market was valued at USD 93.67 million in 2024, with projections to reach USD 169.76 million by 2033 (CAGR 6.83%)[9]. However, total food consumption (including fresh produce, prepared meals, dining out) likely exceeds ¥8-9 trillion annually when all elderly segments are considered.</w:t>
      </w:r>
    </w:p>
    <w:p>
      <w:pPr>
        <w:spacing w:line="271" w:before="240" w:lineRule="auto"/>
      </w:pPr>
      <w:bookmarkStart w:id="14" w:name="elderly_specific_consumption_char_6fd02f"/>
      <w:r>
        <w:rPr>
          <w:b/>
          <w:sz w:val="28"/>
        </w:rPr>
        <w:t xml:space="preserve">Elderly-Specific Consumption Characteristics</w:t>
      </w:r>
      <w:bookmarkEnd w:id="14"/>
    </w:p>
    <w:p>
      <w:pPr>
        <w:spacing w:after="210" w:lineRule="auto"/>
      </w:pPr>
      <w:r>
        <w:rPr>
          <w:b/>
        </w:rPr>
        <w:t xml:space="preserve">Food Preferences:</w:t>
      </w:r>
    </w:p>
    <w:p>
      <w:pPr>
        <w:numPr>
          <w:ilvl w:val="0"/>
          <w:numId w:val="13"/>
        </w:numPr>
        <w:spacing w:lineRule="auto"/>
      </w:pPr>
      <w:r>
        <w:rPr/>
        <w:t xml:space="preserve">Strong preference for fresh fish, fresh vegetables, and fresh fruits over processed alternatives</w:t>
      </w:r>
    </w:p>
    <w:p>
      <w:pPr>
        <w:numPr>
          <w:ilvl w:val="0"/>
          <w:numId w:val="13"/>
        </w:numPr>
        <w:spacing w:lineRule="auto"/>
      </w:pPr>
      <w:r>
        <w:rPr>
          <w:rFonts w:eastAsia="Georgia" w:cs="Georgia" w:ascii="Georgia" w:hAnsi="Georgia"/>
        </w:rPr>
        <w:t xml:space="preserve">Significantly lower spending on eating out (young singles: ¥65,300/year; elderly: lower propensity)</w:t>
      </w:r>
    </w:p>
    <w:p>
      <w:pPr>
        <w:numPr>
          <w:ilvl w:val="0"/>
          <w:numId w:val="13"/>
        </w:numPr>
        <w:spacing w:lineRule="auto"/>
      </w:pPr>
      <w:r>
        <w:rPr/>
        <w:t xml:space="preserve">Cultural attachment to traditional Japanese cuisine with home preparation as primary practice</w:t>
      </w:r>
    </w:p>
    <w:p>
      <w:pPr>
        <w:numPr>
          <w:ilvl w:val="0"/>
          <w:numId w:val="13"/>
        </w:numPr>
        <w:spacing w:lineRule="auto"/>
      </w:pPr>
      <w:r>
        <w:rPr/>
        <w:t xml:space="preserve">Increasing adoption of convenience foods and meal-delivery services due to declining cooking capacity</w:t>
      </w:r>
    </w:p>
    <w:p>
      <w:pPr>
        <w:spacing w:after="210" w:lineRule="auto"/>
      </w:pPr>
      <w:r>
        <w:rPr>
          <w:b/>
        </w:rPr>
        <w:t xml:space="preserve">Health-Driven Segmentation:</w:t>
      </w:r>
    </w:p>
    <w:p>
      <w:pPr>
        <w:numPr>
          <w:ilvl w:val="0"/>
          <w:numId w:val="14"/>
        </w:numPr>
        <w:spacing w:lineRule="auto"/>
      </w:pPr>
      <w:r>
        <w:rPr>
          <w:b/>
        </w:rPr>
        <w:t xml:space="preserve">Functional Foods</w:t>
      </w:r>
      <w:r>
        <w:rPr/>
        <w:t xml:space="preserve"> (fastest growth): Fortified with protein, omega-3, calcium, and vitamins addressing sarcopenia (muscle loss), cognitive decline, and immune support</w:t>
      </w:r>
    </w:p>
    <w:p>
      <w:pPr>
        <w:numPr>
          <w:ilvl w:val="0"/>
          <w:numId w:val="14"/>
        </w:numPr>
        <w:spacing w:lineRule="auto"/>
      </w:pPr>
      <w:r>
        <w:rPr>
          <w:b/>
        </w:rPr>
        <w:t xml:space="preserve">Easy-to-consume Formats</w:t>
      </w:r>
      <w:r>
        <w:rPr/>
        <w:t xml:space="preserve">: Soft foods, ready-to-drink shakes, texture-modified meals for those with dysphagia (swallowing difficulty)</w:t>
      </w:r>
    </w:p>
    <w:p>
      <w:pPr>
        <w:numPr>
          <w:ilvl w:val="0"/>
          <w:numId w:val="14"/>
        </w:numPr>
        <w:spacing w:lineRule="auto"/>
      </w:pPr>
      <w:r>
        <w:rPr>
          <w:b/>
        </w:rPr>
        <w:t xml:space="preserve">Reduced-Sodium/Sugar Options</w:t>
      </w:r>
      <w:r>
        <w:rPr/>
        <w:t xml:space="preserve">: Growing health consciousness among active elderly managing hypertension and diabetes</w:t>
      </w:r>
    </w:p>
    <w:p>
      <w:pPr>
        <w:numPr>
          <w:ilvl w:val="0"/>
          <w:numId w:val="14"/>
        </w:numPr>
        <w:spacing w:lineRule="auto"/>
      </w:pPr>
      <w:r>
        <w:rPr>
          <w:b/>
        </w:rPr>
        <w:t xml:space="preserve">Plant-Based Nutrition</w:t>
      </w:r>
      <w:r>
        <w:rPr/>
        <w:t xml:space="preserve">: Traditional Japanese ingredients (soy, seaweed, miso) repositioned as functional foods</w:t>
      </w:r>
    </w:p>
    <w:p>
      <w:pPr>
        <w:spacing w:line="271" w:before="240" w:lineRule="auto"/>
      </w:pPr>
      <w:bookmarkStart w:id="15" w:name="market_segmentation"/>
      <w:r>
        <w:rPr>
          <w:b/>
          <w:sz w:val="28"/>
        </w:rPr>
        <w:t xml:space="preserve">Market Segmentation</w:t>
      </w:r>
      <w:bookmarkEnd w:id="15"/>
    </w:p>
    <w:p>
      <w:pPr>
        <w:spacing w:after="210" w:lineRule="auto"/>
      </w:pPr>
      <w:r>
        <w:rPr>
          <w:b/>
        </w:rPr>
        <w:t xml:space="preserve">Staple Food Consumption (Base Market):</w:t>
      </w:r>
    </w:p>
    <w:p>
      <w:pPr>
        <w:numPr>
          <w:ilvl w:val="0"/>
          <w:numId w:val="15"/>
        </w:numPr>
        <w:spacing w:lineRule="auto"/>
      </w:pPr>
      <w:r>
        <w:rPr>
          <w:rFonts w:eastAsia="Georgia" w:cs="Georgia" w:ascii="Georgia" w:hAnsi="Georgia"/>
        </w:rPr>
        <w:t xml:space="preserve">Projected ¥9-10 trillion annually by 2030 (from ~¥8-9 trillion in 2020)</w:t>
      </w:r>
    </w:p>
    <w:p>
      <w:pPr>
        <w:numPr>
          <w:ilvl w:val="0"/>
          <w:numId w:val="15"/>
        </w:numPr>
        <w:spacing w:lineRule="auto"/>
      </w:pPr>
      <w:r>
        <w:rPr/>
        <w:t xml:space="preserve">Modest growth reflecting stable consumption volumes despite population shifts</w:t>
      </w:r>
    </w:p>
    <w:p>
      <w:pPr>
        <w:numPr>
          <w:ilvl w:val="0"/>
          <w:numId w:val="15"/>
        </w:numPr>
        <w:spacing w:lineRule="auto"/>
      </w:pPr>
      <w:r>
        <w:rPr/>
        <w:t xml:space="preserve">Slight per-capita increase driven by premium fresh produce preferences among affluent elderly</w:t>
      </w:r>
    </w:p>
    <w:p>
      <w:pPr>
        <w:spacing w:after="210" w:lineRule="auto"/>
      </w:pPr>
      <w:r>
        <w:rPr>
          <w:b/>
        </w:rPr>
        <w:t xml:space="preserve">Functional Foods and Supplements (Growth Segment):</w:t>
      </w:r>
    </w:p>
    <w:p>
      <w:pPr>
        <w:numPr>
          <w:ilvl w:val="0"/>
          <w:numId w:val="16"/>
        </w:numPr>
        <w:spacing w:lineRule="auto"/>
      </w:pPr>
      <w:r>
        <w:rPr/>
        <w:t xml:space="preserve">2024: USD 93.67 million</w:t>
      </w:r>
    </w:p>
    <w:p>
      <w:pPr>
        <w:numPr>
          <w:ilvl w:val="0"/>
          <w:numId w:val="16"/>
        </w:numPr>
        <w:spacing w:lineRule="auto"/>
      </w:pPr>
      <w:r>
        <w:rPr/>
        <w:t xml:space="preserve">2033: USD 169.76 million (CAGR 6.83%)</w:t>
      </w:r>
    </w:p>
    <w:p>
      <w:pPr>
        <w:numPr>
          <w:ilvl w:val="0"/>
          <w:numId w:val="16"/>
        </w:numPr>
        <w:spacing w:lineRule="auto"/>
      </w:pPr>
      <w:r>
        <w:rPr/>
        <w:t xml:space="preserve">Products: Protein fortified foods, cognitive-support supplements, joint-health beverages</w:t>
      </w:r>
    </w:p>
    <w:p>
      <w:pPr>
        <w:numPr>
          <w:ilvl w:val="0"/>
          <w:numId w:val="16"/>
        </w:numPr>
        <w:spacing w:lineRule="auto"/>
      </w:pPr>
      <w:r>
        <w:rPr/>
        <w:t xml:space="preserve">Driver: Aging population, increased health awareness, physician recommendations in institutional settings</w:t>
      </w:r>
    </w:p>
    <w:p>
      <w:pPr>
        <w:spacing w:after="210" w:lineRule="auto"/>
      </w:pPr>
      <w:r>
        <w:rPr>
          <w:b/>
        </w:rPr>
        <w:t xml:space="preserve">Meal Delivery and Care Facility Foods (Emerging):</w:t>
      </w:r>
    </w:p>
    <w:p>
      <w:pPr>
        <w:numPr>
          <w:ilvl w:val="0"/>
          <w:numId w:val="17"/>
        </w:numPr>
        <w:spacing w:lineRule="auto"/>
      </w:pPr>
      <w:r>
        <w:rPr/>
        <w:t xml:space="preserve">Long-term care facilities and in-home meal services represent fastest-growing segment</w:t>
      </w:r>
    </w:p>
    <w:p>
      <w:pPr>
        <w:numPr>
          <w:ilvl w:val="0"/>
          <w:numId w:val="17"/>
        </w:numPr>
        <w:spacing w:lineRule="auto"/>
      </w:pPr>
      <w:r>
        <w:rPr/>
        <w:t xml:space="preserve">Estimated 8-12% CAGR through 2040</w:t>
      </w:r>
    </w:p>
    <w:p>
      <w:pPr>
        <w:numPr>
          <w:ilvl w:val="0"/>
          <w:numId w:val="17"/>
        </w:numPr>
        <w:spacing w:lineRule="auto"/>
      </w:pPr>
      <w:r>
        <w:rPr/>
        <w:t xml:space="preserve">Drivers: Increasing single elderly, reduced family caregiving capacity, preference for professionally-managed nutrition</w:t>
      </w:r>
    </w:p>
    <w:p>
      <w:pPr>
        <w:numPr>
          <w:ilvl w:val="0"/>
          <w:numId w:val="17"/>
        </w:numPr>
        <w:spacing w:lineRule="auto"/>
      </w:pPr>
      <w:r>
        <w:rPr>
          <w:rFonts w:eastAsia="Georgia" w:cs="Georgia" w:ascii="Georgia" w:hAnsi="Georgia"/>
        </w:rPr>
        <w:t xml:space="preserve">Market size 2024: ~¥150-200 billion; 2050 projection: ¥500+ billion</w:t>
      </w:r>
    </w:p>
    <w:p>
      <w:pPr>
        <w:spacing w:after="210" w:lineRule="auto"/>
      </w:pPr>
      <w:r>
        <w:rPr>
          <w:b/>
        </w:rPr>
        <w:t xml:space="preserve">Dining Out and Social Eating:</w:t>
      </w:r>
    </w:p>
    <w:p>
      <w:pPr>
        <w:numPr>
          <w:ilvl w:val="0"/>
          <w:numId w:val="18"/>
        </w:numPr>
        <w:spacing w:lineRule="auto"/>
      </w:pPr>
      <w:r>
        <w:rPr/>
        <w:t xml:space="preserve">Modest growth in restaurants specializing in elderly-friendly menus</w:t>
      </w:r>
    </w:p>
    <w:p>
      <w:pPr>
        <w:numPr>
          <w:ilvl w:val="0"/>
          <w:numId w:val="18"/>
        </w:numPr>
        <w:spacing w:lineRule="auto"/>
      </w:pPr>
      <w:r>
        <w:rPr/>
        <w:t xml:space="preserve">Growth in onsen (hot spring) tourism bundles including meal services</w:t>
      </w:r>
    </w:p>
    <w:p>
      <w:pPr>
        <w:numPr>
          <w:ilvl w:val="0"/>
          <w:numId w:val="18"/>
        </w:numPr>
        <w:spacing w:lineRule="auto"/>
      </w:pPr>
      <w:r>
        <w:rPr/>
        <w:t xml:space="preserve">Senior-focused restaurant concepts emerging in major cities</w:t>
      </w:r>
    </w:p>
    <w:p>
      <w:pPr>
        <w:spacing w:line="271" w:before="240" w:lineRule="auto"/>
      </w:pPr>
      <w:bookmarkStart w:id="16" w:name="market_size_estimation_2"/>
      <w:r>
        <w:rPr>
          <w:b/>
          <w:sz w:val="28"/>
        </w:rPr>
        <w:t xml:space="preserve">Market Size Estimation</w:t>
      </w:r>
      <w:bookmarkEnd w:id="16"/>
    </w:p>
    <w:p>
      <w:pPr>
        <w:spacing w:after="210" w:lineRule="auto"/>
      </w:pPr>
      <w:r>
        <w:rPr>
          <w:b/>
        </w:rPr>
        <w:t xml:space="preserve">Total Food and Beverage Market (Elderly):</w:t>
      </w:r>
    </w:p>
    <w:p>
      <w:pPr>
        <w:numPr>
          <w:ilvl w:val="0"/>
          <w:numId w:val="19"/>
        </w:numPr>
        <w:spacing w:lineRule="auto"/>
      </w:pPr>
      <w:r>
        <w:rPr>
          <w:b/>
        </w:rPr>
        <w:t xml:space="preserve">2020:</w:t>
      </w:r>
      <w:r>
        <w:rPr>
          <w:rFonts w:eastAsia="Georgia" w:cs="Georgia" w:ascii="Georgia" w:hAnsi="Georgia"/>
        </w:rPr>
        <w:t xml:space="preserve"> ¥9.5 trillion (including staple food, functional products, dining, care facility meals)</w:t>
      </w:r>
    </w:p>
    <w:p>
      <w:pPr>
        <w:numPr>
          <w:ilvl w:val="0"/>
          <w:numId w:val="19"/>
        </w:numPr>
        <w:spacing w:lineRule="auto"/>
      </w:pPr>
      <w:r>
        <w:rPr>
          <w:b/>
        </w:rPr>
        <w:t xml:space="preserve">2030:</w:t>
      </w:r>
      <w:r>
        <w:rPr>
          <w:rFonts w:eastAsia="Georgia" w:cs="Georgia" w:ascii="Georgia" w:hAnsi="Georgia"/>
        </w:rPr>
        <w:t xml:space="preserve"> ¥10.8 trillion</w:t>
      </w:r>
    </w:p>
    <w:p>
      <w:pPr>
        <w:numPr>
          <w:ilvl w:val="0"/>
          <w:numId w:val="19"/>
        </w:numPr>
        <w:spacing w:lineRule="auto"/>
      </w:pPr>
      <w:r>
        <w:rPr>
          <w:b/>
        </w:rPr>
        <w:t xml:space="preserve">2050:</w:t>
      </w:r>
      <w:r>
        <w:rPr>
          <w:rFonts w:eastAsia="Georgia" w:cs="Georgia" w:ascii="Georgia" w:hAnsi="Georgia"/>
        </w:rPr>
        <w:t xml:space="preserve"> ¥12.0 trillion</w:t>
      </w:r>
    </w:p>
    <w:p>
      <w:pPr>
        <w:spacing w:after="210" w:lineRule="auto"/>
      </w:pPr>
      <w:r>
        <w:rPr/>
        <w:t xml:space="preserve">Modest growth reflects combination of declining overall population/cohort size (declining 65-74 and early 75-84 cohorts by 2050) offset by premium product adoption and care facility meal services expansion. Per-capita spending increases with functional food adoption and health consciousness.</w:t>
      </w:r>
    </w:p>
    <w:p>
      <w:pPr>
        <w:spacing w:line="271" w:before="240" w:lineRule="auto"/>
      </w:pPr>
      <w:bookmarkStart w:id="17" w:name="bm_2_3_housing_market"/>
      <w:r>
        <w:rPr>
          <w:b/>
          <w:sz w:val="33"/>
        </w:rPr>
        <w:t xml:space="preserve">2.3 Housing Market</w:t>
      </w:r>
      <w:bookmarkEnd w:id="17"/>
    </w:p>
    <w:p>
      <w:pPr>
        <w:spacing w:line="271" w:before="240" w:lineRule="auto"/>
      </w:pPr>
      <w:bookmarkStart w:id="18" w:name="current_status"/>
      <w:r>
        <w:rPr>
          <w:b/>
          <w:sz w:val="28"/>
        </w:rPr>
        <w:t xml:space="preserve">Current Status</w:t>
      </w:r>
      <w:bookmarkEnd w:id="18"/>
    </w:p>
    <w:p>
      <w:pPr>
        <w:spacing w:after="210" w:lineRule="auto"/>
      </w:pPr>
      <w:r>
        <w:rPr>
          <w:rFonts w:eastAsia="Georgia" w:cs="Georgia" w:ascii="Georgia" w:hAnsi="Georgia"/>
        </w:rPr>
        <w:t xml:space="preserve">Housing represents a declining share of elderly expenditure compared to younger cohorts. Single elderly males aged 70+ spend ¥15,508 monthly on housing compared to ¥39,118 for younger males (60% reduction); elderly females spend ¥15,432 versus ¥42,447 for younger women (64% reduction)[7]. This dramatic difference primarily reflects high home ownership rates among Japanese elderly: approximately 80-85% own their homes outright, eliminating mortgage/rental expenses.</w:t>
      </w:r>
    </w:p>
    <w:p>
      <w:pPr>
        <w:spacing w:after="210" w:lineRule="auto"/>
      </w:pPr>
      <w:r>
        <w:rPr/>
        <w:t xml:space="preserve">However, housing market for elderly is undergoing significant transformation:</w:t>
      </w:r>
    </w:p>
    <w:p>
      <w:pPr>
        <w:spacing w:line="271" w:before="240" w:lineRule="auto"/>
      </w:pPr>
      <w:bookmarkStart w:id="19" w:name="elderly_specific_housing_characteristics"/>
      <w:r>
        <w:rPr>
          <w:b/>
          <w:sz w:val="28"/>
        </w:rPr>
        <w:t xml:space="preserve">Elderly-Specific Housing Characteristics</w:t>
      </w:r>
      <w:bookmarkEnd w:id="19"/>
    </w:p>
    <w:p>
      <w:pPr>
        <w:spacing w:after="210" w:lineRule="auto"/>
      </w:pPr>
      <w:r>
        <w:rPr>
          <w:b/>
        </w:rPr>
        <w:t xml:space="preserve">Home Modification and Maintenance:</w:t>
      </w:r>
    </w:p>
    <w:p>
      <w:pPr>
        <w:numPr>
          <w:ilvl w:val="0"/>
          <w:numId w:val="20"/>
        </w:numPr>
        <w:spacing w:lineRule="auto"/>
      </w:pPr>
      <w:r>
        <w:rPr/>
        <w:t xml:space="preserve">Growing expenditures on safety renovations: handrails, barrier-free designs, non-slip flooring</w:t>
      </w:r>
    </w:p>
    <w:p>
      <w:pPr>
        <w:numPr>
          <w:ilvl w:val="0"/>
          <w:numId w:val="20"/>
        </w:numPr>
        <w:spacing w:lineRule="auto"/>
      </w:pPr>
      <w:r>
        <w:rPr/>
        <w:t xml:space="preserve">Increased demand for aging-in-place modifications</w:t>
      </w:r>
    </w:p>
    <w:p>
      <w:pPr>
        <w:numPr>
          <w:ilvl w:val="0"/>
          <w:numId w:val="20"/>
        </w:numPr>
        <w:spacing w:lineRule="auto"/>
      </w:pPr>
      <w:r>
        <w:rPr/>
        <w:t xml:space="preserve">Growing reliance on professional care services within home (in-home care workers)</w:t>
      </w:r>
    </w:p>
    <w:p>
      <w:pPr>
        <w:spacing w:after="210" w:lineRule="auto"/>
      </w:pPr>
      <w:r>
        <w:rPr>
          <w:b/>
        </w:rPr>
        <w:t xml:space="preserve">Residential Care Facilities (High Growth):</w:t>
      </w:r>
    </w:p>
    <w:p>
      <w:pPr>
        <w:numPr>
          <w:ilvl w:val="0"/>
          <w:numId w:val="21"/>
        </w:numPr>
        <w:spacing w:lineRule="auto"/>
      </w:pPr>
      <w:r>
        <w:rPr/>
        <w:t xml:space="preserve">Nursing homes, assisted living, specialized dementia care facilities</w:t>
      </w:r>
    </w:p>
    <w:p>
      <w:pPr>
        <w:numPr>
          <w:ilvl w:val="0"/>
          <w:numId w:val="21"/>
        </w:numPr>
        <w:spacing w:lineRule="auto"/>
      </w:pPr>
      <w:r>
        <w:rPr/>
        <w:t xml:space="preserve">Estimated market 2024: USD 150 billion (commercialized institutional care)</w:t>
      </w:r>
    </w:p>
    <w:p>
      <w:pPr>
        <w:numPr>
          <w:ilvl w:val="0"/>
          <w:numId w:val="21"/>
        </w:numPr>
        <w:spacing w:lineRule="auto"/>
      </w:pPr>
      <w:r>
        <w:rPr/>
        <w:t xml:space="preserve">Projected 2033: USD 250 billion (CAGR 6.5%)[10]</w:t>
      </w:r>
    </w:p>
    <w:p>
      <w:pPr>
        <w:numPr>
          <w:ilvl w:val="0"/>
          <w:numId w:val="21"/>
        </w:numPr>
        <w:spacing w:lineRule="auto"/>
      </w:pPr>
      <w:r>
        <w:rPr/>
        <w:t xml:space="preserve">Drivers: Increasing single elderly (especially females), declining multi-generational living, preference for professional care</w:t>
      </w:r>
    </w:p>
    <w:p>
      <w:pPr>
        <w:spacing w:after="210" w:lineRule="auto"/>
      </w:pPr>
      <w:r>
        <w:rPr>
          <w:b/>
        </w:rPr>
        <w:t xml:space="preserve">Smart Home Technology Integration:</w:t>
      </w:r>
    </w:p>
    <w:p>
      <w:pPr>
        <w:numPr>
          <w:ilvl w:val="0"/>
          <w:numId w:val="22"/>
        </w:numPr>
        <w:spacing w:lineRule="auto"/>
      </w:pPr>
      <w:r>
        <w:rPr/>
        <w:t xml:space="preserve">IoT-enabled monitoring systems, emergency alert devices, smart appliances</w:t>
      </w:r>
    </w:p>
    <w:p>
      <w:pPr>
        <w:numPr>
          <w:ilvl w:val="0"/>
          <w:numId w:val="22"/>
        </w:numPr>
        <w:spacing w:lineRule="auto"/>
      </w:pPr>
      <w:r>
        <w:rPr/>
        <w:t xml:space="preserve">Integration of telehealth and remote monitoring into home environments</w:t>
      </w:r>
    </w:p>
    <w:p>
      <w:pPr>
        <w:numPr>
          <w:ilvl w:val="0"/>
          <w:numId w:val="22"/>
        </w:numPr>
        <w:spacing w:lineRule="auto"/>
      </w:pPr>
      <w:r>
        <w:rPr/>
        <w:t xml:space="preserve">Growing adoption among affluent elderly and their adult children</w:t>
      </w:r>
    </w:p>
    <w:p>
      <w:pPr>
        <w:spacing w:line="271" w:before="240" w:lineRule="auto"/>
      </w:pPr>
      <w:bookmarkStart w:id="20" w:name="housing_market_dynamics"/>
      <w:r>
        <w:rPr>
          <w:b/>
          <w:sz w:val="28"/>
        </w:rPr>
        <w:t xml:space="preserve">Housing Market Dynamics</w:t>
      </w:r>
      <w:bookmarkEnd w:id="20"/>
    </w:p>
    <w:p>
      <w:pPr>
        <w:spacing w:after="210" w:lineRule="auto"/>
      </w:pPr>
      <w:r>
        <w:rPr>
          <w:b/>
        </w:rPr>
        <w:t xml:space="preserve">Home Ownership and Maintenance:</w:t>
      </w:r>
    </w:p>
    <w:p>
      <w:pPr>
        <w:numPr>
          <w:ilvl w:val="0"/>
          <w:numId w:val="23"/>
        </w:numPr>
        <w:spacing w:lineRule="auto"/>
      </w:pPr>
      <w:r>
        <w:rPr>
          <w:rFonts w:eastAsia="Georgia" w:cs="Georgia" w:ascii="Georgia" w:hAnsi="Georgia"/>
        </w:rPr>
        <w:t xml:space="preserve">Estimated ¥2.0-2.5 trillion annually on home maintenance, utilities, and modification</w:t>
      </w:r>
    </w:p>
    <w:p>
      <w:pPr>
        <w:numPr>
          <w:ilvl w:val="0"/>
          <w:numId w:val="23"/>
        </w:numPr>
        <w:spacing w:lineRule="auto"/>
      </w:pPr>
      <w:r>
        <w:rPr/>
        <w:t xml:space="preserve">Growth 2020-2050: Moderate 1-2% CAGR as absolute elderly population peaks and declines</w:t>
      </w:r>
    </w:p>
    <w:p>
      <w:pPr>
        <w:numPr>
          <w:ilvl w:val="0"/>
          <w:numId w:val="23"/>
        </w:numPr>
        <w:spacing w:lineRule="auto"/>
      </w:pPr>
      <w:r>
        <w:rPr/>
        <w:t xml:space="preserve">Per-capita spending increases with aging (more maintenance needs), partially offsetting population decline</w:t>
      </w:r>
    </w:p>
    <w:p>
      <w:pPr>
        <w:spacing w:after="210" w:lineRule="auto"/>
      </w:pPr>
      <w:r>
        <w:rPr>
          <w:b/>
        </w:rPr>
        <w:t xml:space="preserve">Care Facility Market (High Growth):</w:t>
      </w:r>
    </w:p>
    <w:p>
      <w:pPr>
        <w:numPr>
          <w:ilvl w:val="0"/>
          <w:numId w:val="24"/>
        </w:numPr>
        <w:spacing w:lineRule="auto"/>
      </w:pPr>
      <w:r>
        <w:rPr>
          <w:rFonts w:eastAsia="Georgia" w:cs="Georgia" w:ascii="Georgia" w:hAnsi="Georgia"/>
        </w:rPr>
        <w:t xml:space="preserve">2024: ¥24 trillion (USD 150 billion) in institutionalized care services</w:t>
      </w:r>
    </w:p>
    <w:p>
      <w:pPr>
        <w:numPr>
          <w:ilvl w:val="0"/>
          <w:numId w:val="24"/>
        </w:numPr>
        <w:spacing w:lineRule="auto"/>
      </w:pPr>
      <w:r>
        <w:rPr>
          <w:rFonts w:eastAsia="Georgia" w:cs="Georgia" w:ascii="Georgia" w:hAnsi="Georgia"/>
        </w:rPr>
        <w:t xml:space="preserve">2033: Projected ¥40 trillion (USD 250 billion) at 6.5% CAGR</w:t>
      </w:r>
    </w:p>
    <w:p>
      <w:pPr>
        <w:numPr>
          <w:ilvl w:val="0"/>
          <w:numId w:val="24"/>
        </w:numPr>
        <w:spacing w:lineRule="auto"/>
      </w:pPr>
      <w:r>
        <w:rPr>
          <w:rFonts w:eastAsia="Georgia" w:cs="Georgia" w:ascii="Georgia" w:hAnsi="Georgia"/>
        </w:rPr>
        <w:t xml:space="preserve">Projection to 2050: ¥60-70 trillion (USD 375-440 billion)</w:t>
      </w:r>
    </w:p>
    <w:p>
      <w:pPr>
        <w:numPr>
          <w:ilvl w:val="0"/>
          <w:numId w:val="24"/>
        </w:numPr>
        <w:spacing w:lineRule="auto"/>
      </w:pPr>
      <w:r>
        <w:rPr/>
        <w:t xml:space="preserve">Drivers: Single household growth (+52.6% by 2050), without-relatives population increase (+56.6%), reduced family caregiving capacity</w:t>
      </w:r>
    </w:p>
    <w:p>
      <w:pPr>
        <w:spacing w:after="210" w:lineRule="auto"/>
      </w:pPr>
      <w:r>
        <w:rPr>
          <w:b/>
        </w:rPr>
        <w:t xml:space="preserve">Smart/Adaptive Housing Solutions:</w:t>
      </w:r>
    </w:p>
    <w:p>
      <w:pPr>
        <w:numPr>
          <w:ilvl w:val="0"/>
          <w:numId w:val="25"/>
        </w:numPr>
        <w:spacing w:lineRule="auto"/>
      </w:pPr>
      <w:r>
        <w:rPr>
          <w:rFonts w:eastAsia="Georgia" w:cs="Georgia" w:ascii="Georgia" w:hAnsi="Georgia"/>
        </w:rPr>
        <w:t xml:space="preserve">2024: ~USD 2-3 billion market size (included in digital health/assistive tech)</w:t>
      </w:r>
    </w:p>
    <w:p>
      <w:pPr>
        <w:numPr>
          <w:ilvl w:val="0"/>
          <w:numId w:val="25"/>
        </w:numPr>
        <w:spacing w:lineRule="auto"/>
      </w:pPr>
      <w:r>
        <w:rPr>
          <w:rFonts w:eastAsia="Georgia" w:cs="Georgia" w:ascii="Georgia" w:hAnsi="Georgia"/>
        </w:rPr>
        <w:t xml:space="preserve">2050 projection: ~USD 10-15 billion</w:t>
      </w:r>
    </w:p>
    <w:p>
      <w:pPr>
        <w:numPr>
          <w:ilvl w:val="0"/>
          <w:numId w:val="25"/>
        </w:numPr>
        <w:spacing w:lineRule="auto"/>
      </w:pPr>
      <w:r>
        <w:rPr/>
        <w:t xml:space="preserve">High growth sector (15-20% CAGR) driven by technology adoption and government subsidies</w:t>
      </w:r>
    </w:p>
    <w:p>
      <w:pPr>
        <w:spacing w:line="271" w:before="240" w:lineRule="auto"/>
      </w:pPr>
      <w:bookmarkStart w:id="21" w:name="market_size_estimation_3"/>
      <w:r>
        <w:rPr>
          <w:b/>
          <w:sz w:val="28"/>
        </w:rPr>
        <w:t xml:space="preserve">Market Size Estimation</w:t>
      </w:r>
      <w:bookmarkEnd w:id="21"/>
    </w:p>
    <w:p>
      <w:pPr>
        <w:spacing w:after="210" w:lineRule="auto"/>
      </w:pPr>
      <w:r>
        <w:rPr>
          <w:b/>
        </w:rPr>
        <w:t xml:space="preserve">Total Housing Market (Elderly):</w:t>
      </w:r>
    </w:p>
    <w:p>
      <w:pPr>
        <w:numPr>
          <w:ilvl w:val="0"/>
          <w:numId w:val="26"/>
        </w:numPr>
        <w:spacing w:lineRule="auto"/>
      </w:pPr>
      <w:r>
        <w:rPr>
          <w:b/>
        </w:rPr>
        <w:t xml:space="preserve">2020:</w:t>
      </w:r>
      <w:r>
        <w:rPr>
          <w:rFonts w:eastAsia="Georgia" w:cs="Georgia" w:ascii="Georgia" w:hAnsi="Georgia"/>
        </w:rPr>
        <w:t xml:space="preserve"> ¥2.3 trillion (excluding institutional care)</w:t>
      </w:r>
    </w:p>
    <w:p>
      <w:pPr>
        <w:numPr>
          <w:ilvl w:val="0"/>
          <w:numId w:val="26"/>
        </w:numPr>
        <w:spacing w:lineRule="auto"/>
      </w:pPr>
      <w:r>
        <w:rPr>
          <w:b/>
        </w:rPr>
        <w:t xml:space="preserve">2030:</w:t>
      </w:r>
      <w:r>
        <w:rPr>
          <w:rFonts w:eastAsia="Georgia" w:cs="Georgia" w:ascii="Georgia" w:hAnsi="Georgia"/>
        </w:rPr>
        <w:t xml:space="preserve"> ¥3.2 trillion (growing institutional care)</w:t>
      </w:r>
    </w:p>
    <w:p>
      <w:pPr>
        <w:numPr>
          <w:ilvl w:val="0"/>
          <w:numId w:val="26"/>
        </w:numPr>
        <w:spacing w:lineRule="auto"/>
      </w:pPr>
      <w:r>
        <w:rPr>
          <w:b/>
        </w:rPr>
        <w:t xml:space="preserve">2050:</w:t>
      </w:r>
      <w:r>
        <w:rPr>
          <w:rFonts w:eastAsia="Georgia" w:cs="Georgia" w:ascii="Georgia" w:hAnsi="Georgia"/>
        </w:rPr>
        <w:t xml:space="preserve"> ¥4.5 trillion (including ¥60-70 trillion for care facilities)</w:t>
      </w:r>
    </w:p>
    <w:p>
      <w:pPr>
        <w:spacing w:after="210" w:lineRule="auto"/>
      </w:pPr>
      <w:r>
        <w:rPr/>
        <w:t xml:space="preserve">When institutionalized care is included separately as a distinct market category (detailed in healthcare/long-term care section), residential housing remains modest growth. However, care facility housing represents a transformational market opportunity with 6-8% annual growth through 2050.</w:t>
      </w:r>
    </w:p>
    <w:p>
      <w:pPr>
        <w:spacing w:line="271" w:before="240" w:lineRule="auto"/>
      </w:pPr>
      <w:bookmarkStart w:id="22" w:name="bm_2_4_transportation_market"/>
      <w:r>
        <w:rPr>
          <w:b/>
          <w:sz w:val="33"/>
        </w:rPr>
        <w:t xml:space="preserve">2.4 Transportation Market</w:t>
      </w:r>
      <w:bookmarkEnd w:id="22"/>
    </w:p>
    <w:p>
      <w:pPr>
        <w:spacing w:line="271" w:before="240" w:lineRule="auto"/>
      </w:pPr>
      <w:bookmarkStart w:id="23" w:name="current_status_and_spending_patterns_2"/>
      <w:r>
        <w:rPr>
          <w:b/>
          <w:sz w:val="28"/>
        </w:rPr>
        <w:t xml:space="preserve">Current Status and Spending Patterns</w:t>
      </w:r>
      <w:bookmarkEnd w:id="23"/>
    </w:p>
    <w:p>
      <w:pPr>
        <w:spacing w:after="210" w:lineRule="auto"/>
      </w:pPr>
      <w:r>
        <w:rPr>
          <w:rFonts w:eastAsia="Georgia" w:cs="Georgia" w:ascii="Georgia" w:hAnsi="Georgia"/>
        </w:rPr>
        <w:t xml:space="preserve">Transportation represents a significantly reduced expenditure category for elderly. Single males aged 70+ spend ¥3,894 monthly on transportation compared to ¥7,700 for younger males (49% reduction); elderly females spend ¥3,462 versus ¥5,834 for younger women (41% reduction)[7]. This reflects multiple factors:</w:t>
      </w:r>
    </w:p>
    <w:p>
      <w:pPr>
        <w:numPr>
          <w:ilvl w:val="0"/>
          <w:numId w:val="27"/>
        </w:numPr>
        <w:spacing w:lineRule="auto"/>
      </w:pPr>
      <w:r>
        <w:rPr>
          <w:b/>
        </w:rPr>
        <w:t xml:space="preserve">Reduced motor vehicle usage</w:t>
      </w:r>
      <w:r>
        <w:rPr/>
        <w:t xml:space="preserve">: Elderly males walk an average of 37 minutes daily on weekdays (versus 25 minutes overall average), suggesting preference for walking and reduced car dependency</w:t>
      </w:r>
    </w:p>
    <w:p>
      <w:pPr>
        <w:numPr>
          <w:ilvl w:val="0"/>
          <w:numId w:val="27"/>
        </w:numPr>
        <w:spacing w:lineRule="auto"/>
      </w:pPr>
      <w:r>
        <w:rPr>
          <w:b/>
        </w:rPr>
        <w:t xml:space="preserve">Retirement from commuting</w:t>
      </w:r>
      <w:r>
        <w:rPr/>
        <w:t xml:space="preserve">: No longer traveling to/from workplaces</w:t>
      </w:r>
    </w:p>
    <w:p>
      <w:pPr>
        <w:numPr>
          <w:ilvl w:val="0"/>
          <w:numId w:val="27"/>
        </w:numPr>
        <w:spacing w:lineRule="auto"/>
      </w:pPr>
      <w:r>
        <w:rPr>
          <w:b/>
        </w:rPr>
        <w:t xml:space="preserve">Fixed routines</w:t>
      </w:r>
      <w:r>
        <w:rPr/>
        <w:t xml:space="preserve">: Concentrated local shopping and social activities</w:t>
      </w:r>
    </w:p>
    <w:p>
      <w:pPr>
        <w:numPr>
          <w:ilvl w:val="0"/>
          <w:numId w:val="27"/>
        </w:numPr>
        <w:spacing w:lineRule="auto"/>
      </w:pPr>
      <w:r>
        <w:rPr>
          <w:b/>
        </w:rPr>
        <w:t xml:space="preserve">Safety considerations</w:t>
      </w:r>
      <w:r>
        <w:rPr/>
        <w:t xml:space="preserve">: Increasing age-related limitations in driving ability</w:t>
      </w:r>
    </w:p>
    <w:p>
      <w:pPr>
        <w:spacing w:line="271" w:before="240" w:lineRule="auto"/>
      </w:pPr>
      <w:bookmarkStart w:id="24" w:name="elderly_specific_transportation_c_a230cd"/>
      <w:r>
        <w:rPr>
          <w:b/>
          <w:sz w:val="28"/>
        </w:rPr>
        <w:t xml:space="preserve">Elderly-Specific Transportation Characteristics</w:t>
      </w:r>
      <w:bookmarkEnd w:id="24"/>
    </w:p>
    <w:p>
      <w:pPr>
        <w:spacing w:after="210" w:lineRule="auto"/>
      </w:pPr>
      <w:r>
        <w:rPr>
          <w:b/>
        </w:rPr>
        <w:t xml:space="preserve">Private Vehicle Ownership and Adaptation:</w:t>
      </w:r>
    </w:p>
    <w:p>
      <w:pPr>
        <w:numPr>
          <w:ilvl w:val="0"/>
          <w:numId w:val="28"/>
        </w:numPr>
        <w:spacing w:lineRule="auto"/>
      </w:pPr>
      <w:r>
        <w:rPr/>
        <w:t xml:space="preserve">60-70% of elderly households maintain one vehicle</w:t>
      </w:r>
    </w:p>
    <w:p>
      <w:pPr>
        <w:numPr>
          <w:ilvl w:val="0"/>
          <w:numId w:val="28"/>
        </w:numPr>
        <w:spacing w:lineRule="auto"/>
      </w:pPr>
      <w:r>
        <w:rPr/>
        <w:t xml:space="preserve">Growing market for vehicle safety modifications: larger mirrors, automatic transmission, ergonomic seating</w:t>
      </w:r>
    </w:p>
    <w:p>
      <w:pPr>
        <w:numPr>
          <w:ilvl w:val="0"/>
          <w:numId w:val="28"/>
        </w:numPr>
        <w:spacing w:lineRule="auto"/>
      </w:pPr>
      <w:r>
        <w:rPr/>
        <w:t xml:space="preserve">Age-related driving decline: Japanese licensing system increasingly restricts elderly drivers over 75</w:t>
      </w:r>
    </w:p>
    <w:p>
      <w:pPr>
        <w:spacing w:after="210" w:lineRule="auto"/>
      </w:pPr>
      <w:r>
        <w:rPr>
          <w:b/>
        </w:rPr>
        <w:t xml:space="preserve">Public Transportation:</w:t>
      </w:r>
    </w:p>
    <w:p>
      <w:pPr>
        <w:numPr>
          <w:ilvl w:val="0"/>
          <w:numId w:val="29"/>
        </w:numPr>
        <w:spacing w:lineRule="auto"/>
      </w:pPr>
      <w:r>
        <w:rPr/>
        <w:t xml:space="preserve">High utilization among urban elderly; lower utilization in rural areas</w:t>
      </w:r>
    </w:p>
    <w:p>
      <w:pPr>
        <w:numPr>
          <w:ilvl w:val="0"/>
          <w:numId w:val="29"/>
        </w:numPr>
        <w:spacing w:lineRule="auto"/>
      </w:pPr>
      <w:r>
        <w:rPr/>
        <w:t xml:space="preserve">Growing demand for transportation services designed for mobility-impaired: accessible buses, priority seating</w:t>
      </w:r>
    </w:p>
    <w:p>
      <w:pPr>
        <w:numPr>
          <w:ilvl w:val="0"/>
          <w:numId w:val="29"/>
        </w:numPr>
        <w:spacing w:lineRule="auto"/>
      </w:pPr>
      <w:r>
        <w:rPr/>
        <w:t xml:space="preserve">Discount pass programs popular (20-50% reductions for seniors in many cities)</w:t>
      </w:r>
    </w:p>
    <w:p>
      <w:pPr>
        <w:spacing w:after="210" w:lineRule="auto"/>
      </w:pPr>
      <w:r>
        <w:rPr>
          <w:b/>
        </w:rPr>
        <w:t xml:space="preserve">Specialized Transportation Services:</w:t>
      </w:r>
    </w:p>
    <w:p>
      <w:pPr>
        <w:numPr>
          <w:ilvl w:val="0"/>
          <w:numId w:val="30"/>
        </w:numPr>
        <w:spacing w:lineRule="auto"/>
      </w:pPr>
      <w:r>
        <w:rPr/>
        <w:t xml:space="preserve">In-home care transportation for medical appointments</w:t>
      </w:r>
    </w:p>
    <w:p>
      <w:pPr>
        <w:numPr>
          <w:ilvl w:val="0"/>
          <w:numId w:val="30"/>
        </w:numPr>
        <w:spacing w:lineRule="auto"/>
      </w:pPr>
      <w:r>
        <w:rPr/>
        <w:t xml:space="preserve">Specialized elderly-focused ride services (including door-to-door assistance)</w:t>
      </w:r>
    </w:p>
    <w:p>
      <w:pPr>
        <w:numPr>
          <w:ilvl w:val="0"/>
          <w:numId w:val="30"/>
        </w:numPr>
        <w:spacing w:lineRule="auto"/>
      </w:pPr>
      <w:r>
        <w:rPr/>
        <w:t xml:space="preserve">Volunteer driving services in rural areas</w:t>
      </w:r>
    </w:p>
    <w:p>
      <w:pPr>
        <w:spacing w:after="210" w:lineRule="auto"/>
      </w:pPr>
      <w:r>
        <w:rPr>
          <w:b/>
        </w:rPr>
        <w:t xml:space="preserve">Emerging Autonomous Vehicle Opportunities:</w:t>
      </w:r>
    </w:p>
    <w:p>
      <w:pPr>
        <w:numPr>
          <w:ilvl w:val="0"/>
          <w:numId w:val="31"/>
        </w:numPr>
        <w:spacing w:lineRule="auto"/>
      </w:pPr>
      <w:r>
        <w:rPr/>
        <w:t xml:space="preserve">Expected to address transportation gap for elderly who can no longer drive</w:t>
      </w:r>
    </w:p>
    <w:p>
      <w:pPr>
        <w:numPr>
          <w:ilvl w:val="0"/>
          <w:numId w:val="31"/>
        </w:numPr>
        <w:spacing w:lineRule="auto"/>
      </w:pPr>
      <w:r>
        <w:rPr/>
        <w:t xml:space="preserve">Government and private sector pilot programs increasing</w:t>
      </w:r>
    </w:p>
    <w:p>
      <w:pPr>
        <w:spacing w:line="271" w:before="240" w:lineRule="auto"/>
      </w:pPr>
      <w:bookmarkStart w:id="25" w:name="market_segmentation_2"/>
      <w:r>
        <w:rPr>
          <w:b/>
          <w:sz w:val="28"/>
        </w:rPr>
        <w:t xml:space="preserve">Market Segmentation</w:t>
      </w:r>
      <w:bookmarkEnd w:id="25"/>
    </w:p>
    <w:p>
      <w:pPr>
        <w:spacing w:after="210" w:lineRule="auto"/>
      </w:pPr>
      <w:r>
        <w:rPr>
          <w:b/>
        </w:rPr>
        <w:t xml:space="preserve">Private Vehicle and Maintenance:</w:t>
      </w:r>
    </w:p>
    <w:p>
      <w:pPr>
        <w:numPr>
          <w:ilvl w:val="0"/>
          <w:numId w:val="32"/>
        </w:numPr>
        <w:spacing w:lineRule="auto"/>
      </w:pPr>
      <w:r>
        <w:rPr>
          <w:rFonts w:eastAsia="Georgia" w:cs="Georgia" w:ascii="Georgia" w:hAnsi="Georgia"/>
        </w:rPr>
        <w:t xml:space="preserve">Estimated ¥800 billion - ¥1.0 trillion annually</w:t>
      </w:r>
    </w:p>
    <w:p>
      <w:pPr>
        <w:numPr>
          <w:ilvl w:val="0"/>
          <w:numId w:val="32"/>
        </w:numPr>
        <w:spacing w:lineRule="auto"/>
      </w:pPr>
      <w:r>
        <w:rPr/>
        <w:t xml:space="preserve">Modest growth 1-2% through 2030, decline thereafter as driving-age elderly cohort declines relative to advanced elderly</w:t>
      </w:r>
    </w:p>
    <w:p>
      <w:pPr>
        <w:numPr>
          <w:ilvl w:val="0"/>
          <w:numId w:val="32"/>
        </w:numPr>
        <w:spacing w:lineRule="auto"/>
      </w:pPr>
      <w:r>
        <w:rPr/>
        <w:t xml:space="preserve">Per-capita maintenance increases due to aging vehicle populations</w:t>
      </w:r>
    </w:p>
    <w:p>
      <w:pPr>
        <w:spacing w:after="210" w:lineRule="auto"/>
      </w:pPr>
      <w:r>
        <w:rPr>
          <w:b/>
        </w:rPr>
        <w:t xml:space="preserve">Public Transportation Utilization:</w:t>
      </w:r>
    </w:p>
    <w:p>
      <w:pPr>
        <w:numPr>
          <w:ilvl w:val="0"/>
          <w:numId w:val="33"/>
        </w:numPr>
        <w:spacing w:lineRule="auto"/>
      </w:pPr>
      <w:r>
        <w:rPr>
          <w:rFonts w:eastAsia="Georgia" w:cs="Georgia" w:ascii="Georgia" w:hAnsi="Georgia"/>
        </w:rPr>
        <w:t xml:space="preserve">Estimated ¥300-400 billion annually</w:t>
      </w:r>
    </w:p>
    <w:p>
      <w:pPr>
        <w:numPr>
          <w:ilvl w:val="0"/>
          <w:numId w:val="33"/>
        </w:numPr>
        <w:spacing w:lineRule="auto"/>
      </w:pPr>
      <w:r>
        <w:rPr/>
        <w:t xml:space="preserve">Stable to modest growth reflecting increased usage among single elderly and declining drivers</w:t>
      </w:r>
    </w:p>
    <w:p>
      <w:pPr>
        <w:spacing w:after="210" w:lineRule="auto"/>
      </w:pPr>
      <w:r>
        <w:rPr>
          <w:b/>
        </w:rPr>
        <w:t xml:space="preserve">Specialized Transportation Services (Fastest Growth):</w:t>
      </w:r>
    </w:p>
    <w:p>
      <w:pPr>
        <w:numPr>
          <w:ilvl w:val="0"/>
          <w:numId w:val="34"/>
        </w:numPr>
        <w:spacing w:lineRule="auto"/>
      </w:pPr>
      <w:r>
        <w:rPr>
          <w:rFonts w:eastAsia="Georgia" w:cs="Georgia" w:ascii="Georgia" w:hAnsi="Georgia"/>
        </w:rPr>
        <w:t xml:space="preserve">2024 estimated: ¥50-80 billion</w:t>
      </w:r>
    </w:p>
    <w:p>
      <w:pPr>
        <w:numPr>
          <w:ilvl w:val="0"/>
          <w:numId w:val="34"/>
        </w:numPr>
        <w:spacing w:lineRule="auto"/>
      </w:pPr>
      <w:r>
        <w:rPr>
          <w:rFonts w:eastAsia="Georgia" w:cs="Georgia" w:ascii="Georgia" w:hAnsi="Georgia"/>
        </w:rPr>
        <w:t xml:space="preserve">2050 projection: ¥200-300 billion</w:t>
      </w:r>
    </w:p>
    <w:p>
      <w:pPr>
        <w:numPr>
          <w:ilvl w:val="0"/>
          <w:numId w:val="34"/>
        </w:numPr>
        <w:spacing w:lineRule="auto"/>
      </w:pPr>
      <w:r>
        <w:rPr/>
        <w:t xml:space="preserve">CAGR: 8-12% through 2040</w:t>
      </w:r>
    </w:p>
    <w:p>
      <w:pPr>
        <w:numPr>
          <w:ilvl w:val="0"/>
          <w:numId w:val="34"/>
        </w:numPr>
        <w:spacing w:lineRule="auto"/>
      </w:pPr>
      <w:r>
        <w:rPr/>
        <w:t xml:space="preserve">Drivers: Increased single elderly without family drivers, medical necessity, declining driving capacity</w:t>
      </w:r>
    </w:p>
    <w:p>
      <w:pPr>
        <w:spacing w:line="271" w:before="240" w:lineRule="auto"/>
      </w:pPr>
      <w:bookmarkStart w:id="26" w:name="market_size_estimation_4"/>
      <w:r>
        <w:rPr>
          <w:b/>
          <w:sz w:val="28"/>
        </w:rPr>
        <w:t xml:space="preserve">Market Size Estimation</w:t>
      </w:r>
      <w:bookmarkEnd w:id="26"/>
    </w:p>
    <w:p>
      <w:pPr>
        <w:spacing w:after="210" w:lineRule="auto"/>
      </w:pPr>
      <w:r>
        <w:rPr>
          <w:b/>
        </w:rPr>
        <w:t xml:space="preserve">Total Transportation Market (Elderly):</w:t>
      </w:r>
    </w:p>
    <w:p>
      <w:pPr>
        <w:numPr>
          <w:ilvl w:val="0"/>
          <w:numId w:val="35"/>
        </w:numPr>
        <w:spacing w:lineRule="auto"/>
      </w:pPr>
      <w:r>
        <w:rPr>
          <w:b/>
        </w:rPr>
        <w:t xml:space="preserve">2020:</w:t>
      </w:r>
      <w:r>
        <w:rPr>
          <w:rFonts w:eastAsia="Georgia" w:cs="Georgia" w:ascii="Georgia" w:hAnsi="Georgia"/>
        </w:rPr>
        <w:t xml:space="preserve"> ¥1.2 trillion</w:t>
      </w:r>
    </w:p>
    <w:p>
      <w:pPr>
        <w:numPr>
          <w:ilvl w:val="0"/>
          <w:numId w:val="35"/>
        </w:numPr>
        <w:spacing w:lineRule="auto"/>
      </w:pPr>
      <w:r>
        <w:rPr>
          <w:b/>
        </w:rPr>
        <w:t xml:space="preserve">2030:</w:t>
      </w:r>
      <w:r>
        <w:rPr>
          <w:rFonts w:eastAsia="Georgia" w:cs="Georgia" w:ascii="Georgia" w:hAnsi="Georgia"/>
        </w:rPr>
        <w:t xml:space="preserve"> ¥1.35 trillion</w:t>
      </w:r>
    </w:p>
    <w:p>
      <w:pPr>
        <w:numPr>
          <w:ilvl w:val="0"/>
          <w:numId w:val="35"/>
        </w:numPr>
        <w:spacing w:lineRule="auto"/>
      </w:pPr>
      <w:r>
        <w:rPr>
          <w:b/>
        </w:rPr>
        <w:t xml:space="preserve">2050:</w:t>
      </w:r>
      <w:r>
        <w:rPr>
          <w:rFonts w:eastAsia="Georgia" w:cs="Georgia" w:ascii="Georgia" w:hAnsi="Georgia"/>
        </w:rPr>
        <w:t xml:space="preserve"> ¥1.5 trillion</w:t>
      </w:r>
    </w:p>
    <w:p>
      <w:pPr>
        <w:spacing w:after="210" w:lineRule="auto"/>
      </w:pPr>
      <w:r>
        <w:rPr/>
        <w:t xml:space="preserve">Growth modest compared to overall elderly population expansion due to declining absolute transportation needs per capita. However, specialized and professional transportation services (not captured in consumer spending data) represent emerging 8-12% growth opportunity through 2040.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part_3_analysis_of_additional_con_e88b56"/>
      <w:r>
        <w:rPr>
          <w:b/>
          <w:sz w:val="42"/>
        </w:rPr>
        <w:t xml:space="preserve">Part 3: Analysis of Additional Consumption Categories</w:t>
      </w:r>
      <w:bookmarkEnd w:id="27"/>
    </w:p>
    <w:p>
      <w:pPr>
        <w:spacing w:line="271" w:before="240" w:lineRule="auto"/>
      </w:pPr>
      <w:bookmarkStart w:id="28" w:name="bm_3_1_healthcare_market"/>
      <w:r>
        <w:rPr>
          <w:b/>
          <w:sz w:val="33"/>
        </w:rPr>
        <w:t xml:space="preserve">3.1 Healthcare Market</w:t>
      </w:r>
      <w:bookmarkEnd w:id="28"/>
    </w:p>
    <w:p>
      <w:pPr>
        <w:spacing w:line="271" w:before="240" w:lineRule="auto"/>
      </w:pPr>
      <w:bookmarkStart w:id="29" w:name="current_status_and_market_size"/>
      <w:r>
        <w:rPr>
          <w:b/>
          <w:sz w:val="28"/>
        </w:rPr>
        <w:t xml:space="preserve">Current Status and Market Size</w:t>
      </w:r>
      <w:bookmarkEnd w:id="29"/>
    </w:p>
    <w:p>
      <w:pPr>
        <w:spacing w:after="210" w:lineRule="auto"/>
      </w:pPr>
      <w:r>
        <w:rPr>
          <w:rFonts w:eastAsia="Georgia" w:cs="Georgia" w:ascii="Georgia" w:hAnsi="Georgia"/>
        </w:rPr>
        <w:t xml:space="preserve">Healthcare represents the dominant consumption category for Japan's elderly population. Medical spending by the 85+ age group exceeded ¥19.6 trillion in 2024, with this cohort alone accounting for 40.7% of total medical expenditures[5]. The 75-84 age group contributed an additional ¥15-16 trillion, while 65-74 cohort accounted for ¥8-10 trillion.</w:t>
      </w:r>
    </w:p>
    <w:p>
      <w:pPr>
        <w:spacing w:after="210" w:lineRule="auto"/>
      </w:pPr>
      <w:r>
        <w:rPr>
          <w:b/>
        </w:rPr>
        <w:t xml:space="preserve">Total Elderly Healthcare Expenditure:</w:t>
      </w:r>
    </w:p>
    <w:p>
      <w:pPr>
        <w:numPr>
          <w:ilvl w:val="0"/>
          <w:numId w:val="36"/>
        </w:numPr>
        <w:spacing w:lineRule="auto"/>
      </w:pPr>
      <w:r>
        <w:rPr>
          <w:rFonts w:eastAsia="Georgia" w:cs="Georgia" w:ascii="Georgia" w:hAnsi="Georgia"/>
        </w:rPr>
        <w:t xml:space="preserve">2020: ¥42-45 trillion</w:t>
      </w:r>
    </w:p>
    <w:p>
      <w:pPr>
        <w:numPr>
          <w:ilvl w:val="0"/>
          <w:numId w:val="36"/>
        </w:numPr>
        <w:spacing w:lineRule="auto"/>
      </w:pPr>
      <w:r>
        <w:rPr>
          <w:rFonts w:eastAsia="Georgia" w:cs="Georgia" w:ascii="Georgia" w:hAnsi="Georgia"/>
        </w:rPr>
        <w:t xml:space="preserve">2024: ¥48 trillion (record high)[5]</w:t>
      </w:r>
    </w:p>
    <w:p>
      <w:pPr>
        <w:numPr>
          <w:ilvl w:val="0"/>
          <w:numId w:val="36"/>
        </w:numPr>
        <w:spacing w:lineRule="auto"/>
      </w:pPr>
      <w:r>
        <w:rPr>
          <w:rFonts w:eastAsia="Georgia" w:cs="Georgia" w:ascii="Georgia" w:hAnsi="Georgia"/>
        </w:rPr>
        <w:t xml:space="preserve">2030 projection: ¥60-65 trillion</w:t>
      </w:r>
    </w:p>
    <w:p>
      <w:pPr>
        <w:numPr>
          <w:ilvl w:val="0"/>
          <w:numId w:val="36"/>
        </w:numPr>
        <w:spacing w:lineRule="auto"/>
      </w:pPr>
      <w:r>
        <w:rPr>
          <w:rFonts w:eastAsia="Georgia" w:cs="Georgia" w:ascii="Georgia" w:hAnsi="Georgia"/>
        </w:rPr>
        <w:t xml:space="preserve">2050 projection: ¥75-85 trillion</w:t>
      </w:r>
    </w:p>
    <w:p>
      <w:pPr>
        <w:spacing w:after="210" w:lineRule="auto"/>
      </w:pPr>
      <w:r>
        <w:rPr>
          <w:b/>
        </w:rPr>
        <w:t xml:space="preserve">Government subsidy burden</w:t>
      </w:r>
      <w:r>
        <w:rPr>
          <w:rFonts w:eastAsia="Georgia" w:cs="Georgia" w:ascii="Georgia" w:hAnsi="Georgia"/>
        </w:rPr>
        <w:t xml:space="preserve"> for elderly care increased to a record ¥3.86 trillion in 2024, a 5.7% year-on-year increase[5]. Health insurance premiums reached record 9.34% in 2025, with forecasts indicating further increases to sustain system coverage.</w:t>
      </w:r>
    </w:p>
    <w:p>
      <w:pPr>
        <w:spacing w:line="271" w:before="240" w:lineRule="auto"/>
      </w:pPr>
      <w:bookmarkStart w:id="30" w:name="healthcare_consumption_characteristics"/>
      <w:r>
        <w:rPr>
          <w:b/>
          <w:sz w:val="28"/>
        </w:rPr>
        <w:t xml:space="preserve">Healthcare Consumption Characteristics</w:t>
      </w:r>
      <w:bookmarkEnd w:id="30"/>
    </w:p>
    <w:p>
      <w:pPr>
        <w:spacing w:after="210" w:lineRule="auto"/>
      </w:pPr>
      <w:r>
        <w:rPr>
          <w:b/>
        </w:rPr>
        <w:t xml:space="preserve">High-Cost Age Cohort Effects:</w:t>
      </w:r>
    </w:p>
    <w:p>
      <w:pPr>
        <w:numPr>
          <w:ilvl w:val="0"/>
          <w:numId w:val="37"/>
        </w:numPr>
        <w:spacing w:lineRule="auto"/>
      </w:pPr>
      <w:r>
        <w:rPr/>
        <w:t xml:space="preserve">85+ population driving 40%+ of expenditures with projected growth to 13.2 million by 2050</w:t>
      </w:r>
    </w:p>
    <w:p>
      <w:pPr>
        <w:numPr>
          <w:ilvl w:val="0"/>
          <w:numId w:val="37"/>
        </w:numPr>
        <w:spacing w:lineRule="auto"/>
      </w:pPr>
      <w:r>
        <w:rPr/>
        <w:t xml:space="preserve">Higher prevalence of chronic diseases (hypertension, diabetes, dementia, arthritis)</w:t>
      </w:r>
    </w:p>
    <w:p>
      <w:pPr>
        <w:numPr>
          <w:ilvl w:val="0"/>
          <w:numId w:val="37"/>
        </w:numPr>
        <w:spacing w:lineRule="auto"/>
      </w:pPr>
      <w:r>
        <w:rPr/>
        <w:t xml:space="preserve">Multiple medication management, specialist visits, and preventive care services</w:t>
      </w:r>
    </w:p>
    <w:p>
      <w:pPr>
        <w:spacing w:after="210" w:lineRule="auto"/>
      </w:pPr>
      <w:r>
        <w:rPr>
          <w:b/>
        </w:rPr>
        <w:t xml:space="preserve">Chronic Disease Management:</w:t>
      </w:r>
    </w:p>
    <w:p>
      <w:pPr>
        <w:numPr>
          <w:ilvl w:val="0"/>
          <w:numId w:val="38"/>
        </w:numPr>
        <w:spacing w:lineRule="auto"/>
      </w:pPr>
      <w:r>
        <w:rPr>
          <w:rFonts w:eastAsia="Georgia" w:cs="Georgia" w:ascii="Georgia" w:hAnsi="Georgia"/>
        </w:rPr>
        <w:t xml:space="preserve">Hypertension: ~70% of elderly (both genders)</w:t>
      </w:r>
    </w:p>
    <w:p>
      <w:pPr>
        <w:numPr>
          <w:ilvl w:val="0"/>
          <w:numId w:val="38"/>
        </w:numPr>
        <w:spacing w:lineRule="auto"/>
      </w:pPr>
      <w:r>
        <w:rPr>
          <w:rFonts w:eastAsia="Georgia" w:cs="Georgia" w:ascii="Georgia" w:hAnsi="Georgia"/>
        </w:rPr>
        <w:t xml:space="preserve">Diabetes: ~20-25% of elderly</w:t>
      </w:r>
    </w:p>
    <w:p>
      <w:pPr>
        <w:numPr>
          <w:ilvl w:val="0"/>
          <w:numId w:val="38"/>
        </w:numPr>
        <w:spacing w:lineRule="auto"/>
      </w:pPr>
      <w:r>
        <w:rPr>
          <w:rFonts w:eastAsia="Georgia" w:cs="Georgia" w:ascii="Georgia" w:hAnsi="Georgia"/>
        </w:rPr>
        <w:t xml:space="preserve">Dementia: ~15-20% of 75+ cohort (growing)</w:t>
      </w:r>
    </w:p>
    <w:p>
      <w:pPr>
        <w:numPr>
          <w:ilvl w:val="0"/>
          <w:numId w:val="38"/>
        </w:numPr>
        <w:spacing w:lineRule="auto"/>
      </w:pPr>
      <w:r>
        <w:rPr>
          <w:rFonts w:eastAsia="Georgia" w:cs="Georgia" w:ascii="Georgia" w:hAnsi="Georgia"/>
        </w:rPr>
        <w:t xml:space="preserve">Cardiovascular disease: ~30% with medical history</w:t>
      </w:r>
    </w:p>
    <w:p>
      <w:pPr>
        <w:numPr>
          <w:ilvl w:val="0"/>
          <w:numId w:val="38"/>
        </w:numPr>
        <w:spacing w:lineRule="auto"/>
      </w:pPr>
      <w:r>
        <w:rPr>
          <w:rFonts w:eastAsia="Georgia" w:cs="Georgia" w:ascii="Georgia" w:hAnsi="Georgia"/>
        </w:rPr>
        <w:t xml:space="preserve">Joint/musculoskeletal conditions: ~50%+</w:t>
      </w:r>
    </w:p>
    <w:p>
      <w:pPr>
        <w:spacing w:after="210" w:lineRule="auto"/>
      </w:pPr>
      <w:r>
        <w:rPr>
          <w:b/>
        </w:rPr>
        <w:t xml:space="preserve">Physician Access and Preferences:</w:t>
      </w:r>
    </w:p>
    <w:p>
      <w:pPr>
        <w:numPr>
          <w:ilvl w:val="0"/>
          <w:numId w:val="39"/>
        </w:numPr>
        <w:spacing w:lineRule="auto"/>
      </w:pPr>
      <w:r>
        <w:rPr/>
        <w:t xml:space="preserve">Elderly show strong preference for relationship-based medicine with long-term primary care physicians</w:t>
      </w:r>
    </w:p>
    <w:p>
      <w:pPr>
        <w:numPr>
          <w:ilvl w:val="0"/>
          <w:numId w:val="39"/>
        </w:numPr>
        <w:spacing w:lineRule="auto"/>
      </w:pPr>
      <w:r>
        <w:rPr/>
        <w:t xml:space="preserve">High sensitivity to medicine side effects and quality-of-life considerations</w:t>
      </w:r>
    </w:p>
    <w:p>
      <w:pPr>
        <w:numPr>
          <w:ilvl w:val="0"/>
          <w:numId w:val="39"/>
        </w:numPr>
        <w:spacing w:lineRule="auto"/>
      </w:pPr>
      <w:r>
        <w:rPr/>
        <w:t xml:space="preserve">Increasing interest in preventive care and wellness approaches</w:t>
      </w:r>
    </w:p>
    <w:p>
      <w:pPr>
        <w:spacing w:line="271" w:before="240" w:lineRule="auto"/>
      </w:pPr>
      <w:bookmarkStart w:id="31" w:name="sectoral_growth_opportunities"/>
      <w:r>
        <w:rPr>
          <w:b/>
          <w:sz w:val="28"/>
        </w:rPr>
        <w:t xml:space="preserve">Sectoral Growth Opportunities</w:t>
      </w:r>
      <w:bookmarkEnd w:id="31"/>
    </w:p>
    <w:p>
      <w:pPr>
        <w:spacing w:after="210" w:lineRule="auto"/>
      </w:pPr>
      <w:r>
        <w:rPr>
          <w:b/>
        </w:rPr>
        <w:t xml:space="preserve">Digital Health and Telemedicine:</w:t>
      </w:r>
    </w:p>
    <w:p>
      <w:pPr>
        <w:numPr>
          <w:ilvl w:val="0"/>
          <w:numId w:val="40"/>
        </w:numPr>
        <w:spacing w:lineRule="auto"/>
      </w:pPr>
      <w:r>
        <w:rPr/>
        <w:t xml:space="preserve">Market 2024: USD 10.96 billion</w:t>
      </w:r>
    </w:p>
    <w:p>
      <w:pPr>
        <w:numPr>
          <w:ilvl w:val="0"/>
          <w:numId w:val="40"/>
        </w:numPr>
        <w:spacing w:lineRule="auto"/>
      </w:pPr>
      <w:r>
        <w:rPr/>
        <w:t xml:space="preserve">Projection 2033: USD 51.42 billion (CAGR 19.0%)[11]</w:t>
      </w:r>
    </w:p>
    <w:p>
      <w:pPr>
        <w:numPr>
          <w:ilvl w:val="0"/>
          <w:numId w:val="40"/>
        </w:numPr>
        <w:spacing w:lineRule="auto"/>
      </w:pPr>
      <w:r>
        <w:rPr/>
        <w:t xml:space="preserve">Products: mHealth apps, remote monitoring devices, wearables, AI-driven diagnostic tools</w:t>
      </w:r>
    </w:p>
    <w:p>
      <w:pPr>
        <w:numPr>
          <w:ilvl w:val="0"/>
          <w:numId w:val="40"/>
        </w:numPr>
        <w:spacing w:lineRule="auto"/>
      </w:pPr>
      <w:r>
        <w:rPr/>
        <w:t xml:space="preserve">Adoption drivers: Rural healthcare shortages, COVID-era behavioral changes, elderly tech acceptance growth</w:t>
      </w:r>
    </w:p>
    <w:p>
      <w:pPr>
        <w:spacing w:after="210" w:lineRule="auto"/>
      </w:pPr>
      <w:r>
        <w:rPr>
          <w:b/>
        </w:rPr>
        <w:t xml:space="preserve">Assistive Robotics and AI-Powered Care:</w:t>
      </w:r>
    </w:p>
    <w:p>
      <w:pPr>
        <w:numPr>
          <w:ilvl w:val="0"/>
          <w:numId w:val="41"/>
        </w:numPr>
        <w:spacing w:lineRule="auto"/>
      </w:pPr>
      <w:r>
        <w:rPr/>
        <w:t xml:space="preserve">Nursing robots, monitoring systems, smart home health integrations</w:t>
      </w:r>
    </w:p>
    <w:p>
      <w:pPr>
        <w:numPr>
          <w:ilvl w:val="0"/>
          <w:numId w:val="41"/>
        </w:numPr>
        <w:spacing w:lineRule="auto"/>
      </w:pPr>
      <w:r>
        <w:rPr/>
        <w:t xml:space="preserve">Government support through "Healthcare Policy 2025" and "Healthcare Service Social Implementation Project"</w:t>
      </w:r>
    </w:p>
    <w:p>
      <w:pPr>
        <w:numPr>
          <w:ilvl w:val="0"/>
          <w:numId w:val="41"/>
        </w:numPr>
        <w:spacing w:lineRule="auto"/>
      </w:pPr>
      <w:r>
        <w:rPr/>
        <w:t xml:space="preserve">Examples: PARO therapeutic robots, Xenoma smart apparel, Rakuraku Phone (elderly-optimized smartphones)</w:t>
      </w:r>
    </w:p>
    <w:p>
      <w:pPr>
        <w:numPr>
          <w:ilvl w:val="0"/>
          <w:numId w:val="41"/>
        </w:numPr>
        <w:spacing w:lineRule="auto"/>
      </w:pPr>
      <w:r>
        <w:rPr>
          <w:rFonts w:eastAsia="Georgia" w:cs="Georgia" w:ascii="Georgia" w:hAnsi="Georgia"/>
        </w:rPr>
        <w:t xml:space="preserve">Estimated market 2024: ¥50-100 billion; 2050 projection: ¥200-400 billion</w:t>
      </w:r>
    </w:p>
    <w:p>
      <w:pPr>
        <w:spacing w:after="210" w:lineRule="auto"/>
      </w:pPr>
      <w:r>
        <w:rPr>
          <w:b/>
        </w:rPr>
        <w:t xml:space="preserve">Preventive Health and Wellness:</w:t>
      </w:r>
    </w:p>
    <w:p>
      <w:pPr>
        <w:numPr>
          <w:ilvl w:val="0"/>
          <w:numId w:val="42"/>
        </w:numPr>
        <w:spacing w:lineRule="auto"/>
      </w:pPr>
      <w:r>
        <w:rPr/>
        <w:t xml:space="preserve">Functional beverages, supplements, fitness programs</w:t>
      </w:r>
    </w:p>
    <w:p>
      <w:pPr>
        <w:numPr>
          <w:ilvl w:val="0"/>
          <w:numId w:val="42"/>
        </w:numPr>
        <w:spacing w:lineRule="auto"/>
      </w:pPr>
      <w:r>
        <w:rPr/>
        <w:t xml:space="preserve">Growing wellness tourism (onsen, health retreats)</w:t>
      </w:r>
    </w:p>
    <w:p>
      <w:pPr>
        <w:numPr>
          <w:ilvl w:val="0"/>
          <w:numId w:val="42"/>
        </w:numPr>
        <w:spacing w:lineRule="auto"/>
      </w:pPr>
      <w:r>
        <w:rPr>
          <w:rFonts w:eastAsia="Georgia" w:cs="Georgia" w:ascii="Georgia" w:hAnsi="Georgia"/>
        </w:rPr>
        <w:t xml:space="preserve">Estimated ¥200-300 billion annually with 3-5% growth</w:t>
      </w:r>
    </w:p>
    <w:p>
      <w:pPr>
        <w:spacing w:line="271" w:before="240" w:lineRule="auto"/>
      </w:pPr>
      <w:bookmarkStart w:id="32" w:name="market_size_estimation_5"/>
      <w:r>
        <w:rPr>
          <w:b/>
          <w:sz w:val="28"/>
        </w:rPr>
        <w:t xml:space="preserve">Market Size Estimation</w:t>
      </w:r>
      <w:bookmarkEnd w:id="32"/>
    </w:p>
    <w:p>
      <w:pPr>
        <w:spacing w:after="210" w:lineRule="auto"/>
      </w:pPr>
      <w:r>
        <w:rPr>
          <w:b/>
        </w:rPr>
        <w:t xml:space="preserve">Total Healthcare Market (Elderly):</w:t>
      </w:r>
    </w:p>
    <w:p>
      <w:pPr>
        <w:numPr>
          <w:ilvl w:val="0"/>
          <w:numId w:val="43"/>
        </w:numPr>
        <w:spacing w:lineRule="auto"/>
      </w:pPr>
      <w:r>
        <w:rPr>
          <w:b/>
        </w:rPr>
        <w:t xml:space="preserve">2020:</w:t>
      </w:r>
      <w:r>
        <w:rPr>
          <w:rFonts w:eastAsia="Georgia" w:cs="Georgia" w:ascii="Georgia" w:hAnsi="Georgia"/>
        </w:rPr>
        <w:t xml:space="preserve"> ¥42 trillion (USD 385 billion)</w:t>
      </w:r>
    </w:p>
    <w:p>
      <w:pPr>
        <w:numPr>
          <w:ilvl w:val="0"/>
          <w:numId w:val="43"/>
        </w:numPr>
        <w:spacing w:lineRule="auto"/>
      </w:pPr>
      <w:r>
        <w:rPr>
          <w:b/>
        </w:rPr>
        <w:t xml:space="preserve">2030:</w:t>
      </w:r>
      <w:r>
        <w:rPr>
          <w:rFonts w:eastAsia="Georgia" w:cs="Georgia" w:ascii="Georgia" w:hAnsi="Georgia"/>
        </w:rPr>
        <w:t xml:space="preserve"> ¥62 trillion (USD 455 billion)</w:t>
      </w:r>
    </w:p>
    <w:p>
      <w:pPr>
        <w:numPr>
          <w:ilvl w:val="0"/>
          <w:numId w:val="43"/>
        </w:numPr>
        <w:spacing w:lineRule="auto"/>
      </w:pPr>
      <w:r>
        <w:rPr>
          <w:b/>
        </w:rPr>
        <w:t xml:space="preserve">2050:</w:t>
      </w:r>
      <w:r>
        <w:rPr>
          <w:rFonts w:eastAsia="Georgia" w:cs="Georgia" w:ascii="Georgia" w:hAnsi="Georgia"/>
        </w:rPr>
        <w:t xml:space="preserve"> ¥82 trillion (USD 600 billion)</w:t>
      </w:r>
    </w:p>
    <w:p>
      <w:pPr>
        <w:spacing w:after="210" w:lineRule="auto"/>
      </w:pPr>
      <w:r>
        <w:rPr>
          <w:rFonts w:eastAsia="Georgia" w:cs="Georgia" w:ascii="Georgia" w:hAnsi="Georgia"/>
        </w:rPr>
        <w:t xml:space="preserve">CAGR 2020-2050: ~2.3% (slower than elderly population growth to 2042 due to cost control initiatives, efficiency improvements, and potential policy reforms shifting cost burden)</w:t>
      </w:r>
    </w:p>
    <w:p>
      <w:pPr>
        <w:spacing w:line="271" w:before="240" w:lineRule="auto"/>
      </w:pPr>
      <w:bookmarkStart w:id="33" w:name="bm_3_2_long_term_care_insurance_l_a1cd72"/>
      <w:r>
        <w:rPr>
          <w:b/>
          <w:sz w:val="33"/>
        </w:rPr>
        <w:t xml:space="preserve">3.2 Long-Term Care Insurance (LTCI) and Institutional Care Services</w:t>
      </w:r>
      <w:bookmarkEnd w:id="33"/>
    </w:p>
    <w:p>
      <w:pPr>
        <w:spacing w:line="271" w:before="240" w:lineRule="auto"/>
      </w:pPr>
      <w:bookmarkStart w:id="34" w:name="current_status_2"/>
      <w:r>
        <w:rPr>
          <w:b/>
          <w:sz w:val="28"/>
        </w:rPr>
        <w:t xml:space="preserve">Current Status</w:t>
      </w:r>
      <w:bookmarkEnd w:id="34"/>
    </w:p>
    <w:p>
      <w:pPr>
        <w:spacing w:after="210" w:lineRule="auto"/>
      </w:pPr>
      <w:r>
        <w:rPr/>
        <w:t xml:space="preserve">Japan's Long-Term Care Insurance (LTCI) system, implemented in 2000, is the dedicated financing mechanism for elderly care services. The system requires premiums from all citizens aged 40+, with service users paying 10-30% copayments depending on income level[12].</w:t>
      </w:r>
    </w:p>
    <w:p>
      <w:pPr>
        <w:spacing w:after="210" w:lineRule="auto"/>
      </w:pPr>
      <w:r>
        <w:rPr>
          <w:b/>
        </w:rPr>
        <w:t xml:space="preserve">Market Size:</w:t>
      </w:r>
    </w:p>
    <w:p>
      <w:pPr>
        <w:numPr>
          <w:ilvl w:val="0"/>
          <w:numId w:val="44"/>
        </w:numPr>
        <w:spacing w:lineRule="auto"/>
      </w:pPr>
      <w:r>
        <w:rPr>
          <w:rFonts w:eastAsia="Georgia" w:cs="Georgia" w:ascii="Georgia" w:hAnsi="Georgia"/>
        </w:rPr>
        <w:t xml:space="preserve">2000 (LTCI launch): ¥3.6 trillion (USD 32.7 billion)</w:t>
      </w:r>
    </w:p>
    <w:p>
      <w:pPr>
        <w:numPr>
          <w:ilvl w:val="0"/>
          <w:numId w:val="44"/>
        </w:numPr>
        <w:spacing w:lineRule="auto"/>
      </w:pPr>
      <w:r>
        <w:rPr>
          <w:rFonts w:eastAsia="Georgia" w:cs="Georgia" w:ascii="Georgia" w:hAnsi="Georgia"/>
        </w:rPr>
        <w:t xml:space="preserve">2019: ¥11.7 trillion (USD 106.4 billion)</w:t>
      </w:r>
    </w:p>
    <w:p>
      <w:pPr>
        <w:numPr>
          <w:ilvl w:val="0"/>
          <w:numId w:val="44"/>
        </w:numPr>
        <w:spacing w:lineRule="auto"/>
      </w:pPr>
      <w:r>
        <w:rPr>
          <w:rFonts w:eastAsia="Georgia" w:cs="Georgia" w:ascii="Georgia" w:hAnsi="Georgia"/>
        </w:rPr>
        <w:t xml:space="preserve">2024: ¥13.0-13.5 trillion (estimated)</w:t>
      </w:r>
    </w:p>
    <w:p>
      <w:pPr>
        <w:numPr>
          <w:ilvl w:val="0"/>
          <w:numId w:val="44"/>
        </w:numPr>
        <w:spacing w:lineRule="auto"/>
      </w:pPr>
      <w:r>
        <w:rPr>
          <w:rFonts w:eastAsia="Georgia" w:cs="Georgia" w:ascii="Georgia" w:hAnsi="Georgia"/>
        </w:rPr>
        <w:t xml:space="preserve">2025 projection: ¥15 trillion (USD 108-110 billion)[12]</w:t>
      </w:r>
    </w:p>
    <w:p>
      <w:pPr>
        <w:numPr>
          <w:ilvl w:val="0"/>
          <w:numId w:val="44"/>
        </w:numPr>
        <w:spacing w:lineRule="auto"/>
      </w:pPr>
      <w:r>
        <w:rPr>
          <w:rFonts w:eastAsia="Georgia" w:cs="Georgia" w:ascii="Georgia" w:hAnsi="Georgia"/>
        </w:rPr>
        <w:t xml:space="preserve">2030 projection: ¥18-20 trillion</w:t>
      </w:r>
    </w:p>
    <w:p>
      <w:pPr>
        <w:numPr>
          <w:ilvl w:val="0"/>
          <w:numId w:val="44"/>
        </w:numPr>
        <w:spacing w:lineRule="auto"/>
      </w:pPr>
      <w:r>
        <w:rPr>
          <w:rFonts w:eastAsia="Georgia" w:cs="Georgia" w:ascii="Georgia" w:hAnsi="Georgia"/>
        </w:rPr>
        <w:t xml:space="preserve">2050 projection: ¥30-35 trillion</w:t>
      </w:r>
    </w:p>
    <w:p>
      <w:pPr>
        <w:spacing w:after="210" w:lineRule="auto"/>
      </w:pPr>
      <w:r>
        <w:rPr>
          <w:b/>
        </w:rPr>
        <w:t xml:space="preserve">Commercialized Institutional Care Services (Subset):</w:t>
      </w:r>
    </w:p>
    <w:p>
      <w:pPr>
        <w:numPr>
          <w:ilvl w:val="0"/>
          <w:numId w:val="45"/>
        </w:numPr>
        <w:spacing w:lineRule="auto"/>
      </w:pPr>
      <w:r>
        <w:rPr/>
        <w:t xml:space="preserve">2024: USD 150 billion</w:t>
      </w:r>
    </w:p>
    <w:p>
      <w:pPr>
        <w:numPr>
          <w:ilvl w:val="0"/>
          <w:numId w:val="45"/>
        </w:numPr>
        <w:spacing w:lineRule="auto"/>
      </w:pPr>
      <w:r>
        <w:rPr/>
        <w:t xml:space="preserve">2033: USD 250 billion (CAGR 6.5%)[10]</w:t>
      </w:r>
    </w:p>
    <w:p>
      <w:pPr>
        <w:spacing w:after="210" w:lineRule="auto"/>
      </w:pPr>
      <w:r>
        <w:rPr>
          <w:b/>
        </w:rPr>
        <w:t xml:space="preserve">Japan Long-Term Care Market (Broader):</w:t>
      </w:r>
    </w:p>
    <w:p>
      <w:pPr>
        <w:numPr>
          <w:ilvl w:val="0"/>
          <w:numId w:val="46"/>
        </w:numPr>
        <w:spacing w:lineRule="auto"/>
      </w:pPr>
      <w:r>
        <w:rPr/>
        <w:t xml:space="preserve">2023: USD 42.31 billion</w:t>
      </w:r>
    </w:p>
    <w:p>
      <w:pPr>
        <w:numPr>
          <w:ilvl w:val="0"/>
          <w:numId w:val="46"/>
        </w:numPr>
        <w:spacing w:lineRule="auto"/>
      </w:pPr>
      <w:r>
        <w:rPr/>
        <w:t xml:space="preserve">2030: USD 67.47 billion (CAGR 6.9%)[13]</w:t>
      </w:r>
    </w:p>
    <w:p>
      <w:pPr>
        <w:numPr>
          <w:ilvl w:val="0"/>
          <w:numId w:val="46"/>
        </w:numPr>
        <w:spacing w:lineRule="auto"/>
      </w:pPr>
      <w:r>
        <w:rPr/>
        <w:t xml:space="preserve">2050 projection: USD 100-120 billion</w:t>
      </w:r>
    </w:p>
    <w:p>
      <w:pPr>
        <w:spacing w:line="271" w:before="240" w:lineRule="auto"/>
      </w:pPr>
      <w:bookmarkStart w:id="35" w:name="service_segmentation"/>
      <w:r>
        <w:rPr>
          <w:b/>
          <w:sz w:val="28"/>
        </w:rPr>
        <w:t xml:space="preserve">Service Segmentation</w:t>
      </w:r>
      <w:bookmarkEnd w:id="35"/>
    </w:p>
    <w:p>
      <w:pPr>
        <w:spacing w:after="210" w:lineRule="auto"/>
      </w:pPr>
      <w:r>
        <w:rPr>
          <w:b/>
        </w:rPr>
        <w:t xml:space="preserve">Home Healthcare (Largest Segment):</w:t>
      </w:r>
    </w:p>
    <w:p>
      <w:pPr>
        <w:numPr>
          <w:ilvl w:val="0"/>
          <w:numId w:val="47"/>
        </w:numPr>
        <w:spacing w:lineRule="auto"/>
      </w:pPr>
      <w:r>
        <w:rPr/>
        <w:t xml:space="preserve">2023 revenue share: 30.6% of long-term care market</w:t>
      </w:r>
    </w:p>
    <w:p>
      <w:pPr>
        <w:numPr>
          <w:ilvl w:val="0"/>
          <w:numId w:val="47"/>
        </w:numPr>
        <w:spacing w:lineRule="auto"/>
      </w:pPr>
      <w:r>
        <w:rPr/>
        <w:t xml:space="preserve">Services: In-home nursing, physical therapy, bathing assistance, meal preparation</w:t>
      </w:r>
    </w:p>
    <w:p>
      <w:pPr>
        <w:numPr>
          <w:ilvl w:val="0"/>
          <w:numId w:val="47"/>
        </w:numPr>
        <w:spacing w:lineRule="auto"/>
      </w:pPr>
      <w:r>
        <w:rPr/>
        <w:t xml:space="preserve">Growth drivers: Preference for aging-in-place, single elderly increasing, cost advantages vs. facilities</w:t>
      </w:r>
    </w:p>
    <w:p>
      <w:pPr>
        <w:numPr>
          <w:ilvl w:val="0"/>
          <w:numId w:val="47"/>
        </w:numPr>
        <w:spacing w:lineRule="auto"/>
      </w:pPr>
      <w:r>
        <w:rPr/>
        <w:t xml:space="preserve">Estimated CAGR through 2050: 6-8%</w:t>
      </w:r>
    </w:p>
    <w:p>
      <w:pPr>
        <w:spacing w:after="210" w:lineRule="auto"/>
      </w:pPr>
      <w:r>
        <w:rPr>
          <w:b/>
        </w:rPr>
        <w:t xml:space="preserve">Nursing Care Facilities:</w:t>
      </w:r>
    </w:p>
    <w:p>
      <w:pPr>
        <w:numPr>
          <w:ilvl w:val="0"/>
          <w:numId w:val="48"/>
        </w:numPr>
        <w:spacing w:lineRule="auto"/>
      </w:pPr>
      <w:r>
        <w:rPr/>
        <w:t xml:space="preserve">Traditional institutional setting for high-need elderly</w:t>
      </w:r>
    </w:p>
    <w:p>
      <w:pPr>
        <w:numPr>
          <w:ilvl w:val="0"/>
          <w:numId w:val="48"/>
        </w:numPr>
        <w:spacing w:lineRule="auto"/>
      </w:pPr>
      <w:r>
        <w:rPr/>
        <w:t xml:space="preserve">Premium facilities increasingly common in urban areas</w:t>
      </w:r>
    </w:p>
    <w:p>
      <w:pPr>
        <w:numPr>
          <w:ilvl w:val="0"/>
          <w:numId w:val="48"/>
        </w:numPr>
        <w:spacing w:lineRule="auto"/>
      </w:pPr>
      <w:r>
        <w:rPr/>
        <w:t xml:space="preserve">Capacity constraints limiting expansion</w:t>
      </w:r>
    </w:p>
    <w:p>
      <w:pPr>
        <w:numPr>
          <w:ilvl w:val="0"/>
          <w:numId w:val="48"/>
        </w:numPr>
        <w:spacing w:lineRule="auto"/>
      </w:pPr>
      <w:r>
        <w:rPr/>
        <w:t xml:space="preserve">Estimated CAGR through 2050: 5-7%</w:t>
      </w:r>
    </w:p>
    <w:p>
      <w:pPr>
        <w:spacing w:after="210" w:lineRule="auto"/>
      </w:pPr>
      <w:r>
        <w:rPr>
          <w:b/>
        </w:rPr>
        <w:t xml:space="preserve">Assisted Living Facilities:</w:t>
      </w:r>
    </w:p>
    <w:p>
      <w:pPr>
        <w:numPr>
          <w:ilvl w:val="0"/>
          <w:numId w:val="49"/>
        </w:numPr>
        <w:spacing w:lineRule="auto"/>
      </w:pPr>
      <w:r>
        <w:rPr/>
        <w:t xml:space="preserve">Mid-level care for semi-independent elderly</w:t>
      </w:r>
    </w:p>
    <w:p>
      <w:pPr>
        <w:numPr>
          <w:ilvl w:val="0"/>
          <w:numId w:val="49"/>
        </w:numPr>
        <w:spacing w:lineRule="auto"/>
      </w:pPr>
      <w:r>
        <w:rPr/>
        <w:t xml:space="preserve">Growing market segment</w:t>
      </w:r>
    </w:p>
    <w:p>
      <w:pPr>
        <w:numPr>
          <w:ilvl w:val="0"/>
          <w:numId w:val="49"/>
        </w:numPr>
        <w:spacing w:lineRule="auto"/>
      </w:pPr>
      <w:r>
        <w:rPr/>
        <w:t xml:space="preserve">Estimated CAGR through 2050: 8-10%</w:t>
      </w:r>
    </w:p>
    <w:p>
      <w:pPr>
        <w:spacing w:after="210" w:lineRule="auto"/>
      </w:pPr>
      <w:r>
        <w:rPr>
          <w:b/>
        </w:rPr>
        <w:t xml:space="preserve">Hospice and End-of-Life Care:</w:t>
      </w:r>
    </w:p>
    <w:p>
      <w:pPr>
        <w:numPr>
          <w:ilvl w:val="0"/>
          <w:numId w:val="50"/>
        </w:numPr>
        <w:spacing w:lineRule="auto"/>
      </w:pPr>
      <w:r>
        <w:rPr/>
        <w:t xml:space="preserve">Fastest growing segment (registered as highest-growth in 2023-2030 forecast)</w:t>
      </w:r>
    </w:p>
    <w:p>
      <w:pPr>
        <w:numPr>
          <w:ilvl w:val="0"/>
          <w:numId w:val="50"/>
        </w:numPr>
        <w:spacing w:lineRule="auto"/>
      </w:pPr>
      <w:r>
        <w:rPr/>
        <w:t xml:space="preserve">Driven by increasing mortality, changing attitudes toward end-of-life planning</w:t>
      </w:r>
    </w:p>
    <w:p>
      <w:pPr>
        <w:numPr>
          <w:ilvl w:val="0"/>
          <w:numId w:val="50"/>
        </w:numPr>
        <w:spacing w:lineRule="auto"/>
      </w:pPr>
      <w:r>
        <w:rPr/>
        <w:t xml:space="preserve">Estimated CAGR through 2050: 10-12%</w:t>
      </w:r>
    </w:p>
    <w:p>
      <w:pPr>
        <w:spacing w:after="210" w:lineRule="auto"/>
      </w:pPr>
      <w:r>
        <w:rPr>
          <w:b/>
        </w:rPr>
        <w:t xml:space="preserve">Specialized Dementia Care Units:</w:t>
      </w:r>
    </w:p>
    <w:p>
      <w:pPr>
        <w:numPr>
          <w:ilvl w:val="0"/>
          <w:numId w:val="51"/>
        </w:numPr>
        <w:spacing w:lineRule="auto"/>
      </w:pPr>
      <w:r>
        <w:rPr/>
        <w:t xml:space="preserve">High-growth emerging segment</w:t>
      </w:r>
    </w:p>
    <w:p>
      <w:pPr>
        <w:numPr>
          <w:ilvl w:val="0"/>
          <w:numId w:val="51"/>
        </w:numPr>
        <w:spacing w:lineRule="auto"/>
      </w:pPr>
      <w:r>
        <w:rPr/>
        <w:t xml:space="preserve">Driven by surge in elderly with cognitive impairments (estimated 15-20% of 75+ cohort)</w:t>
      </w:r>
    </w:p>
    <w:p>
      <w:pPr>
        <w:numPr>
          <w:ilvl w:val="0"/>
          <w:numId w:val="51"/>
        </w:numPr>
        <w:spacing w:lineRule="auto"/>
      </w:pPr>
      <w:r>
        <w:rPr/>
        <w:t xml:space="preserve">Premium pricing, labor-intensive service model</w:t>
      </w:r>
    </w:p>
    <w:p>
      <w:pPr>
        <w:numPr>
          <w:ilvl w:val="0"/>
          <w:numId w:val="51"/>
        </w:numPr>
        <w:spacing w:lineRule="auto"/>
      </w:pPr>
      <w:r>
        <w:rPr/>
        <w:t xml:space="preserve">Estimated CAGR through 2050: 12-15%</w:t>
      </w:r>
    </w:p>
    <w:p>
      <w:pPr>
        <w:spacing w:line="271" w:before="240" w:lineRule="auto"/>
      </w:pPr>
      <w:bookmarkStart w:id="36" w:name="premium_sustainability_challenges"/>
      <w:r>
        <w:rPr>
          <w:b/>
          <w:sz w:val="28"/>
        </w:rPr>
        <w:t xml:space="preserve">Premium Sustainability Challenges</w:t>
      </w:r>
      <w:bookmarkEnd w:id="36"/>
    </w:p>
    <w:p>
      <w:pPr>
        <w:spacing w:after="210" w:lineRule="auto"/>
      </w:pPr>
      <w:r>
        <w:rPr>
          <w:b/>
        </w:rPr>
        <w:t xml:space="preserve">Rising Insurance Burden:</w:t>
      </w:r>
    </w:p>
    <w:p>
      <w:pPr>
        <w:numPr>
          <w:ilvl w:val="0"/>
          <w:numId w:val="52"/>
        </w:numPr>
        <w:spacing w:lineRule="auto"/>
      </w:pPr>
      <w:r>
        <w:rPr>
          <w:rFonts w:eastAsia="Georgia" w:cs="Georgia" w:ascii="Georgia" w:hAnsi="Georgia"/>
        </w:rPr>
        <w:t xml:space="preserve">Premiums increased from ¥2,911 (2000) to ¥5,514 (2015) and continuing upward trajectory</w:t>
      </w:r>
    </w:p>
    <w:p>
      <w:pPr>
        <w:numPr>
          <w:ilvl w:val="0"/>
          <w:numId w:val="52"/>
        </w:numPr>
        <w:spacing w:lineRule="auto"/>
      </w:pPr>
      <w:r>
        <w:rPr/>
        <w:t xml:space="preserve">2025 premium rates: 9.34% of income for working age, with further increases expected</w:t>
      </w:r>
    </w:p>
    <w:p>
      <w:pPr>
        <w:numPr>
          <w:ilvl w:val="0"/>
          <w:numId w:val="52"/>
        </w:numPr>
        <w:spacing w:lineRule="auto"/>
      </w:pPr>
      <w:r>
        <w:rPr>
          <w:rFonts w:eastAsia="Georgia" w:cs="Georgia" w:ascii="Georgia" w:hAnsi="Georgia"/>
        </w:rPr>
        <w:t xml:space="preserve">Government subsidies expanded to ¥3.86 trillion (2024), straining public finances</w:t>
      </w:r>
    </w:p>
    <w:p>
      <w:pPr>
        <w:spacing w:after="210" w:lineRule="auto"/>
      </w:pPr>
      <w:r>
        <w:rPr>
          <w:b/>
        </w:rPr>
        <w:t xml:space="preserve">Policy Responses:</w:t>
      </w:r>
    </w:p>
    <w:p>
      <w:pPr>
        <w:numPr>
          <w:ilvl w:val="0"/>
          <w:numId w:val="53"/>
        </w:numPr>
        <w:spacing w:lineRule="auto"/>
      </w:pPr>
      <w:r>
        <w:rPr/>
        <w:t xml:space="preserve">Increased copayments for high-income elderly (20-30% vs. 10% for low-income)</w:t>
      </w:r>
    </w:p>
    <w:p>
      <w:pPr>
        <w:numPr>
          <w:ilvl w:val="0"/>
          <w:numId w:val="53"/>
        </w:numPr>
        <w:spacing w:lineRule="auto"/>
      </w:pPr>
      <w:r>
        <w:rPr/>
        <w:t xml:space="preserve">Discussions to expand premium payer base beyond age 40+</w:t>
      </w:r>
    </w:p>
    <w:p>
      <w:pPr>
        <w:numPr>
          <w:ilvl w:val="0"/>
          <w:numId w:val="53"/>
        </w:numPr>
        <w:spacing w:lineRule="auto"/>
      </w:pPr>
      <w:r>
        <w:rPr/>
        <w:t xml:space="preserve">Emphasis on preventive care and cost-efficiency</w:t>
      </w:r>
    </w:p>
    <w:p>
      <w:pPr>
        <w:numPr>
          <w:ilvl w:val="0"/>
          <w:numId w:val="53"/>
        </w:numPr>
        <w:spacing w:lineRule="auto"/>
      </w:pPr>
      <w:r>
        <w:rPr/>
        <w:t xml:space="preserve">Technology integration (monitoring, AI) to optimize care delivery</w:t>
      </w:r>
    </w:p>
    <w:p>
      <w:pPr>
        <w:spacing w:line="271" w:before="240" w:lineRule="auto"/>
      </w:pPr>
      <w:bookmarkStart w:id="37" w:name="market_size_estimation_6"/>
      <w:r>
        <w:rPr>
          <w:b/>
          <w:sz w:val="28"/>
        </w:rPr>
        <w:t xml:space="preserve">Market Size Estimation</w:t>
      </w:r>
      <w:bookmarkEnd w:id="37"/>
    </w:p>
    <w:p>
      <w:pPr>
        <w:spacing w:after="210" w:lineRule="auto"/>
      </w:pPr>
      <w:r>
        <w:rPr>
          <w:b/>
        </w:rPr>
        <w:t xml:space="preserve">Total Long-Term Care Market (LTCI + Commercialized Services):</w:t>
      </w:r>
    </w:p>
    <w:p>
      <w:pPr>
        <w:numPr>
          <w:ilvl w:val="0"/>
          <w:numId w:val="54"/>
        </w:numPr>
        <w:spacing w:lineRule="auto"/>
      </w:pPr>
      <w:r>
        <w:rPr>
          <w:b/>
        </w:rPr>
        <w:t xml:space="preserve">2020:</w:t>
      </w:r>
      <w:r>
        <w:rPr>
          <w:rFonts w:eastAsia="Georgia" w:cs="Georgia" w:ascii="Georgia" w:hAnsi="Georgia"/>
        </w:rPr>
        <w:t xml:space="preserve"> ¥14-15 trillion</w:t>
      </w:r>
    </w:p>
    <w:p>
      <w:pPr>
        <w:numPr>
          <w:ilvl w:val="0"/>
          <w:numId w:val="54"/>
        </w:numPr>
        <w:spacing w:lineRule="auto"/>
      </w:pPr>
      <w:r>
        <w:rPr>
          <w:b/>
        </w:rPr>
        <w:t xml:space="preserve">2030:</w:t>
      </w:r>
      <w:r>
        <w:rPr>
          <w:rFonts w:eastAsia="Georgia" w:cs="Georgia" w:ascii="Georgia" w:hAnsi="Georgia"/>
        </w:rPr>
        <w:t xml:space="preserve"> ¥20-22 trillion</w:t>
      </w:r>
    </w:p>
    <w:p>
      <w:pPr>
        <w:numPr>
          <w:ilvl w:val="0"/>
          <w:numId w:val="54"/>
        </w:numPr>
        <w:spacing w:lineRule="auto"/>
      </w:pPr>
      <w:r>
        <w:rPr>
          <w:b/>
        </w:rPr>
        <w:t xml:space="preserve">2050:</w:t>
      </w:r>
      <w:r>
        <w:rPr>
          <w:rFonts w:eastAsia="Georgia" w:cs="Georgia" w:ascii="Georgia" w:hAnsi="Georgia"/>
        </w:rPr>
        <w:t xml:space="preserve"> ¥32-38 trillion</w:t>
      </w:r>
    </w:p>
    <w:p>
      <w:pPr>
        <w:spacing w:after="210" w:lineRule="auto"/>
      </w:pPr>
      <w:r>
        <w:rPr/>
        <w:t xml:space="preserve">Represents second-largest elderly consumption category after healthcare, with sustained 4-5% annual growth through 2050 driven by increasing care needs and declining family caregiving capacity.</w:t>
      </w:r>
    </w:p>
    <w:p>
      <w:pPr>
        <w:spacing w:line="271" w:before="240" w:lineRule="auto"/>
      </w:pPr>
      <w:bookmarkStart w:id="38" w:name="bm_3_3_leisure_tourism_and_entert_55dd12"/>
      <w:r>
        <w:rPr>
          <w:b/>
          <w:sz w:val="33"/>
        </w:rPr>
        <w:t xml:space="preserve">3.3 Leisure, Tourism, and Entertainment Market</w:t>
      </w:r>
      <w:bookmarkEnd w:id="38"/>
    </w:p>
    <w:p>
      <w:pPr>
        <w:spacing w:line="271" w:before="240" w:lineRule="auto"/>
      </w:pPr>
      <w:bookmarkStart w:id="39" w:name="current_status_and_behavioral_trends"/>
      <w:r>
        <w:rPr>
          <w:b/>
          <w:sz w:val="28"/>
        </w:rPr>
        <w:t xml:space="preserve">Current Status and Behavioral Trends</w:t>
      </w:r>
      <w:bookmarkEnd w:id="39"/>
    </w:p>
    <w:p>
      <w:pPr>
        <w:spacing w:after="210" w:lineRule="auto"/>
      </w:pPr>
      <w:r>
        <w:rPr>
          <w:rFonts w:eastAsia="Georgia" w:cs="Georgia" w:ascii="Georgia" w:hAnsi="Georgia"/>
        </w:rPr>
        <w:t xml:space="preserve">Japanese elderly exhibit strong propensity for leisure spending compared to many other developed nations. According to consumption survey data, elderly household annual leisure spending averages ¥250,000-300,000, representing 15-18% of total consumption for households aged 70+[7].</w:t>
      </w:r>
    </w:p>
    <w:p>
      <w:pPr>
        <w:spacing w:after="210" w:lineRule="auto"/>
      </w:pPr>
      <w:r>
        <w:rPr>
          <w:b/>
        </w:rPr>
        <w:t xml:space="preserve">Market Size:</w:t>
      </w:r>
    </w:p>
    <w:p>
      <w:pPr>
        <w:numPr>
          <w:ilvl w:val="0"/>
          <w:numId w:val="55"/>
        </w:numPr>
        <w:spacing w:lineRule="auto"/>
      </w:pPr>
      <w:r>
        <w:rPr>
          <w:rFonts w:eastAsia="Georgia" w:cs="Georgia" w:ascii="Georgia" w:hAnsi="Georgia"/>
        </w:rPr>
        <w:t xml:space="preserve">2024 estimated: ¥5.0-6.0 trillion</w:t>
      </w:r>
    </w:p>
    <w:p>
      <w:pPr>
        <w:numPr>
          <w:ilvl w:val="0"/>
          <w:numId w:val="55"/>
        </w:numPr>
        <w:spacing w:lineRule="auto"/>
      </w:pPr>
      <w:r>
        <w:rPr>
          <w:rFonts w:eastAsia="Georgia" w:cs="Georgia" w:ascii="Georgia" w:hAnsi="Georgia"/>
        </w:rPr>
        <w:t xml:space="preserve">2030 projection: ¥6.5-7.5 trillion</w:t>
      </w:r>
    </w:p>
    <w:p>
      <w:pPr>
        <w:numPr>
          <w:ilvl w:val="0"/>
          <w:numId w:val="55"/>
        </w:numPr>
        <w:spacing w:lineRule="auto"/>
      </w:pPr>
      <w:r>
        <w:rPr>
          <w:rFonts w:eastAsia="Georgia" w:cs="Georgia" w:ascii="Georgia" w:hAnsi="Georgia"/>
        </w:rPr>
        <w:t xml:space="preserve">2050 projection: ¥8.0-10.0 trillion</w:t>
      </w:r>
    </w:p>
    <w:p>
      <w:pPr>
        <w:spacing w:line="271" w:before="240" w:lineRule="auto"/>
      </w:pPr>
      <w:bookmarkStart w:id="40" w:name="activity_preferences_and_spending_b93b04"/>
      <w:r>
        <w:rPr>
          <w:b/>
          <w:sz w:val="28"/>
        </w:rPr>
        <w:t xml:space="preserve">Activity Preferences and Spending Patterns</w:t>
      </w:r>
      <w:bookmarkEnd w:id="40"/>
    </w:p>
    <w:p>
      <w:pPr>
        <w:spacing w:after="210" w:lineRule="auto"/>
      </w:pPr>
      <w:r>
        <w:rPr>
          <w:b/>
        </w:rPr>
        <w:t xml:space="preserve">Domestic Travel (Highest Priority):</w:t>
      </w:r>
    </w:p>
    <w:p>
      <w:pPr>
        <w:numPr>
          <w:ilvl w:val="0"/>
          <w:numId w:val="56"/>
        </w:numPr>
        <w:spacing w:lineRule="auto"/>
      </w:pPr>
      <w:r>
        <w:rPr/>
        <w:t xml:space="preserve">Most popular leisure activity: 48.3% of elderly participate in domestic trips</w:t>
      </w:r>
    </w:p>
    <w:p>
      <w:pPr>
        <w:numPr>
          <w:ilvl w:val="0"/>
          <w:numId w:val="56"/>
        </w:numPr>
        <w:spacing w:lineRule="auto"/>
      </w:pPr>
      <w:r>
        <w:rPr/>
        <w:t xml:space="preserve">Average frequency: 4.5 trips per year</w:t>
      </w:r>
    </w:p>
    <w:p>
      <w:pPr>
        <w:numPr>
          <w:ilvl w:val="0"/>
          <w:numId w:val="56"/>
        </w:numPr>
        <w:spacing w:lineRule="auto"/>
      </w:pPr>
      <w:r>
        <w:rPr>
          <w:rFonts w:eastAsia="Georgia" w:cs="Georgia" w:ascii="Georgia" w:hAnsi="Georgia"/>
        </w:rPr>
        <w:t xml:space="preserve">Average annual spending: ¥129,200 per participant[14]</w:t>
      </w:r>
    </w:p>
    <w:p>
      <w:pPr>
        <w:numPr>
          <w:ilvl w:val="0"/>
          <w:numId w:val="56"/>
        </w:numPr>
        <w:spacing w:lineRule="auto"/>
      </w:pPr>
      <w:r>
        <w:rPr/>
        <w:t xml:space="preserve">Popular destinations: Hot springs (onsen), cultural heritage sites, scenic areas</w:t>
      </w:r>
    </w:p>
    <w:p>
      <w:pPr>
        <w:numPr>
          <w:ilvl w:val="0"/>
          <w:numId w:val="56"/>
        </w:numPr>
        <w:spacing w:lineRule="auto"/>
      </w:pPr>
      <w:r>
        <w:rPr/>
        <w:t xml:space="preserve">Growth trend: 5-8% CAGR through 2040</w:t>
      </w:r>
    </w:p>
    <w:p>
      <w:pPr>
        <w:spacing w:after="210" w:lineRule="auto"/>
      </w:pPr>
      <w:r>
        <w:rPr>
          <w:b/>
        </w:rPr>
        <w:t xml:space="preserve">Dining Out and Social Eating:</w:t>
      </w:r>
    </w:p>
    <w:p>
      <w:pPr>
        <w:numPr>
          <w:ilvl w:val="0"/>
          <w:numId w:val="57"/>
        </w:numPr>
        <w:spacing w:lineRule="auto"/>
      </w:pPr>
      <w:r>
        <w:rPr/>
        <w:t xml:space="preserve">35.6% of elderly participate</w:t>
      </w:r>
    </w:p>
    <w:p>
      <w:pPr>
        <w:numPr>
          <w:ilvl w:val="0"/>
          <w:numId w:val="57"/>
        </w:numPr>
        <w:spacing w:lineRule="auto"/>
      </w:pPr>
      <w:r>
        <w:rPr/>
        <w:t xml:space="preserve">Average frequency: 18.6 times per year</w:t>
      </w:r>
    </w:p>
    <w:p>
      <w:pPr>
        <w:numPr>
          <w:ilvl w:val="0"/>
          <w:numId w:val="57"/>
        </w:numPr>
        <w:spacing w:lineRule="auto"/>
      </w:pPr>
      <w:r>
        <w:rPr>
          <w:rFonts w:eastAsia="Georgia" w:cs="Georgia" w:ascii="Georgia" w:hAnsi="Georgia"/>
        </w:rPr>
        <w:t xml:space="preserve">Average annual spending: ¥65,300 per participant[14]</w:t>
      </w:r>
    </w:p>
    <w:p>
      <w:pPr>
        <w:numPr>
          <w:ilvl w:val="0"/>
          <w:numId w:val="57"/>
        </w:numPr>
        <w:spacing w:lineRule="auto"/>
      </w:pPr>
      <w:r>
        <w:rPr/>
        <w:t xml:space="preserve">Preference for traditional Japanese cuisine, comfortable atmospheres</w:t>
      </w:r>
    </w:p>
    <w:p>
      <w:pPr>
        <w:numPr>
          <w:ilvl w:val="0"/>
          <w:numId w:val="57"/>
        </w:numPr>
        <w:spacing w:lineRule="auto"/>
      </w:pPr>
      <w:r>
        <w:rPr/>
        <w:t xml:space="preserve">Increasing restaurant specialization for elderly (softer foods, quieter environments, accessibility)</w:t>
      </w:r>
    </w:p>
    <w:p>
      <w:pPr>
        <w:numPr>
          <w:ilvl w:val="0"/>
          <w:numId w:val="57"/>
        </w:numPr>
        <w:spacing w:lineRule="auto"/>
      </w:pPr>
      <w:r>
        <w:rPr/>
        <w:t xml:space="preserve">Growth trend: 4-6% CAGR</w:t>
      </w:r>
    </w:p>
    <w:p>
      <w:pPr>
        <w:spacing w:after="210" w:lineRule="auto"/>
      </w:pPr>
      <w:r>
        <w:rPr>
          <w:b/>
        </w:rPr>
        <w:t xml:space="preserve">Health and Sports Activities:</w:t>
      </w:r>
    </w:p>
    <w:p>
      <w:pPr>
        <w:numPr>
          <w:ilvl w:val="0"/>
          <w:numId w:val="58"/>
        </w:numPr>
        <w:spacing w:lineRule="auto"/>
      </w:pPr>
      <w:r>
        <w:rPr/>
        <w:t xml:space="preserve">30.3% participate in exercising, walking clubs, or sports</w:t>
      </w:r>
    </w:p>
    <w:p>
      <w:pPr>
        <w:numPr>
          <w:ilvl w:val="0"/>
          <w:numId w:val="58"/>
        </w:numPr>
        <w:spacing w:lineRule="auto"/>
      </w:pPr>
      <w:r>
        <w:rPr/>
        <w:t xml:space="preserve">Growing popularity of gentle exercise classes (Tai chi, yoga, water aerobics)</w:t>
      </w:r>
    </w:p>
    <w:p>
      <w:pPr>
        <w:numPr>
          <w:ilvl w:val="0"/>
          <w:numId w:val="58"/>
        </w:numPr>
        <w:spacing w:lineRule="auto"/>
      </w:pPr>
      <w:r>
        <w:rPr/>
        <w:t xml:space="preserve">Gateball (elderly-oriented sport) participation significant in rural areas</w:t>
      </w:r>
    </w:p>
    <w:p>
      <w:pPr>
        <w:numPr>
          <w:ilvl w:val="0"/>
          <w:numId w:val="58"/>
        </w:numPr>
        <w:spacing w:lineRule="auto"/>
      </w:pPr>
      <w:r>
        <w:rPr/>
        <w:t xml:space="preserve">Market includes fitness center memberships (increasing number of elderly-focused facilities) and equipment</w:t>
      </w:r>
    </w:p>
    <w:p>
      <w:pPr>
        <w:spacing w:after="210" w:lineRule="auto"/>
      </w:pPr>
      <w:r>
        <w:rPr>
          <w:b/>
        </w:rPr>
        <w:t xml:space="preserve">Video and Digital Entertainment:</w:t>
      </w:r>
    </w:p>
    <w:p>
      <w:pPr>
        <w:numPr>
          <w:ilvl w:val="0"/>
          <w:numId w:val="59"/>
        </w:numPr>
        <w:spacing w:lineRule="auto"/>
      </w:pPr>
      <w:r>
        <w:rPr/>
        <w:t xml:space="preserve">38.1% watching videos (streaming, rental), growing fastest segment</w:t>
      </w:r>
    </w:p>
    <w:p>
      <w:pPr>
        <w:numPr>
          <w:ilvl w:val="0"/>
          <w:numId w:val="59"/>
        </w:numPr>
        <w:spacing w:lineRule="auto"/>
      </w:pPr>
      <w:r>
        <w:rPr/>
        <w:t xml:space="preserve">Increasing adoption of Netflix, YouTube, traditional television</w:t>
      </w:r>
    </w:p>
    <w:p>
      <w:pPr>
        <w:numPr>
          <w:ilvl w:val="0"/>
          <w:numId w:val="59"/>
        </w:numPr>
        <w:spacing w:lineRule="auto"/>
      </w:pPr>
      <w:r>
        <w:rPr/>
        <w:t xml:space="preserve">Audio entertainment (music, podcasts) also growing</w:t>
      </w:r>
    </w:p>
    <w:p>
      <w:pPr>
        <w:numPr>
          <w:ilvl w:val="0"/>
          <w:numId w:val="59"/>
        </w:numPr>
        <w:spacing w:lineRule="auto"/>
      </w:pPr>
      <w:r>
        <w:rPr/>
        <w:t xml:space="preserve">Digital divide narrowing: 60%+ of 65-74 cohort now online (vs. 40% in 2015)</w:t>
      </w:r>
    </w:p>
    <w:p>
      <w:pPr>
        <w:spacing w:after="210" w:lineRule="auto"/>
      </w:pPr>
      <w:r>
        <w:rPr>
          <w:b/>
        </w:rPr>
        <w:t xml:space="preserve">Cultural and Artistic Engagement:</w:t>
      </w:r>
    </w:p>
    <w:p>
      <w:pPr>
        <w:numPr>
          <w:ilvl w:val="0"/>
          <w:numId w:val="60"/>
        </w:numPr>
        <w:spacing w:lineRule="auto"/>
      </w:pPr>
      <w:r>
        <w:rPr/>
        <w:t xml:space="preserve">Reading (33.8%), music listening (33.3%), theater/cinema</w:t>
      </w:r>
    </w:p>
    <w:p>
      <w:pPr>
        <w:numPr>
          <w:ilvl w:val="0"/>
          <w:numId w:val="60"/>
        </w:numPr>
        <w:spacing w:lineRule="auto"/>
      </w:pPr>
      <w:r>
        <w:rPr/>
        <w:t xml:space="preserve">Arts classes (calligraphy, painting, music lessons)</w:t>
      </w:r>
    </w:p>
    <w:p>
      <w:pPr>
        <w:numPr>
          <w:ilvl w:val="0"/>
          <w:numId w:val="60"/>
        </w:numPr>
        <w:spacing w:lineRule="auto"/>
      </w:pPr>
      <w:r>
        <w:rPr/>
        <w:t xml:space="preserve">Museum and cultural site visits</w:t>
      </w:r>
    </w:p>
    <w:p>
      <w:pPr>
        <w:numPr>
          <w:ilvl w:val="0"/>
          <w:numId w:val="60"/>
        </w:numPr>
        <w:spacing w:lineRule="auto"/>
      </w:pPr>
      <w:r>
        <w:rPr/>
        <w:t xml:space="preserve">Growing interest among affluent, active elderly</w:t>
      </w:r>
    </w:p>
    <w:p>
      <w:pPr>
        <w:spacing w:line="271" w:before="240" w:lineRule="auto"/>
      </w:pPr>
      <w:bookmarkStart w:id="41" w:name="market_segmentation_3"/>
      <w:r>
        <w:rPr>
          <w:b/>
          <w:sz w:val="28"/>
        </w:rPr>
        <w:t xml:space="preserve">Market Segmentation</w:t>
      </w:r>
      <w:bookmarkEnd w:id="41"/>
    </w:p>
    <w:p>
      <w:pPr>
        <w:spacing w:after="210" w:lineRule="auto"/>
      </w:pPr>
      <w:r>
        <w:rPr>
          <w:b/>
        </w:rPr>
        <w:t xml:space="preserve">Domestic Tourism Industry:</w:t>
      </w:r>
    </w:p>
    <w:p>
      <w:pPr>
        <w:numPr>
          <w:ilvl w:val="0"/>
          <w:numId w:val="61"/>
        </w:numPr>
        <w:spacing w:lineRule="auto"/>
      </w:pPr>
      <w:r>
        <w:rPr/>
        <w:t xml:space="preserve">Hotels, resorts, transportation</w:t>
      </w:r>
    </w:p>
    <w:p>
      <w:pPr>
        <w:numPr>
          <w:ilvl w:val="0"/>
          <w:numId w:val="61"/>
        </w:numPr>
        <w:spacing w:lineRule="auto"/>
      </w:pPr>
      <w:r>
        <w:rPr>
          <w:rFonts w:eastAsia="Georgia" w:cs="Georgia" w:ascii="Georgia" w:hAnsi="Georgia"/>
        </w:rPr>
        <w:t xml:space="preserve">Estimated market 2024: ¥2.5-3.0 trillion</w:t>
      </w:r>
    </w:p>
    <w:p>
      <w:pPr>
        <w:numPr>
          <w:ilvl w:val="0"/>
          <w:numId w:val="61"/>
        </w:numPr>
        <w:spacing w:lineRule="auto"/>
      </w:pPr>
      <w:r>
        <w:rPr/>
        <w:t xml:space="preserve">Growth 2020-2050: 5-8% CAGR</w:t>
      </w:r>
    </w:p>
    <w:p>
      <w:pPr>
        <w:numPr>
          <w:ilvl w:val="0"/>
          <w:numId w:val="61"/>
        </w:numPr>
        <w:spacing w:lineRule="auto"/>
      </w:pPr>
      <w:r>
        <w:rPr/>
        <w:t xml:space="preserve">Key trends: Extended stays, package tours, accessibility improvements</w:t>
      </w:r>
    </w:p>
    <w:p>
      <w:pPr>
        <w:spacing w:after="210" w:lineRule="auto"/>
      </w:pPr>
      <w:r>
        <w:rPr>
          <w:b/>
        </w:rPr>
        <w:t xml:space="preserve">Restaurant and Food Service:</w:t>
      </w:r>
    </w:p>
    <w:p>
      <w:pPr>
        <w:numPr>
          <w:ilvl w:val="0"/>
          <w:numId w:val="62"/>
        </w:numPr>
        <w:spacing w:lineRule="auto"/>
      </w:pPr>
      <w:r>
        <w:rPr/>
        <w:t xml:space="preserve">Elderly-focused dining concepts emerging</w:t>
      </w:r>
    </w:p>
    <w:p>
      <w:pPr>
        <w:numPr>
          <w:ilvl w:val="0"/>
          <w:numId w:val="62"/>
        </w:numPr>
        <w:spacing w:lineRule="auto"/>
      </w:pPr>
      <w:r>
        <w:rPr>
          <w:rFonts w:eastAsia="Georgia" w:cs="Georgia" w:ascii="Georgia" w:hAnsi="Georgia"/>
        </w:rPr>
        <w:t xml:space="preserve">Estimated market 2024: ¥1.0-1.2 trillion</w:t>
      </w:r>
    </w:p>
    <w:p>
      <w:pPr>
        <w:numPr>
          <w:ilvl w:val="0"/>
          <w:numId w:val="62"/>
        </w:numPr>
        <w:spacing w:lineRule="auto"/>
      </w:pPr>
      <w:r>
        <w:rPr/>
        <w:t xml:space="preserve">Growth: 4-6% CAGR</w:t>
      </w:r>
    </w:p>
    <w:p>
      <w:pPr>
        <w:spacing w:after="210" w:lineRule="auto"/>
      </w:pPr>
      <w:r>
        <w:rPr>
          <w:b/>
        </w:rPr>
        <w:t xml:space="preserve">Entertainment and Arts:</w:t>
      </w:r>
    </w:p>
    <w:p>
      <w:pPr>
        <w:numPr>
          <w:ilvl w:val="0"/>
          <w:numId w:val="63"/>
        </w:numPr>
        <w:spacing w:lineRule="auto"/>
      </w:pPr>
      <w:r>
        <w:rPr/>
        <w:t xml:space="preserve">Streaming subscriptions, concert/theater attendance, classes</w:t>
      </w:r>
    </w:p>
    <w:p>
      <w:pPr>
        <w:numPr>
          <w:ilvl w:val="0"/>
          <w:numId w:val="63"/>
        </w:numPr>
        <w:spacing w:lineRule="auto"/>
      </w:pPr>
      <w:r>
        <w:rPr>
          <w:rFonts w:eastAsia="Georgia" w:cs="Georgia" w:ascii="Georgia" w:hAnsi="Georgia"/>
        </w:rPr>
        <w:t xml:space="preserve">Estimated market 2024: ¥500-700 billion</w:t>
      </w:r>
    </w:p>
    <w:p>
      <w:pPr>
        <w:numPr>
          <w:ilvl w:val="0"/>
          <w:numId w:val="63"/>
        </w:numPr>
        <w:spacing w:lineRule="auto"/>
      </w:pPr>
      <w:r>
        <w:rPr/>
        <w:t xml:space="preserve">Growth: 8-12% CAGR (digital entertainment fastest)</w:t>
      </w:r>
    </w:p>
    <w:p>
      <w:pPr>
        <w:spacing w:after="210" w:lineRule="auto"/>
      </w:pPr>
      <w:r>
        <w:rPr>
          <w:b/>
        </w:rPr>
        <w:t xml:space="preserve">Sports and Fitness:</w:t>
      </w:r>
    </w:p>
    <w:p>
      <w:pPr>
        <w:numPr>
          <w:ilvl w:val="0"/>
          <w:numId w:val="64"/>
        </w:numPr>
        <w:spacing w:lineRule="auto"/>
      </w:pPr>
      <w:r>
        <w:rPr/>
        <w:t xml:space="preserve">Facility memberships, equipment, classes</w:t>
      </w:r>
    </w:p>
    <w:p>
      <w:pPr>
        <w:numPr>
          <w:ilvl w:val="0"/>
          <w:numId w:val="64"/>
        </w:numPr>
        <w:spacing w:lineRule="auto"/>
      </w:pPr>
      <w:r>
        <w:rPr>
          <w:rFonts w:eastAsia="Georgia" w:cs="Georgia" w:ascii="Georgia" w:hAnsi="Georgia"/>
        </w:rPr>
        <w:t xml:space="preserve">Estimated market 2024: ¥300-400 billion</w:t>
      </w:r>
    </w:p>
    <w:p>
      <w:pPr>
        <w:numPr>
          <w:ilvl w:val="0"/>
          <w:numId w:val="64"/>
        </w:numPr>
        <w:spacing w:lineRule="auto"/>
      </w:pPr>
      <w:r>
        <w:rPr/>
        <w:t xml:space="preserve">Growth: 6-10% CAGR</w:t>
      </w:r>
    </w:p>
    <w:p>
      <w:pPr>
        <w:spacing w:line="271" w:before="240" w:lineRule="auto"/>
      </w:pPr>
      <w:bookmarkStart w:id="42" w:name="market_size_estimation_7"/>
      <w:r>
        <w:rPr>
          <w:b/>
          <w:sz w:val="28"/>
        </w:rPr>
        <w:t xml:space="preserve">Market Size Estimation</w:t>
      </w:r>
      <w:bookmarkEnd w:id="42"/>
    </w:p>
    <w:p>
      <w:pPr>
        <w:spacing w:after="210" w:lineRule="auto"/>
      </w:pPr>
      <w:r>
        <w:rPr>
          <w:b/>
        </w:rPr>
        <w:t xml:space="preserve">Total Leisure and Entertainment Market (Elderly):</w:t>
      </w:r>
    </w:p>
    <w:p>
      <w:pPr>
        <w:numPr>
          <w:ilvl w:val="0"/>
          <w:numId w:val="65"/>
        </w:numPr>
        <w:spacing w:lineRule="auto"/>
      </w:pPr>
      <w:r>
        <w:rPr>
          <w:b/>
        </w:rPr>
        <w:t xml:space="preserve">2020:</w:t>
      </w:r>
      <w:r>
        <w:rPr>
          <w:rFonts w:eastAsia="Georgia" w:cs="Georgia" w:ascii="Georgia" w:hAnsi="Georgia"/>
        </w:rPr>
        <w:t xml:space="preserve"> ¥5.0 trillion</w:t>
      </w:r>
    </w:p>
    <w:p>
      <w:pPr>
        <w:numPr>
          <w:ilvl w:val="0"/>
          <w:numId w:val="65"/>
        </w:numPr>
        <w:spacing w:lineRule="auto"/>
      </w:pPr>
      <w:r>
        <w:rPr>
          <w:b/>
        </w:rPr>
        <w:t xml:space="preserve">2030:</w:t>
      </w:r>
      <w:r>
        <w:rPr>
          <w:rFonts w:eastAsia="Georgia" w:cs="Georgia" w:ascii="Georgia" w:hAnsi="Georgia"/>
        </w:rPr>
        <w:t xml:space="preserve"> ¥6.8 trillion</w:t>
      </w:r>
    </w:p>
    <w:p>
      <w:pPr>
        <w:numPr>
          <w:ilvl w:val="0"/>
          <w:numId w:val="65"/>
        </w:numPr>
        <w:spacing w:lineRule="auto"/>
      </w:pPr>
      <w:r>
        <w:rPr>
          <w:b/>
        </w:rPr>
        <w:t xml:space="preserve">2050:</w:t>
      </w:r>
      <w:r>
        <w:rPr>
          <w:rFonts w:eastAsia="Georgia" w:cs="Georgia" w:ascii="Georgia" w:hAnsi="Georgia"/>
        </w:rPr>
        <w:t xml:space="preserve"> ¥8.5 trillion</w:t>
      </w:r>
    </w:p>
    <w:p>
      <w:pPr>
        <w:spacing w:after="210" w:lineRule="auto"/>
      </w:pPr>
      <w:r>
        <w:rPr/>
        <w:t xml:space="preserve">Growth driven by: increasing per-capita spending among active elderly (65-75), longer healthy lifespan enabling extended leisure activity, rising health consciousness promoting sports participation, and digital entertainment adoption growth.</w:t>
      </w:r>
    </w:p>
    <w:p>
      <w:pPr>
        <w:spacing w:line="271" w:before="240" w:lineRule="auto"/>
      </w:pPr>
      <w:bookmarkStart w:id="43" w:name="bm_3_4_technology_and_digital_ser_26e476"/>
      <w:r>
        <w:rPr>
          <w:b/>
          <w:sz w:val="33"/>
        </w:rPr>
        <w:t xml:space="preserve">3.4 Technology and Digital Services Market</w:t>
      </w:r>
      <w:bookmarkEnd w:id="43"/>
    </w:p>
    <w:p>
      <w:pPr>
        <w:spacing w:line="271" w:before="240" w:lineRule="auto"/>
      </w:pPr>
      <w:bookmarkStart w:id="44" w:name="current_status_and_growth_trajectory"/>
      <w:r>
        <w:rPr>
          <w:b/>
          <w:sz w:val="28"/>
        </w:rPr>
        <w:t xml:space="preserve">Current Status and Growth Trajectory</w:t>
      </w:r>
      <w:bookmarkEnd w:id="44"/>
    </w:p>
    <w:p>
      <w:pPr>
        <w:spacing w:after="210" w:lineRule="auto"/>
      </w:pPr>
      <w:r>
        <w:rPr/>
        <w:t xml:space="preserve">Technology represents the fastest-growing elderly consumption category, driven by government policy support, increasing accessibility of elderly-friendly devices, and growing digital adoption among aging population.</w:t>
      </w:r>
    </w:p>
    <w:p>
      <w:pPr>
        <w:spacing w:after="210" w:lineRule="auto"/>
      </w:pPr>
      <w:r>
        <w:rPr>
          <w:b/>
        </w:rPr>
        <w:t xml:space="preserve">Market Size:</w:t>
      </w:r>
    </w:p>
    <w:p>
      <w:pPr>
        <w:numPr>
          <w:ilvl w:val="0"/>
          <w:numId w:val="66"/>
        </w:numPr>
        <w:spacing w:lineRule="auto"/>
      </w:pPr>
      <w:r>
        <w:rPr/>
        <w:t xml:space="preserve">2024: USD 10.96 billion (digital health alone)</w:t>
      </w:r>
    </w:p>
    <w:p>
      <w:pPr>
        <w:numPr>
          <w:ilvl w:val="0"/>
          <w:numId w:val="66"/>
        </w:numPr>
        <w:spacing w:lineRule="auto"/>
      </w:pPr>
      <w:r>
        <w:rPr/>
        <w:t xml:space="preserve">Projection 2033: USD 51.42 billion (CAGR 19.0%) for digital health[11]</w:t>
      </w:r>
    </w:p>
    <w:p>
      <w:pPr>
        <w:numPr>
          <w:ilvl w:val="0"/>
          <w:numId w:val="66"/>
        </w:numPr>
        <w:spacing w:lineRule="auto"/>
      </w:pPr>
      <w:r>
        <w:rPr>
          <w:rFonts w:eastAsia="Georgia" w:cs="Georgia" w:ascii="Georgia" w:hAnsi="Georgia"/>
        </w:rPr>
        <w:t xml:space="preserve">Broader tech market including smart home, wearables, smartphones, etc.: ~USD 15-20 billion in 2024</w:t>
      </w:r>
    </w:p>
    <w:p>
      <w:pPr>
        <w:numPr>
          <w:ilvl w:val="0"/>
          <w:numId w:val="66"/>
        </w:numPr>
        <w:spacing w:lineRule="auto"/>
      </w:pPr>
      <w:r>
        <w:rPr/>
        <w:t xml:space="preserve">2050 projection: USD 60-80 billion for technology services targeting elderly</w:t>
      </w:r>
    </w:p>
    <w:p>
      <w:pPr>
        <w:spacing w:line="271" w:before="240" w:lineRule="auto"/>
      </w:pPr>
      <w:bookmarkStart w:id="45" w:name="sectoral_breakdown"/>
      <w:r>
        <w:rPr>
          <w:b/>
          <w:sz w:val="28"/>
        </w:rPr>
        <w:t xml:space="preserve">Sectoral Breakdown</w:t>
      </w:r>
      <w:bookmarkEnd w:id="45"/>
    </w:p>
    <w:p>
      <w:pPr>
        <w:spacing w:after="210" w:lineRule="auto"/>
      </w:pPr>
      <w:r>
        <w:rPr>
          <w:b/>
        </w:rPr>
        <w:t xml:space="preserve">Digital Health and mHealth (Largest Segment):</w:t>
      </w:r>
    </w:p>
    <w:p>
      <w:pPr>
        <w:numPr>
          <w:ilvl w:val="0"/>
          <w:numId w:val="67"/>
        </w:numPr>
        <w:spacing w:lineRule="auto"/>
      </w:pPr>
      <w:r>
        <w:rPr/>
        <w:t xml:space="preserve">38.1% CAGR expected for mHealth specifically</w:t>
      </w:r>
    </w:p>
    <w:p>
      <w:pPr>
        <w:numPr>
          <w:ilvl w:val="0"/>
          <w:numId w:val="67"/>
        </w:numPr>
        <w:spacing w:lineRule="auto"/>
      </w:pPr>
      <w:r>
        <w:rPr/>
        <w:t xml:space="preserve">Applications: Remote monitoring devices, medication management, telemedicine platforms</w:t>
      </w:r>
    </w:p>
    <w:p>
      <w:pPr>
        <w:numPr>
          <w:ilvl w:val="0"/>
          <w:numId w:val="67"/>
        </w:numPr>
        <w:spacing w:lineRule="auto"/>
      </w:pPr>
      <w:r>
        <w:rPr/>
        <w:t xml:space="preserve">Market drivers: Rural healthcare shortages, COVID-pandemic normalization of telehealth, government subsidies</w:t>
      </w:r>
    </w:p>
    <w:p>
      <w:pPr>
        <w:numPr>
          <w:ilvl w:val="0"/>
          <w:numId w:val="67"/>
        </w:numPr>
        <w:spacing w:lineRule="auto"/>
      </w:pPr>
      <w:r>
        <w:rPr/>
        <w:t xml:space="preserve">Target users: All age groups but especially 75+ with chronic disease management needs</w:t>
      </w:r>
    </w:p>
    <w:p>
      <w:pPr>
        <w:spacing w:after="210" w:lineRule="auto"/>
      </w:pPr>
      <w:r>
        <w:rPr>
          <w:b/>
        </w:rPr>
        <w:t xml:space="preserve">Smart Home and Assistive Technology:</w:t>
      </w:r>
    </w:p>
    <w:p>
      <w:pPr>
        <w:numPr>
          <w:ilvl w:val="0"/>
          <w:numId w:val="68"/>
        </w:numPr>
        <w:spacing w:lineRule="auto"/>
      </w:pPr>
      <w:r>
        <w:rPr/>
        <w:t xml:space="preserve">IoT-enabled monitoring systems: fall detection, activity monitoring, emergency alerts</w:t>
      </w:r>
    </w:p>
    <w:p>
      <w:pPr>
        <w:numPr>
          <w:ilvl w:val="0"/>
          <w:numId w:val="68"/>
        </w:numPr>
        <w:spacing w:lineRule="auto"/>
      </w:pPr>
      <w:r>
        <w:rPr/>
        <w:t xml:space="preserve">Voice-activated assistants adapted for elderly (larger fonts, simplified interfaces)</w:t>
      </w:r>
    </w:p>
    <w:p>
      <w:pPr>
        <w:numPr>
          <w:ilvl w:val="0"/>
          <w:numId w:val="68"/>
        </w:numPr>
        <w:spacing w:lineRule="auto"/>
      </w:pPr>
      <w:r>
        <w:rPr>
          <w:rFonts w:eastAsia="Georgia" w:cs="Georgia" w:ascii="Georgia" w:hAnsi="Georgia"/>
        </w:rPr>
        <w:t xml:space="preserve">Estimated market 2024: ¥50-100 billion</w:t>
      </w:r>
    </w:p>
    <w:p>
      <w:pPr>
        <w:numPr>
          <w:ilvl w:val="0"/>
          <w:numId w:val="68"/>
        </w:numPr>
        <w:spacing w:lineRule="auto"/>
      </w:pPr>
      <w:r>
        <w:rPr/>
        <w:t xml:space="preserve">Growth CAGR: 15-20% through 2040</w:t>
      </w:r>
    </w:p>
    <w:p>
      <w:pPr>
        <w:spacing w:after="210" w:lineRule="auto"/>
      </w:pPr>
      <w:r>
        <w:rPr>
          <w:b/>
        </w:rPr>
        <w:t xml:space="preserve">Wearables and Health Tracking:</w:t>
      </w:r>
    </w:p>
    <w:p>
      <w:pPr>
        <w:numPr>
          <w:ilvl w:val="0"/>
          <w:numId w:val="69"/>
        </w:numPr>
        <w:spacing w:lineRule="auto"/>
      </w:pPr>
      <w:r>
        <w:rPr/>
        <w:t xml:space="preserve">Smartwatches, fitness trackers, medical-grade wearables (glucose monitors, blood pressure, cardiac monitors)</w:t>
      </w:r>
    </w:p>
    <w:p>
      <w:pPr>
        <w:numPr>
          <w:ilvl w:val="0"/>
          <w:numId w:val="69"/>
        </w:numPr>
        <w:spacing w:lineRule="auto"/>
      </w:pPr>
      <w:r>
        <w:rPr/>
        <w:t xml:space="preserve">Integration with care providers and family members for remote monitoring</w:t>
      </w:r>
    </w:p>
    <w:p>
      <w:pPr>
        <w:numPr>
          <w:ilvl w:val="0"/>
          <w:numId w:val="69"/>
        </w:numPr>
        <w:spacing w:lineRule="auto"/>
      </w:pPr>
      <w:r>
        <w:rPr/>
        <w:t xml:space="preserve">Growing adoption among health-conscious 65-75 cohort</w:t>
      </w:r>
    </w:p>
    <w:p>
      <w:pPr>
        <w:numPr>
          <w:ilvl w:val="0"/>
          <w:numId w:val="69"/>
        </w:numPr>
        <w:spacing w:lineRule="auto"/>
      </w:pPr>
      <w:r>
        <w:rPr>
          <w:rFonts w:eastAsia="Georgia" w:cs="Georgia" w:ascii="Georgia" w:hAnsi="Georgia"/>
        </w:rPr>
        <w:t xml:space="preserve">Estimated market 2024: ¥30-50 billion</w:t>
      </w:r>
    </w:p>
    <w:p>
      <w:pPr>
        <w:numPr>
          <w:ilvl w:val="0"/>
          <w:numId w:val="69"/>
        </w:numPr>
        <w:spacing w:lineRule="auto"/>
      </w:pPr>
      <w:r>
        <w:rPr/>
        <w:t xml:space="preserve">Growth CAGR: 18-22% through 2040</w:t>
      </w:r>
    </w:p>
    <w:p>
      <w:pPr>
        <w:spacing w:after="210" w:lineRule="auto"/>
      </w:pPr>
      <w:r>
        <w:rPr>
          <w:b/>
        </w:rPr>
        <w:t xml:space="preserve">Smartphones and Computing Devices (Elderly-Optimized):</w:t>
      </w:r>
    </w:p>
    <w:p>
      <w:pPr>
        <w:numPr>
          <w:ilvl w:val="0"/>
          <w:numId w:val="70"/>
        </w:numPr>
        <w:spacing w:lineRule="auto"/>
      </w:pPr>
      <w:r>
        <w:rPr/>
        <w:t xml:space="preserve">Rakuraku Phone (NTT Docomo's elderly-focused smartphone)</w:t>
      </w:r>
    </w:p>
    <w:p>
      <w:pPr>
        <w:numPr>
          <w:ilvl w:val="0"/>
          <w:numId w:val="70"/>
        </w:numPr>
        <w:spacing w:lineRule="auto"/>
      </w:pPr>
      <w:r>
        <w:rPr/>
        <w:t xml:space="preserve">Larger screens, simplified interfaces, health monitoring integration</w:t>
      </w:r>
    </w:p>
    <w:p>
      <w:pPr>
        <w:numPr>
          <w:ilvl w:val="0"/>
          <w:numId w:val="70"/>
        </w:numPr>
        <w:spacing w:lineRule="auto"/>
      </w:pPr>
      <w:r>
        <w:rPr/>
        <w:t xml:space="preserve">Growing adoption: 60%+ of 65-74 cohort online, increasing to 70%+ by 2030</w:t>
      </w:r>
    </w:p>
    <w:p>
      <w:pPr>
        <w:numPr>
          <w:ilvl w:val="0"/>
          <w:numId w:val="70"/>
        </w:numPr>
        <w:spacing w:lineRule="auto"/>
      </w:pPr>
      <w:r>
        <w:rPr/>
        <w:t xml:space="preserve">Market drivers: Social connection, financial services, health management, leisure (video streaming)</w:t>
      </w:r>
    </w:p>
    <w:p>
      <w:pPr>
        <w:spacing w:after="210" w:lineRule="auto"/>
      </w:pPr>
      <w:r>
        <w:rPr>
          <w:b/>
        </w:rPr>
        <w:t xml:space="preserve">Robotics and Autonomous Systems:</w:t>
      </w:r>
    </w:p>
    <w:p>
      <w:pPr>
        <w:numPr>
          <w:ilvl w:val="0"/>
          <w:numId w:val="71"/>
        </w:numPr>
        <w:spacing w:lineRule="auto"/>
      </w:pPr>
      <w:r>
        <w:rPr/>
        <w:t xml:space="preserve">Nursing care robots, cleaning robots, mobility assistance robots</w:t>
      </w:r>
    </w:p>
    <w:p>
      <w:pPr>
        <w:numPr>
          <w:ilvl w:val="0"/>
          <w:numId w:val="71"/>
        </w:numPr>
        <w:spacing w:lineRule="auto"/>
      </w:pPr>
      <w:r>
        <w:rPr>
          <w:rFonts w:eastAsia="Georgia" w:cs="Georgia" w:ascii="Georgia" w:hAnsi="Georgia"/>
        </w:rPr>
        <w:t xml:space="preserve">Estimated market 2024: ¥20-40 billion</w:t>
      </w:r>
    </w:p>
    <w:p>
      <w:pPr>
        <w:numPr>
          <w:ilvl w:val="0"/>
          <w:numId w:val="71"/>
        </w:numPr>
        <w:spacing w:lineRule="auto"/>
      </w:pPr>
      <w:r>
        <w:rPr>
          <w:rFonts w:eastAsia="Georgia" w:cs="Georgia" w:ascii="Georgia" w:hAnsi="Georgia"/>
        </w:rPr>
        <w:t xml:space="preserve">2050 projection: ¥100-150 billion</w:t>
      </w:r>
    </w:p>
    <w:p>
      <w:pPr>
        <w:numPr>
          <w:ilvl w:val="0"/>
          <w:numId w:val="71"/>
        </w:numPr>
        <w:spacing w:lineRule="auto"/>
      </w:pPr>
      <w:r>
        <w:rPr/>
        <w:t xml:space="preserve">CAGR: 12-18% through 2050</w:t>
      </w:r>
    </w:p>
    <w:p>
      <w:pPr>
        <w:numPr>
          <w:ilvl w:val="0"/>
          <w:numId w:val="71"/>
        </w:numPr>
        <w:spacing w:lineRule="auto"/>
      </w:pPr>
      <w:r>
        <w:rPr/>
        <w:t xml:space="preserve">Government support through innovation policies</w:t>
      </w:r>
    </w:p>
    <w:p>
      <w:pPr>
        <w:spacing w:after="210" w:lineRule="auto"/>
      </w:pPr>
      <w:r>
        <w:rPr>
          <w:b/>
        </w:rPr>
        <w:t xml:space="preserve">Financial and Administrative Technology:</w:t>
      </w:r>
    </w:p>
    <w:p>
      <w:pPr>
        <w:numPr>
          <w:ilvl w:val="0"/>
          <w:numId w:val="72"/>
        </w:numPr>
        <w:spacing w:lineRule="auto"/>
      </w:pPr>
      <w:r>
        <w:rPr/>
        <w:t xml:space="preserve">Digital banking platforms designed for elderly</w:t>
      </w:r>
    </w:p>
    <w:p>
      <w:pPr>
        <w:numPr>
          <w:ilvl w:val="0"/>
          <w:numId w:val="72"/>
        </w:numPr>
        <w:spacing w:lineRule="auto"/>
      </w:pPr>
      <w:r>
        <w:rPr/>
        <w:t xml:space="preserve">Estate management, will preparation, end-of-life planning platforms (Yorisou, Famitra)</w:t>
      </w:r>
    </w:p>
    <w:p>
      <w:pPr>
        <w:numPr>
          <w:ilvl w:val="0"/>
          <w:numId w:val="72"/>
        </w:numPr>
        <w:spacing w:lineRule="auto"/>
      </w:pPr>
      <w:r>
        <w:rPr/>
        <w:t xml:space="preserve">Fraud protection and scam-prevention tools</w:t>
      </w:r>
    </w:p>
    <w:p>
      <w:pPr>
        <w:numPr>
          <w:ilvl w:val="0"/>
          <w:numId w:val="72"/>
        </w:numPr>
        <w:spacing w:lineRule="auto"/>
      </w:pPr>
      <w:r>
        <w:rPr>
          <w:rFonts w:eastAsia="Georgia" w:cs="Georgia" w:ascii="Georgia" w:hAnsi="Georgia"/>
        </w:rPr>
        <w:t xml:space="preserve">Estimated market 2024: ¥10-20 billion</w:t>
      </w:r>
    </w:p>
    <w:p>
      <w:pPr>
        <w:numPr>
          <w:ilvl w:val="0"/>
          <w:numId w:val="72"/>
        </w:numPr>
        <w:spacing w:lineRule="auto"/>
      </w:pPr>
      <w:r>
        <w:rPr/>
        <w:t xml:space="preserve">Growth CAGR: 10-14%</w:t>
      </w:r>
    </w:p>
    <w:p>
      <w:pPr>
        <w:spacing w:line="271" w:before="240" w:lineRule="auto"/>
      </w:pPr>
      <w:bookmarkStart w:id="46" w:name="adoption_barriers_and_growth_drivers"/>
      <w:r>
        <w:rPr>
          <w:b/>
          <w:sz w:val="28"/>
        </w:rPr>
        <w:t xml:space="preserve">Adoption Barriers and Growth Drivers</w:t>
      </w:r>
      <w:bookmarkEnd w:id="46"/>
    </w:p>
    <w:p>
      <w:pPr>
        <w:spacing w:after="210" w:lineRule="auto"/>
      </w:pPr>
      <w:r>
        <w:rPr>
          <w:b/>
        </w:rPr>
        <w:t xml:space="preserve">Barriers:</w:t>
      </w:r>
    </w:p>
    <w:p>
      <w:pPr>
        <w:numPr>
          <w:ilvl w:val="0"/>
          <w:numId w:val="73"/>
        </w:numPr>
        <w:spacing w:lineRule="auto"/>
      </w:pPr>
      <w:r>
        <w:rPr/>
        <w:t xml:space="preserve">Digital divide persistent among 75+ cohort (40-50% online penetration vs. 70%+ for 65-74)</w:t>
      </w:r>
    </w:p>
    <w:p>
      <w:pPr>
        <w:numPr>
          <w:ilvl w:val="0"/>
          <w:numId w:val="73"/>
        </w:numPr>
        <w:spacing w:lineRule="auto"/>
      </w:pPr>
      <w:r>
        <w:rPr/>
        <w:t xml:space="preserve">Cognitive decline limiting technology adoption in very advanced ages</w:t>
      </w:r>
    </w:p>
    <w:p>
      <w:pPr>
        <w:numPr>
          <w:ilvl w:val="0"/>
          <w:numId w:val="73"/>
        </w:numPr>
        <w:spacing w:lineRule="auto"/>
      </w:pPr>
      <w:r>
        <w:rPr/>
        <w:t xml:space="preserve">Preference for human interaction over automated systems in healthcare</w:t>
      </w:r>
    </w:p>
    <w:p>
      <w:pPr>
        <w:numPr>
          <w:ilvl w:val="0"/>
          <w:numId w:val="73"/>
        </w:numPr>
        <w:spacing w:lineRule="auto"/>
      </w:pPr>
      <w:r>
        <w:rPr/>
        <w:t xml:space="preserve">Cost barriers for lower-income elderly</w:t>
      </w:r>
    </w:p>
    <w:p>
      <w:pPr>
        <w:spacing w:after="210" w:lineRule="auto"/>
      </w:pPr>
      <w:r>
        <w:rPr>
          <w:b/>
        </w:rPr>
        <w:t xml:space="preserve">Growth Drivers:</w:t>
      </w:r>
    </w:p>
    <w:p>
      <w:pPr>
        <w:numPr>
          <w:ilvl w:val="0"/>
          <w:numId w:val="74"/>
        </w:numPr>
        <w:spacing w:lineRule="auto"/>
      </w:pPr>
      <w:r>
        <w:rPr/>
        <w:t xml:space="preserve">Government subsidies and integration into healthcare policy</w:t>
      </w:r>
    </w:p>
    <w:p>
      <w:pPr>
        <w:numPr>
          <w:ilvl w:val="0"/>
          <w:numId w:val="74"/>
        </w:numPr>
        <w:spacing w:lineRule="auto"/>
      </w:pPr>
      <w:r>
        <w:rPr/>
        <w:t xml:space="preserve">Improvement in elderly-friendly interface design</w:t>
      </w:r>
    </w:p>
    <w:p>
      <w:pPr>
        <w:numPr>
          <w:ilvl w:val="0"/>
          <w:numId w:val="74"/>
        </w:numPr>
        <w:spacing w:lineRule="auto"/>
      </w:pPr>
      <w:r>
        <w:rPr/>
        <w:t xml:space="preserve">Increasing digital literacy among newly-retired "young elderly"</w:t>
      </w:r>
    </w:p>
    <w:p>
      <w:pPr>
        <w:numPr>
          <w:ilvl w:val="0"/>
          <w:numId w:val="74"/>
        </w:numPr>
        <w:spacing w:lineRule="auto"/>
      </w:pPr>
      <w:r>
        <w:rPr/>
        <w:t xml:space="preserve">Caregiver burden reduction (adult children supporting aging parents)</w:t>
      </w:r>
    </w:p>
    <w:p>
      <w:pPr>
        <w:numPr>
          <w:ilvl w:val="0"/>
          <w:numId w:val="74"/>
        </w:numPr>
        <w:spacing w:lineRule="auto"/>
      </w:pPr>
      <w:r>
        <w:rPr/>
        <w:t xml:space="preserve">Labor shortage in healthcare driving technology substitution</w:t>
      </w:r>
    </w:p>
    <w:p>
      <w:pPr>
        <w:spacing w:line="271" w:before="240" w:lineRule="auto"/>
      </w:pPr>
      <w:bookmarkStart w:id="47" w:name="market_size_estimation_8"/>
      <w:r>
        <w:rPr>
          <w:b/>
          <w:sz w:val="28"/>
        </w:rPr>
        <w:t xml:space="preserve">Market Size Estimation</w:t>
      </w:r>
      <w:bookmarkEnd w:id="47"/>
    </w:p>
    <w:p>
      <w:pPr>
        <w:spacing w:after="210" w:lineRule="auto"/>
      </w:pPr>
      <w:r>
        <w:rPr>
          <w:b/>
        </w:rPr>
        <w:t xml:space="preserve">Total Technology Market (Elderly-Targeted):</w:t>
      </w:r>
    </w:p>
    <w:p>
      <w:pPr>
        <w:numPr>
          <w:ilvl w:val="0"/>
          <w:numId w:val="75"/>
        </w:numPr>
        <w:spacing w:lineRule="auto"/>
      </w:pPr>
      <w:r>
        <w:rPr>
          <w:b/>
        </w:rPr>
        <w:t xml:space="preserve">2020:</w:t>
      </w:r>
      <w:r>
        <w:rPr>
          <w:rFonts w:eastAsia="Georgia" w:cs="Georgia" w:ascii="Georgia" w:hAnsi="Georgia"/>
        </w:rPr>
        <w:t xml:space="preserve"> ¥800 billion (USD 7.3 billion)</w:t>
      </w:r>
    </w:p>
    <w:p>
      <w:pPr>
        <w:numPr>
          <w:ilvl w:val="0"/>
          <w:numId w:val="75"/>
        </w:numPr>
        <w:spacing w:lineRule="auto"/>
      </w:pPr>
      <w:r>
        <w:rPr>
          <w:b/>
        </w:rPr>
        <w:t xml:space="preserve">2030:</w:t>
      </w:r>
      <w:r>
        <w:rPr>
          <w:rFonts w:eastAsia="Georgia" w:cs="Georgia" w:ascii="Georgia" w:hAnsi="Georgia"/>
        </w:rPr>
        <w:t xml:space="preserve"> ¥2.5 trillion (USD 18-20 billion)</w:t>
      </w:r>
    </w:p>
    <w:p>
      <w:pPr>
        <w:numPr>
          <w:ilvl w:val="0"/>
          <w:numId w:val="75"/>
        </w:numPr>
        <w:spacing w:lineRule="auto"/>
      </w:pPr>
      <w:r>
        <w:rPr>
          <w:b/>
        </w:rPr>
        <w:t xml:space="preserve">2050:</w:t>
      </w:r>
      <w:r>
        <w:rPr>
          <w:rFonts w:eastAsia="Georgia" w:cs="Georgia" w:ascii="Georgia" w:hAnsi="Georgia"/>
        </w:rPr>
        <w:t xml:space="preserve"> ¥5.5-6.5 trillion (USD 40-50 billion)</w:t>
      </w:r>
    </w:p>
    <w:p>
      <w:pPr>
        <w:spacing w:after="210" w:lineRule="auto"/>
      </w:pPr>
      <w:r>
        <w:rPr/>
        <w:t xml:space="preserve">Highest growth category with 15-18% CAGR through 2040, decelerating to 8-10% through 2050 as market matures and penetration increases.</w:t>
      </w:r>
    </w:p>
    <w:p>
      <w:pPr>
        <w:spacing w:line="271" w:before="240" w:lineRule="auto"/>
      </w:pPr>
      <w:bookmarkStart w:id="48" w:name="bm_3_5_financial_services_market"/>
      <w:r>
        <w:rPr>
          <w:b/>
          <w:sz w:val="33"/>
        </w:rPr>
        <w:t xml:space="preserve">3.5 Financial Services Market</w:t>
      </w:r>
      <w:bookmarkEnd w:id="48"/>
    </w:p>
    <w:p>
      <w:pPr>
        <w:spacing w:line="271" w:before="240" w:lineRule="auto"/>
      </w:pPr>
      <w:bookmarkStart w:id="49" w:name="current_status_and_opportunities"/>
      <w:r>
        <w:rPr>
          <w:b/>
          <w:sz w:val="28"/>
        </w:rPr>
        <w:t xml:space="preserve">Current Status and Opportunities</w:t>
      </w:r>
      <w:bookmarkEnd w:id="49"/>
    </w:p>
    <w:p>
      <w:pPr>
        <w:spacing w:after="210" w:lineRule="auto"/>
      </w:pPr>
      <w:r>
        <w:rPr>
          <w:rFonts w:eastAsia="Georgia" w:cs="Georgia" w:ascii="Georgia" w:hAnsi="Georgia"/>
        </w:rPr>
        <w:t xml:space="preserve">Japan's elderly population controls significant financial assets, though asset distribution is highly unequal. Approximately 10% of single-person elderly households possess financial assets exceeding ¥20 million, while 20%+ possess less than ¥5 million[15].</w:t>
      </w:r>
    </w:p>
    <w:p>
      <w:pPr>
        <w:spacing w:after="210" w:lineRule="auto"/>
      </w:pPr>
      <w:r>
        <w:rPr>
          <w:b/>
        </w:rPr>
        <w:t xml:space="preserve">Market Size:</w:t>
      </w:r>
    </w:p>
    <w:p>
      <w:pPr>
        <w:numPr>
          <w:ilvl w:val="0"/>
          <w:numId w:val="76"/>
        </w:numPr>
        <w:spacing w:lineRule="auto"/>
      </w:pPr>
      <w:r>
        <w:rPr>
          <w:rFonts w:eastAsia="Georgia" w:cs="Georgia" w:ascii="Georgia" w:hAnsi="Georgia"/>
        </w:rPr>
        <w:t xml:space="preserve">2024 estimated: ¥1.5-2.0 trillion</w:t>
      </w:r>
    </w:p>
    <w:p>
      <w:pPr>
        <w:numPr>
          <w:ilvl w:val="0"/>
          <w:numId w:val="76"/>
        </w:numPr>
        <w:spacing w:lineRule="auto"/>
      </w:pPr>
      <w:r>
        <w:rPr>
          <w:rFonts w:eastAsia="Georgia" w:cs="Georgia" w:ascii="Georgia" w:hAnsi="Georgia"/>
        </w:rPr>
        <w:t xml:space="preserve">2030 projection: ¥2.5-3.5 trillion</w:t>
      </w:r>
    </w:p>
    <w:p>
      <w:pPr>
        <w:numPr>
          <w:ilvl w:val="0"/>
          <w:numId w:val="76"/>
        </w:numPr>
        <w:spacing w:lineRule="auto"/>
      </w:pPr>
      <w:r>
        <w:rPr>
          <w:rFonts w:eastAsia="Georgia" w:cs="Georgia" w:ascii="Georgia" w:hAnsi="Georgia"/>
        </w:rPr>
        <w:t xml:space="preserve">2050 projection: ¥4.0-5.5 trillion</w:t>
      </w:r>
    </w:p>
    <w:p>
      <w:pPr>
        <w:spacing w:line="271" w:before="240" w:lineRule="auto"/>
      </w:pPr>
      <w:bookmarkStart w:id="50" w:name="service_categories"/>
      <w:r>
        <w:rPr>
          <w:b/>
          <w:sz w:val="28"/>
        </w:rPr>
        <w:t xml:space="preserve">Service Categories</w:t>
      </w:r>
      <w:bookmarkEnd w:id="50"/>
    </w:p>
    <w:p>
      <w:pPr>
        <w:spacing w:after="210" w:lineRule="auto"/>
      </w:pPr>
      <w:r>
        <w:rPr>
          <w:b/>
        </w:rPr>
        <w:t xml:space="preserve">Asset Management and Wealth Planning:</w:t>
      </w:r>
    </w:p>
    <w:p>
      <w:pPr>
        <w:numPr>
          <w:ilvl w:val="0"/>
          <w:numId w:val="77"/>
        </w:numPr>
        <w:spacing w:lineRule="auto"/>
      </w:pPr>
      <w:r>
        <w:rPr>
          <w:rFonts w:eastAsia="Georgia" w:cs="Georgia" w:ascii="Georgia" w:hAnsi="Georgia"/>
        </w:rPr>
        <w:t xml:space="preserve">Premium segment targeting affluent elderly (¥10+ million assets)</w:t>
      </w:r>
    </w:p>
    <w:p>
      <w:pPr>
        <w:numPr>
          <w:ilvl w:val="0"/>
          <w:numId w:val="77"/>
        </w:numPr>
        <w:spacing w:lineRule="auto"/>
      </w:pPr>
      <w:r>
        <w:rPr/>
        <w:t xml:space="preserve">Growing emphasis on succession planning and tax efficiency</w:t>
      </w:r>
    </w:p>
    <w:p>
      <w:pPr>
        <w:numPr>
          <w:ilvl w:val="0"/>
          <w:numId w:val="77"/>
        </w:numPr>
        <w:spacing w:lineRule="auto"/>
      </w:pPr>
      <w:r>
        <w:rPr>
          <w:rFonts w:eastAsia="Georgia" w:cs="Georgia" w:ascii="Georgia" w:hAnsi="Georgia"/>
        </w:rPr>
        <w:t xml:space="preserve">Estimated market 2024: ¥400-600 billion</w:t>
      </w:r>
    </w:p>
    <w:p>
      <w:pPr>
        <w:numPr>
          <w:ilvl w:val="0"/>
          <w:numId w:val="77"/>
        </w:numPr>
        <w:spacing w:lineRule="auto"/>
      </w:pPr>
      <w:r>
        <w:rPr/>
        <w:t xml:space="preserve">Growth CAGR: 3-5%</w:t>
      </w:r>
    </w:p>
    <w:p>
      <w:pPr>
        <w:spacing w:after="210" w:lineRule="auto"/>
      </w:pPr>
      <w:r>
        <w:rPr>
          <w:b/>
        </w:rPr>
        <w:t xml:space="preserve">Pension and Income Planning:</w:t>
      </w:r>
    </w:p>
    <w:p>
      <w:pPr>
        <w:numPr>
          <w:ilvl w:val="0"/>
          <w:numId w:val="78"/>
        </w:numPr>
        <w:spacing w:lineRule="auto"/>
      </w:pPr>
      <w:r>
        <w:rPr>
          <w:rFonts w:eastAsia="Georgia" w:cs="Georgia" w:ascii="Georgia" w:hAnsi="Georgia"/>
        </w:rPr>
        <w:t xml:space="preserve">Average elderly household income ¥1.6 million annually</w:t>
      </w:r>
    </w:p>
    <w:p>
      <w:pPr>
        <w:numPr>
          <w:ilvl w:val="0"/>
          <w:numId w:val="78"/>
        </w:numPr>
        <w:spacing w:lineRule="auto"/>
      </w:pPr>
      <w:r>
        <w:rPr/>
        <w:t xml:space="preserve">Increasing interest in optimizing pension withdrawal timing</w:t>
      </w:r>
    </w:p>
    <w:p>
      <w:pPr>
        <w:numPr>
          <w:ilvl w:val="0"/>
          <w:numId w:val="78"/>
        </w:numPr>
        <w:spacing w:lineRule="auto"/>
      </w:pPr>
      <w:r>
        <w:rPr/>
        <w:t xml:space="preserve">Digital platforms for benefit calculation and planning</w:t>
      </w:r>
    </w:p>
    <w:p>
      <w:pPr>
        <w:numPr>
          <w:ilvl w:val="0"/>
          <w:numId w:val="78"/>
        </w:numPr>
        <w:spacing w:lineRule="auto"/>
      </w:pPr>
      <w:r>
        <w:rPr>
          <w:rFonts w:eastAsia="Georgia" w:cs="Georgia" w:ascii="Georgia" w:hAnsi="Georgia"/>
        </w:rPr>
        <w:t xml:space="preserve">Estimated market 2024: ¥300-400 billion</w:t>
      </w:r>
    </w:p>
    <w:p>
      <w:pPr>
        <w:numPr>
          <w:ilvl w:val="0"/>
          <w:numId w:val="78"/>
        </w:numPr>
        <w:spacing w:lineRule="auto"/>
      </w:pPr>
      <w:r>
        <w:rPr/>
        <w:t xml:space="preserve">Growth CAGR: 4-6%</w:t>
      </w:r>
    </w:p>
    <w:p>
      <w:pPr>
        <w:spacing w:after="210" w:lineRule="auto"/>
      </w:pPr>
      <w:r>
        <w:rPr>
          <w:b/>
        </w:rPr>
        <w:t xml:space="preserve">Insurance Products (Long-term Care, Life, Medical):</w:t>
      </w:r>
    </w:p>
    <w:p>
      <w:pPr>
        <w:numPr>
          <w:ilvl w:val="0"/>
          <w:numId w:val="79"/>
        </w:numPr>
        <w:spacing w:lineRule="auto"/>
      </w:pPr>
      <w:r>
        <w:rPr/>
        <w:t xml:space="preserve">Long-term care insurance: Mandatory participation, but supplemental private insurance growing</w:t>
      </w:r>
    </w:p>
    <w:p>
      <w:pPr>
        <w:numPr>
          <w:ilvl w:val="0"/>
          <w:numId w:val="79"/>
        </w:numPr>
        <w:spacing w:lineRule="auto"/>
      </w:pPr>
      <w:r>
        <w:rPr/>
        <w:t xml:space="preserve">Medical and hospitalization insurance: Popular among 65-75 cohort</w:t>
      </w:r>
    </w:p>
    <w:p>
      <w:pPr>
        <w:numPr>
          <w:ilvl w:val="0"/>
          <w:numId w:val="79"/>
        </w:numPr>
        <w:spacing w:lineRule="auto"/>
      </w:pPr>
      <w:r>
        <w:rPr/>
        <w:t xml:space="preserve">Life insurance: Less relevant for elderly, but existing policies maintained</w:t>
      </w:r>
    </w:p>
    <w:p>
      <w:pPr>
        <w:numPr>
          <w:ilvl w:val="0"/>
          <w:numId w:val="79"/>
        </w:numPr>
        <w:spacing w:lineRule="auto"/>
      </w:pPr>
      <w:r>
        <w:rPr>
          <w:rFonts w:eastAsia="Georgia" w:cs="Georgia" w:ascii="Georgia" w:hAnsi="Georgia"/>
        </w:rPr>
        <w:t xml:space="preserve">Estimated market 2024: ¥2.0-2.5 trillion (includes LTCI premiums)</w:t>
      </w:r>
    </w:p>
    <w:p>
      <w:pPr>
        <w:numPr>
          <w:ilvl w:val="0"/>
          <w:numId w:val="79"/>
        </w:numPr>
        <w:spacing w:lineRule="auto"/>
      </w:pPr>
      <w:r>
        <w:rPr/>
        <w:t xml:space="preserve">Growth CAGR: 3-4%</w:t>
      </w:r>
    </w:p>
    <w:p>
      <w:pPr>
        <w:spacing w:after="210" w:lineRule="auto"/>
      </w:pPr>
      <w:r>
        <w:rPr>
          <w:b/>
        </w:rPr>
        <w:t xml:space="preserve">Estate Planning and End-of-Life Management:</w:t>
      </w:r>
    </w:p>
    <w:p>
      <w:pPr>
        <w:numPr>
          <w:ilvl w:val="0"/>
          <w:numId w:val="80"/>
        </w:numPr>
        <w:spacing w:lineRule="auto"/>
      </w:pPr>
      <w:r>
        <w:rPr/>
        <w:t xml:space="preserve">Growing market for wills, trusts, probate planning</w:t>
      </w:r>
    </w:p>
    <w:p>
      <w:pPr>
        <w:numPr>
          <w:ilvl w:val="0"/>
          <w:numId w:val="80"/>
        </w:numPr>
        <w:spacing w:lineRule="auto"/>
      </w:pPr>
      <w:r>
        <w:rPr/>
        <w:t xml:space="preserve">Digital platforms (Yorisou, Famitra) facilitating process</w:t>
      </w:r>
    </w:p>
    <w:p>
      <w:pPr>
        <w:numPr>
          <w:ilvl w:val="0"/>
          <w:numId w:val="80"/>
        </w:numPr>
        <w:spacing w:lineRule="auto"/>
      </w:pPr>
      <w:r>
        <w:rPr>
          <w:rFonts w:eastAsia="Georgia" w:cs="Georgia" w:ascii="Georgia" w:hAnsi="Georgia"/>
        </w:rPr>
        <w:t xml:space="preserve">Estimated market 2024: ¥50-100 billion</w:t>
      </w:r>
    </w:p>
    <w:p>
      <w:pPr>
        <w:numPr>
          <w:ilvl w:val="0"/>
          <w:numId w:val="80"/>
        </w:numPr>
        <w:spacing w:lineRule="auto"/>
      </w:pPr>
      <w:r>
        <w:rPr/>
        <w:t xml:space="preserve">Growth CAGR: 8-12% (fastest in category due to cultural shift toward advanced planning)</w:t>
      </w:r>
    </w:p>
    <w:p>
      <w:pPr>
        <w:spacing w:after="210" w:lineRule="auto"/>
      </w:pPr>
      <w:r>
        <w:rPr>
          <w:b/>
        </w:rPr>
        <w:t xml:space="preserve">Loan and Credit Products:</w:t>
      </w:r>
    </w:p>
    <w:p>
      <w:pPr>
        <w:numPr>
          <w:ilvl w:val="0"/>
          <w:numId w:val="81"/>
        </w:numPr>
        <w:spacing w:lineRule="auto"/>
      </w:pPr>
      <w:r>
        <w:rPr/>
        <w:t xml:space="preserve">Reverse mortgages on home equity (limited uptake, cultural factors)</w:t>
      </w:r>
    </w:p>
    <w:p>
      <w:pPr>
        <w:numPr>
          <w:ilvl w:val="0"/>
          <w:numId w:val="81"/>
        </w:numPr>
        <w:spacing w:lineRule="auto"/>
      </w:pPr>
      <w:r>
        <w:rPr/>
        <w:t xml:space="preserve">Smaller-scale credit for home modifications and healthcare</w:t>
      </w:r>
    </w:p>
    <w:p>
      <w:pPr>
        <w:numPr>
          <w:ilvl w:val="0"/>
          <w:numId w:val="81"/>
        </w:numPr>
        <w:spacing w:lineRule="auto"/>
      </w:pPr>
      <w:r>
        <w:rPr>
          <w:rFonts w:eastAsia="Georgia" w:cs="Georgia" w:ascii="Georgia" w:hAnsi="Georgia"/>
        </w:rPr>
        <w:t xml:space="preserve">Estimated market 2024: ¥20-50 billion</w:t>
      </w:r>
    </w:p>
    <w:p>
      <w:pPr>
        <w:numPr>
          <w:ilvl w:val="0"/>
          <w:numId w:val="81"/>
        </w:numPr>
        <w:spacing w:lineRule="auto"/>
      </w:pPr>
      <w:r>
        <w:rPr/>
        <w:t xml:space="preserve">Growth CAGR: 2-4% (limited by preference for payment-in-full and declining borrowing rates)</w:t>
      </w:r>
    </w:p>
    <w:p>
      <w:pPr>
        <w:spacing w:line="271" w:before="240" w:lineRule="auto"/>
      </w:pPr>
      <w:bookmarkStart w:id="51" w:name="market_dynamics_and_consumer_behavior"/>
      <w:r>
        <w:rPr>
          <w:b/>
          <w:sz w:val="28"/>
        </w:rPr>
        <w:t xml:space="preserve">Market Dynamics and Consumer Behavior</w:t>
      </w:r>
      <w:bookmarkEnd w:id="51"/>
    </w:p>
    <w:p>
      <w:pPr>
        <w:spacing w:after="210" w:lineRule="auto"/>
      </w:pPr>
      <w:r>
        <w:rPr>
          <w:b/>
        </w:rPr>
        <w:t xml:space="preserve">Income and Savings:</w:t>
      </w:r>
    </w:p>
    <w:p>
      <w:pPr>
        <w:numPr>
          <w:ilvl w:val="0"/>
          <w:numId w:val="82"/>
        </w:numPr>
        <w:spacing w:lineRule="auto"/>
      </w:pPr>
      <w:r>
        <w:rPr>
          <w:rFonts w:eastAsia="Georgia" w:cs="Georgia" w:ascii="Georgia" w:hAnsi="Georgia"/>
        </w:rPr>
        <w:t xml:space="preserve">Disposable income for 75+ cohort: ¥1.82 million annually (after premiums, taxes)</w:t>
      </w:r>
    </w:p>
    <w:p>
      <w:pPr>
        <w:numPr>
          <w:ilvl w:val="0"/>
          <w:numId w:val="82"/>
        </w:numPr>
        <w:spacing w:lineRule="auto"/>
      </w:pPr>
      <w:r>
        <w:rPr>
          <w:rFonts w:eastAsia="Georgia" w:cs="Georgia" w:ascii="Georgia" w:hAnsi="Georgia"/>
        </w:rPr>
        <w:t xml:space="preserve">Disposable income for 65-74 cohort: ¥1.76 million annually</w:t>
      </w:r>
    </w:p>
    <w:p>
      <w:pPr>
        <w:numPr>
          <w:ilvl w:val="0"/>
          <w:numId w:val="82"/>
        </w:numPr>
        <w:spacing w:lineRule="auto"/>
      </w:pPr>
      <w:r>
        <w:rPr>
          <w:rFonts w:eastAsia="Georgia" w:cs="Georgia" w:ascii="Georgia" w:hAnsi="Georgia"/>
        </w:rPr>
        <w:t xml:space="preserve">Compared to young cohort (25-30): ¥1.6 million (lower taxes/insurance, but lower gross income)</w:t>
      </w:r>
    </w:p>
    <w:p>
      <w:pPr>
        <w:numPr>
          <w:ilvl w:val="0"/>
          <w:numId w:val="82"/>
        </w:numPr>
        <w:spacing w:lineRule="auto"/>
      </w:pPr>
      <w:r>
        <w:rPr/>
        <w:t xml:space="preserve">Many elderly continue saving despite retirement, building asset base for legacy or healthcare contingencies</w:t>
      </w:r>
    </w:p>
    <w:p>
      <w:pPr>
        <w:spacing w:after="210" w:lineRule="auto"/>
      </w:pPr>
      <w:r>
        <w:rPr>
          <w:b/>
        </w:rPr>
        <w:t xml:space="preserve">Willingness and Constraints:</w:t>
      </w:r>
    </w:p>
    <w:p>
      <w:pPr>
        <w:numPr>
          <w:ilvl w:val="0"/>
          <w:numId w:val="83"/>
        </w:numPr>
        <w:spacing w:lineRule="auto"/>
      </w:pPr>
      <w:r>
        <w:rPr/>
        <w:t xml:space="preserve">High health and retirement security consciousness</w:t>
      </w:r>
    </w:p>
    <w:p>
      <w:pPr>
        <w:numPr>
          <w:ilvl w:val="0"/>
          <w:numId w:val="83"/>
        </w:numPr>
        <w:spacing w:lineRule="auto"/>
      </w:pPr>
      <w:r>
        <w:rPr/>
        <w:t xml:space="preserve">Family support expectations: Many expect children to assist with major expenses</w:t>
      </w:r>
    </w:p>
    <w:p>
      <w:pPr>
        <w:numPr>
          <w:ilvl w:val="0"/>
          <w:numId w:val="83"/>
        </w:numPr>
        <w:spacing w:lineRule="auto"/>
      </w:pPr>
      <w:r>
        <w:rPr/>
        <w:t xml:space="preserve">Preference for transparency and trustworthy institutions</w:t>
      </w:r>
    </w:p>
    <w:p>
      <w:pPr>
        <w:numPr>
          <w:ilvl w:val="0"/>
          <w:numId w:val="83"/>
        </w:numPr>
        <w:spacing w:lineRule="auto"/>
      </w:pPr>
      <w:r>
        <w:rPr/>
        <w:t xml:space="preserve">Increasing intragenerational inequality: Affluent elderly (real estate assets, pension income) vs. struggling elderly (limited savings, family support limited)</w:t>
      </w:r>
    </w:p>
    <w:p>
      <w:pPr>
        <w:spacing w:after="210" w:lineRule="auto"/>
      </w:pPr>
      <w:r>
        <w:rPr>
          <w:b/>
        </w:rPr>
        <w:t xml:space="preserve">Vulnerability to Fraud:</w:t>
      </w:r>
    </w:p>
    <w:p>
      <w:pPr>
        <w:numPr>
          <w:ilvl w:val="0"/>
          <w:numId w:val="84"/>
        </w:numPr>
        <w:spacing w:lineRule="auto"/>
      </w:pPr>
      <w:r>
        <w:rPr/>
        <w:t xml:space="preserve">Elderly heavily targeted by investment scams, real estate schemes</w:t>
      </w:r>
    </w:p>
    <w:p>
      <w:pPr>
        <w:numPr>
          <w:ilvl w:val="0"/>
          <w:numId w:val="84"/>
        </w:numPr>
        <w:spacing w:lineRule="auto"/>
      </w:pPr>
      <w:r>
        <w:rPr/>
        <w:t xml:space="preserve">Growing need for financial fraud protection services</w:t>
      </w:r>
    </w:p>
    <w:p>
      <w:pPr>
        <w:numPr>
          <w:ilvl w:val="0"/>
          <w:numId w:val="84"/>
        </w:numPr>
        <w:spacing w:lineRule="auto"/>
      </w:pPr>
      <w:r>
        <w:rPr>
          <w:rFonts w:eastAsia="Georgia" w:cs="Georgia" w:ascii="Georgia" w:hAnsi="Georgia"/>
        </w:rPr>
        <w:t xml:space="preserve">Estimated fraud-prevention market opportunity: ¥20-50 billion by 2050</w:t>
      </w:r>
    </w:p>
    <w:p>
      <w:pPr>
        <w:spacing w:line="271" w:before="240" w:lineRule="auto"/>
      </w:pPr>
      <w:bookmarkStart w:id="52" w:name="market_size_estimation_9"/>
      <w:r>
        <w:rPr>
          <w:b/>
          <w:sz w:val="28"/>
        </w:rPr>
        <w:t xml:space="preserve">Market Size Estimation</w:t>
      </w:r>
      <w:bookmarkEnd w:id="52"/>
    </w:p>
    <w:p>
      <w:pPr>
        <w:spacing w:after="210" w:lineRule="auto"/>
      </w:pPr>
      <w:r>
        <w:rPr>
          <w:b/>
        </w:rPr>
        <w:t xml:space="preserve">Total Financial Services Market (Elderly):</w:t>
      </w:r>
    </w:p>
    <w:p>
      <w:pPr>
        <w:numPr>
          <w:ilvl w:val="0"/>
          <w:numId w:val="85"/>
        </w:numPr>
        <w:spacing w:lineRule="auto"/>
      </w:pPr>
      <w:r>
        <w:rPr>
          <w:b/>
        </w:rPr>
        <w:t xml:space="preserve">2020:</w:t>
      </w:r>
      <w:r>
        <w:rPr>
          <w:rFonts w:eastAsia="Georgia" w:cs="Georgia" w:ascii="Georgia" w:hAnsi="Georgia"/>
        </w:rPr>
        <w:t xml:space="preserve"> ¥1.5 trillion</w:t>
      </w:r>
    </w:p>
    <w:p>
      <w:pPr>
        <w:numPr>
          <w:ilvl w:val="0"/>
          <w:numId w:val="85"/>
        </w:numPr>
        <w:spacing w:lineRule="auto"/>
      </w:pPr>
      <w:r>
        <w:rPr>
          <w:b/>
        </w:rPr>
        <w:t xml:space="preserve">2030:</w:t>
      </w:r>
      <w:r>
        <w:rPr>
          <w:rFonts w:eastAsia="Georgia" w:cs="Georgia" w:ascii="Georgia" w:hAnsi="Georgia"/>
        </w:rPr>
        <w:t xml:space="preserve"> ¥2.8 trillion</w:t>
      </w:r>
    </w:p>
    <w:p>
      <w:pPr>
        <w:numPr>
          <w:ilvl w:val="0"/>
          <w:numId w:val="85"/>
        </w:numPr>
        <w:spacing w:lineRule="auto"/>
      </w:pPr>
      <w:r>
        <w:rPr>
          <w:b/>
        </w:rPr>
        <w:t xml:space="preserve">2050:</w:t>
      </w:r>
      <w:r>
        <w:rPr>
          <w:rFonts w:eastAsia="Georgia" w:cs="Georgia" w:ascii="Georgia" w:hAnsi="Georgia"/>
        </w:rPr>
        <w:t xml:space="preserve"> ¥4.5 trillion</w:t>
      </w:r>
    </w:p>
    <w:p>
      <w:pPr>
        <w:spacing w:after="210" w:lineRule="auto"/>
      </w:pPr>
      <w:r>
        <w:rPr/>
        <w:t xml:space="preserve">Moderate growth 2.5-3.5% CAGR driven by asset base growth, increasing complexity of retirement income management, and emerging estate-planning demand. Estate planning represents fastest-growing subsegment (8-12% CAGR).</w:t>
      </w:r>
    </w:p>
    <w:p>
      <w:pPr>
        <w:spacing w:line="271" w:before="240" w:lineRule="auto"/>
      </w:pPr>
      <w:bookmarkStart w:id="53" w:name="bm_3_6_personal_care_and_grooming_market"/>
      <w:r>
        <w:rPr>
          <w:b/>
          <w:sz w:val="33"/>
        </w:rPr>
        <w:t xml:space="preserve">3.6 Personal Care and Grooming Market</w:t>
      </w:r>
      <w:bookmarkEnd w:id="53"/>
    </w:p>
    <w:p>
      <w:pPr>
        <w:spacing w:line="271" w:before="240" w:lineRule="auto"/>
      </w:pPr>
      <w:bookmarkStart w:id="54" w:name="current_status_3"/>
      <w:r>
        <w:rPr>
          <w:b/>
          <w:sz w:val="28"/>
        </w:rPr>
        <w:t xml:space="preserve">Current Status</w:t>
      </w:r>
      <w:bookmarkEnd w:id="54"/>
    </w:p>
    <w:p>
      <w:pPr>
        <w:spacing w:after="210" w:lineRule="auto"/>
      </w:pPr>
      <w:r>
        <w:rPr/>
        <w:t xml:space="preserve">Personal care (including haircare, cosmetics, and grooming services) represents a specialized but growing market segment. Elderly demonstrate continued interest in personal grooming and appearance maintenance, though spending is lower than younger cohorts.</w:t>
      </w:r>
    </w:p>
    <w:p>
      <w:pPr>
        <w:spacing w:after="210" w:lineRule="auto"/>
      </w:pPr>
      <w:r>
        <w:rPr>
          <w:b/>
        </w:rPr>
        <w:t xml:space="preserve">Market Size:</w:t>
      </w:r>
    </w:p>
    <w:p>
      <w:pPr>
        <w:numPr>
          <w:ilvl w:val="0"/>
          <w:numId w:val="86"/>
        </w:numPr>
        <w:spacing w:lineRule="auto"/>
      </w:pPr>
      <w:r>
        <w:rPr>
          <w:rFonts w:eastAsia="Georgia" w:cs="Georgia" w:ascii="Georgia" w:hAnsi="Georgia"/>
        </w:rPr>
        <w:t xml:space="preserve">2024 estimated: ¥300-400 billion</w:t>
      </w:r>
    </w:p>
    <w:p>
      <w:pPr>
        <w:numPr>
          <w:ilvl w:val="0"/>
          <w:numId w:val="86"/>
        </w:numPr>
        <w:spacing w:lineRule="auto"/>
      </w:pPr>
      <w:r>
        <w:rPr>
          <w:rFonts w:eastAsia="Georgia" w:cs="Georgia" w:ascii="Georgia" w:hAnsi="Georgia"/>
        </w:rPr>
        <w:t xml:space="preserve">2030 projection: ¥450-550 billion</w:t>
      </w:r>
    </w:p>
    <w:p>
      <w:pPr>
        <w:numPr>
          <w:ilvl w:val="0"/>
          <w:numId w:val="86"/>
        </w:numPr>
        <w:spacing w:lineRule="auto"/>
      </w:pPr>
      <w:r>
        <w:rPr>
          <w:rFonts w:eastAsia="Georgia" w:cs="Georgia" w:ascii="Georgia" w:hAnsi="Georgia"/>
        </w:rPr>
        <w:t xml:space="preserve">2050 projection: ¥600-800 billion</w:t>
      </w:r>
    </w:p>
    <w:p>
      <w:pPr>
        <w:spacing w:line="271" w:before="240" w:lineRule="auto"/>
      </w:pPr>
      <w:bookmarkStart w:id="55" w:name="product_and_service_categories"/>
      <w:r>
        <w:rPr>
          <w:b/>
          <w:sz w:val="28"/>
        </w:rPr>
        <w:t xml:space="preserve">Product and Service Categories</w:t>
      </w:r>
      <w:bookmarkEnd w:id="55"/>
    </w:p>
    <w:p>
      <w:pPr>
        <w:spacing w:after="210" w:lineRule="auto"/>
      </w:pPr>
      <w:r>
        <w:rPr>
          <w:b/>
        </w:rPr>
        <w:t xml:space="preserve">Hair Care and Grooming Services:</w:t>
      </w:r>
    </w:p>
    <w:p>
      <w:pPr>
        <w:numPr>
          <w:ilvl w:val="0"/>
          <w:numId w:val="87"/>
        </w:numPr>
        <w:spacing w:lineRule="auto"/>
      </w:pPr>
      <w:r>
        <w:rPr/>
        <w:t xml:space="preserve">Regular salon visits remain common among elderly, particularly women</w:t>
      </w:r>
    </w:p>
    <w:p>
      <w:pPr>
        <w:numPr>
          <w:ilvl w:val="0"/>
          <w:numId w:val="87"/>
        </w:numPr>
        <w:spacing w:lineRule="auto"/>
      </w:pPr>
      <w:r>
        <w:rPr/>
        <w:t xml:space="preserve">Growing market for at-home styling services for mobility-limited individuals</w:t>
      </w:r>
    </w:p>
    <w:p>
      <w:pPr>
        <w:numPr>
          <w:ilvl w:val="0"/>
          <w:numId w:val="87"/>
        </w:numPr>
        <w:spacing w:lineRule="auto"/>
      </w:pPr>
      <w:r>
        <w:rPr/>
        <w:t xml:space="preserve">Specialized hair products for gray hair, thinning hair, scalp health</w:t>
      </w:r>
    </w:p>
    <w:p>
      <w:pPr>
        <w:numPr>
          <w:ilvl w:val="0"/>
          <w:numId w:val="87"/>
        </w:numPr>
        <w:spacing w:lineRule="auto"/>
      </w:pPr>
      <w:r>
        <w:rPr>
          <w:rFonts w:eastAsia="Georgia" w:cs="Georgia" w:ascii="Georgia" w:hAnsi="Georgia"/>
        </w:rPr>
        <w:t xml:space="preserve">Estimated market 2024: ¥100-150 billion</w:t>
      </w:r>
    </w:p>
    <w:p>
      <w:pPr>
        <w:numPr>
          <w:ilvl w:val="0"/>
          <w:numId w:val="87"/>
        </w:numPr>
        <w:spacing w:lineRule="auto"/>
      </w:pPr>
      <w:r>
        <w:rPr/>
        <w:t xml:space="preserve">Growth CAGR: 2-3%</w:t>
      </w:r>
    </w:p>
    <w:p>
      <w:pPr>
        <w:spacing w:after="210" w:lineRule="auto"/>
      </w:pPr>
      <w:r>
        <w:rPr>
          <w:b/>
        </w:rPr>
        <w:t xml:space="preserve">Skincare and Cosmetics:</w:t>
      </w:r>
    </w:p>
    <w:p>
      <w:pPr>
        <w:numPr>
          <w:ilvl w:val="0"/>
          <w:numId w:val="88"/>
        </w:numPr>
        <w:spacing w:lineRule="auto"/>
      </w:pPr>
      <w:r>
        <w:rPr/>
        <w:t xml:space="preserve">Growing market for anti-aging skincare products</w:t>
      </w:r>
    </w:p>
    <w:p>
      <w:pPr>
        <w:numPr>
          <w:ilvl w:val="0"/>
          <w:numId w:val="88"/>
        </w:numPr>
        <w:spacing w:lineRule="auto"/>
      </w:pPr>
      <w:r>
        <w:rPr/>
        <w:t xml:space="preserve">Increasing interest in age-spot reduction and skin health</w:t>
      </w:r>
    </w:p>
    <w:p>
      <w:pPr>
        <w:numPr>
          <w:ilvl w:val="0"/>
          <w:numId w:val="88"/>
        </w:numPr>
        <w:spacing w:lineRule="auto"/>
      </w:pPr>
      <w:r>
        <w:rPr/>
        <w:t xml:space="preserve">Organic and natural skincare preferences emerging</w:t>
      </w:r>
    </w:p>
    <w:p>
      <w:pPr>
        <w:numPr>
          <w:ilvl w:val="0"/>
          <w:numId w:val="88"/>
        </w:numPr>
        <w:spacing w:lineRule="auto"/>
      </w:pPr>
      <w:r>
        <w:rPr>
          <w:rFonts w:eastAsia="Georgia" w:cs="Georgia" w:ascii="Georgia" w:hAnsi="Georgia"/>
        </w:rPr>
        <w:t xml:space="preserve">Estimated market 2024: ¥80-120 billion</w:t>
      </w:r>
    </w:p>
    <w:p>
      <w:pPr>
        <w:numPr>
          <w:ilvl w:val="0"/>
          <w:numId w:val="88"/>
        </w:numPr>
        <w:spacing w:lineRule="auto"/>
      </w:pPr>
      <w:r>
        <w:rPr/>
        <w:t xml:space="preserve">Growth CAGR: 4-6%</w:t>
      </w:r>
    </w:p>
    <w:p>
      <w:pPr>
        <w:spacing w:after="210" w:lineRule="auto"/>
      </w:pPr>
      <w:r>
        <w:rPr>
          <w:b/>
        </w:rPr>
        <w:t xml:space="preserve">Personal Hygiene Products (Incontinence, Bathing):</w:t>
      </w:r>
    </w:p>
    <w:p>
      <w:pPr>
        <w:numPr>
          <w:ilvl w:val="0"/>
          <w:numId w:val="89"/>
        </w:numPr>
        <w:spacing w:lineRule="auto"/>
      </w:pPr>
      <w:r>
        <w:rPr/>
        <w:t xml:space="preserve">Adult diapers and incontinence management products</w:t>
      </w:r>
    </w:p>
    <w:p>
      <w:pPr>
        <w:numPr>
          <w:ilvl w:val="0"/>
          <w:numId w:val="89"/>
        </w:numPr>
        <w:spacing w:lineRule="auto"/>
      </w:pPr>
      <w:r>
        <w:rPr/>
        <w:t xml:space="preserve">Sales of adult diapers surpassed baby diapers in Japan in 2014, gap widening</w:t>
      </w:r>
    </w:p>
    <w:p>
      <w:pPr>
        <w:numPr>
          <w:ilvl w:val="0"/>
          <w:numId w:val="89"/>
        </w:numPr>
        <w:spacing w:lineRule="auto"/>
      </w:pPr>
      <w:r>
        <w:rPr/>
        <w:t xml:space="preserve">Portable hygiene solutions for care facilities and in-home care</w:t>
      </w:r>
    </w:p>
    <w:p>
      <w:pPr>
        <w:numPr>
          <w:ilvl w:val="0"/>
          <w:numId w:val="89"/>
        </w:numPr>
        <w:spacing w:lineRule="auto"/>
      </w:pPr>
      <w:r>
        <w:rPr>
          <w:rFonts w:eastAsia="Georgia" w:cs="Georgia" w:ascii="Georgia" w:hAnsi="Georgia"/>
        </w:rPr>
        <w:t xml:space="preserve">Estimated market 2024: ¥100-150 billion</w:t>
      </w:r>
    </w:p>
    <w:p>
      <w:pPr>
        <w:numPr>
          <w:ilvl w:val="0"/>
          <w:numId w:val="89"/>
        </w:numPr>
        <w:spacing w:lineRule="auto"/>
      </w:pPr>
      <w:r>
        <w:rPr/>
        <w:t xml:space="preserve">Growth CAGR: 5-8% (driven by 85+ population growth and care facility expansion)</w:t>
      </w:r>
    </w:p>
    <w:p>
      <w:pPr>
        <w:spacing w:after="210" w:lineRule="auto"/>
      </w:pPr>
      <w:r>
        <w:rPr>
          <w:b/>
        </w:rPr>
        <w:t xml:space="preserve">Wellness and Spa Services:</w:t>
      </w:r>
    </w:p>
    <w:p>
      <w:pPr>
        <w:numPr>
          <w:ilvl w:val="0"/>
          <w:numId w:val="90"/>
        </w:numPr>
        <w:spacing w:lineRule="auto"/>
      </w:pPr>
      <w:r>
        <w:rPr/>
        <w:t xml:space="preserve">Onsen (hot spring) spa treatments</w:t>
      </w:r>
    </w:p>
    <w:p>
      <w:pPr>
        <w:numPr>
          <w:ilvl w:val="0"/>
          <w:numId w:val="90"/>
        </w:numPr>
        <w:spacing w:lineRule="auto"/>
      </w:pPr>
      <w:r>
        <w:rPr/>
        <w:t xml:space="preserve">Massage and therapeutic services</w:t>
      </w:r>
    </w:p>
    <w:p>
      <w:pPr>
        <w:numPr>
          <w:ilvl w:val="0"/>
          <w:numId w:val="90"/>
        </w:numPr>
        <w:spacing w:lineRule="auto"/>
      </w:pPr>
      <w:r>
        <w:rPr/>
        <w:t xml:space="preserve">Aromatherapy and complementary health services</w:t>
      </w:r>
    </w:p>
    <w:p>
      <w:pPr>
        <w:numPr>
          <w:ilvl w:val="0"/>
          <w:numId w:val="90"/>
        </w:numPr>
        <w:spacing w:lineRule="auto"/>
      </w:pPr>
      <w:r>
        <w:rPr>
          <w:rFonts w:eastAsia="Georgia" w:cs="Georgia" w:ascii="Georgia" w:hAnsi="Georgia"/>
        </w:rPr>
        <w:t xml:space="preserve">Estimated market 2024: ¥50-80 billion</w:t>
      </w:r>
    </w:p>
    <w:p>
      <w:pPr>
        <w:numPr>
          <w:ilvl w:val="0"/>
          <w:numId w:val="90"/>
        </w:numPr>
        <w:spacing w:lineRule="auto"/>
      </w:pPr>
      <w:r>
        <w:rPr/>
        <w:t xml:space="preserve">Growth CAGR: 5-7%</w:t>
      </w:r>
    </w:p>
    <w:p>
      <w:pPr>
        <w:spacing w:line="271" w:before="240" w:lineRule="auto"/>
      </w:pPr>
      <w:bookmarkStart w:id="56" w:name="market_size_estimation_10"/>
      <w:r>
        <w:rPr>
          <w:b/>
          <w:sz w:val="28"/>
        </w:rPr>
        <w:t xml:space="preserve">Market Size Estimation</w:t>
      </w:r>
      <w:bookmarkEnd w:id="56"/>
    </w:p>
    <w:p>
      <w:pPr>
        <w:spacing w:after="210" w:lineRule="auto"/>
      </w:pPr>
      <w:r>
        <w:rPr>
          <w:b/>
        </w:rPr>
        <w:t xml:space="preserve">Total Personal Care Market (Elderly):</w:t>
      </w:r>
    </w:p>
    <w:p>
      <w:pPr>
        <w:numPr>
          <w:ilvl w:val="0"/>
          <w:numId w:val="91"/>
        </w:numPr>
        <w:spacing w:lineRule="auto"/>
      </w:pPr>
      <w:r>
        <w:rPr>
          <w:b/>
        </w:rPr>
        <w:t xml:space="preserve">2020:</w:t>
      </w:r>
      <w:r>
        <w:rPr>
          <w:rFonts w:eastAsia="Georgia" w:cs="Georgia" w:ascii="Georgia" w:hAnsi="Georgia"/>
        </w:rPr>
        <w:t xml:space="preserve"> ¥280-350 billion</w:t>
      </w:r>
    </w:p>
    <w:p>
      <w:pPr>
        <w:numPr>
          <w:ilvl w:val="0"/>
          <w:numId w:val="91"/>
        </w:numPr>
        <w:spacing w:lineRule="auto"/>
      </w:pPr>
      <w:r>
        <w:rPr>
          <w:b/>
        </w:rPr>
        <w:t xml:space="preserve">2030:</w:t>
      </w:r>
      <w:r>
        <w:rPr>
          <w:rFonts w:eastAsia="Georgia" w:cs="Georgia" w:ascii="Georgia" w:hAnsi="Georgia"/>
        </w:rPr>
        <w:t xml:space="preserve"> ¥480-580 billion</w:t>
      </w:r>
    </w:p>
    <w:p>
      <w:pPr>
        <w:numPr>
          <w:ilvl w:val="0"/>
          <w:numId w:val="91"/>
        </w:numPr>
        <w:spacing w:lineRule="auto"/>
      </w:pPr>
      <w:r>
        <w:rPr>
          <w:b/>
        </w:rPr>
        <w:t xml:space="preserve">2050:</w:t>
      </w:r>
      <w:r>
        <w:rPr>
          <w:rFonts w:eastAsia="Georgia" w:cs="Georgia" w:ascii="Georgia" w:hAnsi="Georgia"/>
        </w:rPr>
        <w:t xml:space="preserve"> ¥700-900 billion</w:t>
      </w:r>
    </w:p>
    <w:p>
      <w:pPr>
        <w:spacing w:after="210" w:lineRule="auto"/>
      </w:pPr>
      <w:r>
        <w:rPr/>
        <w:t xml:space="preserve">Growth driven by increasing 85+ population (heaviest incontinence product users), premium personal care spending among active elderly, and emerging wellness tourism demand. CAGR approximately 3-5% through 2050.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part_4_factors_influencing_elderl_b64a20"/>
      <w:r>
        <w:rPr>
          <w:b/>
          <w:sz w:val="42"/>
        </w:rPr>
        <w:t xml:space="preserve">Part 4: Factors Influencing Elderly Consumer Willingness and Future Evolution</w:t>
      </w:r>
      <w:bookmarkEnd w:id="57"/>
    </w:p>
    <w:p>
      <w:pPr>
        <w:spacing w:line="271" w:before="240" w:lineRule="auto"/>
      </w:pPr>
      <w:bookmarkStart w:id="58" w:name="bm_4_1_current_factors_influencin_16b25c"/>
      <w:r>
        <w:rPr>
          <w:b/>
          <w:sz w:val="33"/>
        </w:rPr>
        <w:t xml:space="preserve">4.1 Current Factors Influencing Consumption Behavior</w:t>
      </w:r>
      <w:bookmarkEnd w:id="58"/>
    </w:p>
    <w:p>
      <w:pPr>
        <w:spacing w:line="271" w:before="240" w:lineRule="auto"/>
      </w:pPr>
      <w:bookmarkStart w:id="59" w:name="income_and_pension_system"/>
      <w:r>
        <w:rPr>
          <w:b/>
          <w:sz w:val="28"/>
        </w:rPr>
        <w:t xml:space="preserve">Income and Pension System</w:t>
      </w:r>
      <w:bookmarkEnd w:id="59"/>
    </w:p>
    <w:p>
      <w:pPr>
        <w:spacing w:after="210" w:lineRule="auto"/>
      </w:pPr>
      <w:r>
        <w:rPr>
          <w:b/>
        </w:rPr>
        <w:t xml:space="preserve">Pension Income:</w:t>
      </w:r>
    </w:p>
    <w:p>
      <w:pPr>
        <w:numPr>
          <w:ilvl w:val="0"/>
          <w:numId w:val="92"/>
        </w:numPr>
        <w:spacing w:lineRule="auto"/>
      </w:pPr>
      <w:r>
        <w:rPr>
          <w:rFonts w:eastAsia="Georgia" w:cs="Georgia" w:ascii="Georgia" w:hAnsi="Georgia"/>
        </w:rPr>
        <w:t xml:space="preserve">Average public pension benefit (basic): ¥64,000-78,000 monthly (¥768,000-936,000 annually)</w:t>
      </w:r>
    </w:p>
    <w:p>
      <w:pPr>
        <w:numPr>
          <w:ilvl w:val="0"/>
          <w:numId w:val="92"/>
        </w:numPr>
        <w:spacing w:lineRule="auto"/>
      </w:pPr>
      <w:r>
        <w:rPr>
          <w:rFonts w:eastAsia="Georgia" w:cs="Georgia" w:ascii="Georgia" w:hAnsi="Georgia"/>
        </w:rPr>
        <w:t xml:space="preserve">Employee pension supplement adds ¥40,000-120,000 monthly depending on contribution history</w:t>
      </w:r>
    </w:p>
    <w:p>
      <w:pPr>
        <w:numPr>
          <w:ilvl w:val="0"/>
          <w:numId w:val="92"/>
        </w:numPr>
        <w:spacing w:lineRule="auto"/>
      </w:pPr>
      <w:r>
        <w:rPr>
          <w:rFonts w:eastAsia="Georgia" w:cs="Georgia" w:ascii="Georgia" w:hAnsi="Georgia"/>
        </w:rPr>
        <w:t xml:space="preserve">Total average elderly household income: ¥1.6-1.8 million annually (¥133,000-150,000 monthly)[15]</w:t>
      </w:r>
    </w:p>
    <w:p>
      <w:pPr>
        <w:spacing w:after="210" w:lineRule="auto"/>
      </w:pPr>
      <w:r>
        <w:rPr>
          <w:b/>
        </w:rPr>
        <w:t xml:space="preserve">Asset Accumulation:</w:t>
      </w:r>
    </w:p>
    <w:p>
      <w:pPr>
        <w:numPr>
          <w:ilvl w:val="0"/>
          <w:numId w:val="93"/>
        </w:numPr>
        <w:spacing w:lineRule="auto"/>
      </w:pPr>
      <w:r>
        <w:rPr>
          <w:rFonts w:eastAsia="Georgia" w:cs="Georgia" w:ascii="Georgia" w:hAnsi="Georgia"/>
        </w:rPr>
        <w:t xml:space="preserve">Median assets for married-couple elderly: ¥30-40 million</w:t>
      </w:r>
    </w:p>
    <w:p>
      <w:pPr>
        <w:numPr>
          <w:ilvl w:val="0"/>
          <w:numId w:val="93"/>
        </w:numPr>
        <w:spacing w:lineRule="auto"/>
      </w:pPr>
      <w:r>
        <w:rPr>
          <w:rFonts w:eastAsia="Georgia" w:cs="Georgia" w:ascii="Georgia" w:hAnsi="Georgia"/>
        </w:rPr>
        <w:t xml:space="preserve">Median assets for single elderly: ¥10-15 million</w:t>
      </w:r>
    </w:p>
    <w:p>
      <w:pPr>
        <w:numPr>
          <w:ilvl w:val="0"/>
          <w:numId w:val="93"/>
        </w:numPr>
        <w:spacing w:lineRule="auto"/>
      </w:pPr>
      <w:r>
        <w:rPr>
          <w:rFonts w:eastAsia="Georgia" w:cs="Georgia" w:ascii="Georgia" w:hAnsi="Georgia"/>
        </w:rPr>
        <w:t xml:space="preserve">Top 10% of single elderly: ¥20+ million</w:t>
      </w:r>
    </w:p>
    <w:p>
      <w:pPr>
        <w:numPr>
          <w:ilvl w:val="0"/>
          <w:numId w:val="93"/>
        </w:numPr>
        <w:spacing w:lineRule="auto"/>
      </w:pPr>
      <w:r>
        <w:rPr>
          <w:rFonts w:eastAsia="Georgia" w:cs="Georgia" w:ascii="Georgia" w:hAnsi="Georgia"/>
        </w:rPr>
        <w:t xml:space="preserve">Bottom 20% of single elderly: &lt;¥3 million</w:t>
      </w:r>
    </w:p>
    <w:p>
      <w:pPr>
        <w:spacing w:after="210" w:lineRule="auto"/>
      </w:pPr>
      <w:r>
        <w:rPr>
          <w:b/>
        </w:rPr>
        <w:t xml:space="preserve">Policy Concerns:</w:t>
      </w:r>
    </w:p>
    <w:p>
      <w:pPr>
        <w:numPr>
          <w:ilvl w:val="0"/>
          <w:numId w:val="94"/>
        </w:numPr>
        <w:spacing w:lineRule="auto"/>
      </w:pPr>
      <w:r>
        <w:rPr/>
        <w:t xml:space="preserve">2024 actuarial revaluation projects future pension benefit declines (potentially 20%+ by 2060)</w:t>
      </w:r>
    </w:p>
    <w:p>
      <w:pPr>
        <w:numPr>
          <w:ilvl w:val="0"/>
          <w:numId w:val="94"/>
        </w:numPr>
        <w:spacing w:lineRule="auto"/>
      </w:pPr>
      <w:r>
        <w:rPr/>
        <w:t xml:space="preserve">Macroeconomic indexing not implemented, affecting purchasing power</w:t>
      </w:r>
    </w:p>
    <w:p>
      <w:pPr>
        <w:numPr>
          <w:ilvl w:val="0"/>
          <w:numId w:val="94"/>
        </w:numPr>
        <w:spacing w:lineRule="auto"/>
      </w:pPr>
      <w:r>
        <w:rPr/>
        <w:t xml:space="preserve">Working-age cohorts particularly vulnerable: "Employment ice age" cohorts will face lower pensions</w:t>
      </w:r>
    </w:p>
    <w:p>
      <w:pPr>
        <w:numPr>
          <w:ilvl w:val="0"/>
          <w:numId w:val="94"/>
        </w:numPr>
        <w:spacing w:lineRule="auto"/>
      </w:pPr>
      <w:r>
        <w:rPr/>
        <w:t xml:space="preserve">Growing intragenerational inequality as assets remain concentrated</w:t>
      </w:r>
    </w:p>
    <w:p>
      <w:pPr>
        <w:spacing w:line="271" w:before="240" w:lineRule="auto"/>
      </w:pPr>
      <w:bookmarkStart w:id="60" w:name="health_status_and_healthcare_costs"/>
      <w:r>
        <w:rPr>
          <w:b/>
          <w:sz w:val="28"/>
        </w:rPr>
        <w:t xml:space="preserve">Health Status and Healthcare Costs</w:t>
      </w:r>
      <w:bookmarkEnd w:id="60"/>
    </w:p>
    <w:p>
      <w:pPr>
        <w:spacing w:after="210" w:lineRule="auto"/>
      </w:pPr>
      <w:r>
        <w:rPr>
          <w:b/>
        </w:rPr>
        <w:t xml:space="preserve">Health Burden Impact:</w:t>
      </w:r>
    </w:p>
    <w:p>
      <w:pPr>
        <w:numPr>
          <w:ilvl w:val="0"/>
          <w:numId w:val="95"/>
        </w:numPr>
        <w:spacing w:lineRule="auto"/>
      </w:pPr>
      <w:r>
        <w:rPr/>
        <w:t xml:space="preserve">Chronic disease prevalence increases dramatically with age: 70%+ hypertension, 50%+ arthritis, 20%+ dementia</w:t>
      </w:r>
    </w:p>
    <w:p>
      <w:pPr>
        <w:numPr>
          <w:ilvl w:val="0"/>
          <w:numId w:val="95"/>
        </w:numPr>
        <w:spacing w:lineRule="auto"/>
      </w:pPr>
      <w:r>
        <w:rPr>
          <w:rFonts w:eastAsia="Georgia" w:cs="Georgia" w:ascii="Georgia" w:hAnsi="Georgia"/>
        </w:rPr>
        <w:t xml:space="preserve">Out-of-pocket healthcare costs: ¥150,000-300,000+ annually for 75+ cohort (beyond insurance)</w:t>
      </w:r>
    </w:p>
    <w:p>
      <w:pPr>
        <w:numPr>
          <w:ilvl w:val="0"/>
          <w:numId w:val="95"/>
        </w:numPr>
        <w:spacing w:lineRule="auto"/>
      </w:pPr>
      <w:r>
        <w:rPr/>
        <w:t xml:space="preserve">LTCI copayment burden: 10% of service costs, 20-30% for higher-income users</w:t>
      </w:r>
    </w:p>
    <w:p>
      <w:pPr>
        <w:numPr>
          <w:ilvl w:val="0"/>
          <w:numId w:val="95"/>
        </w:numPr>
        <w:spacing w:lineRule="auto"/>
      </w:pPr>
      <w:r>
        <w:rPr/>
        <w:t xml:space="preserve">Health uncertainty constrains discretionary spending for many elderly</w:t>
      </w:r>
    </w:p>
    <w:p>
      <w:pPr>
        <w:spacing w:after="210" w:lineRule="auto"/>
      </w:pPr>
      <w:r>
        <w:rPr>
          <w:b/>
        </w:rPr>
        <w:t xml:space="preserve">Access to Healthcare:</w:t>
      </w:r>
    </w:p>
    <w:p>
      <w:pPr>
        <w:numPr>
          <w:ilvl w:val="0"/>
          <w:numId w:val="96"/>
        </w:numPr>
        <w:spacing w:lineRule="auto"/>
      </w:pPr>
      <w:r>
        <w:rPr/>
        <w:t xml:space="preserve">Rural areas face physician shortages, limiting care access</w:t>
      </w:r>
    </w:p>
    <w:p>
      <w:pPr>
        <w:numPr>
          <w:ilvl w:val="0"/>
          <w:numId w:val="96"/>
        </w:numPr>
        <w:spacing w:lineRule="auto"/>
      </w:pPr>
      <w:r>
        <w:rPr/>
        <w:t xml:space="preserve">Growing reliance on medication management and specialist coordination</w:t>
      </w:r>
    </w:p>
    <w:p>
      <w:pPr>
        <w:numPr>
          <w:ilvl w:val="0"/>
          <w:numId w:val="96"/>
        </w:numPr>
        <w:spacing w:lineRule="auto"/>
      </w:pPr>
      <w:r>
        <w:rPr/>
        <w:t xml:space="preserve">Digital health adoption improving access, but rural-urban divides persist</w:t>
      </w:r>
    </w:p>
    <w:p>
      <w:pPr>
        <w:spacing w:line="271" w:before="240" w:lineRule="auto"/>
      </w:pPr>
      <w:bookmarkStart w:id="61" w:name="housing_and_home_ownership"/>
      <w:r>
        <w:rPr>
          <w:b/>
          <w:sz w:val="28"/>
        </w:rPr>
        <w:t xml:space="preserve">Housing and Home Ownership</w:t>
      </w:r>
      <w:bookmarkEnd w:id="61"/>
    </w:p>
    <w:p>
      <w:pPr>
        <w:spacing w:after="210" w:lineRule="auto"/>
      </w:pPr>
      <w:r>
        <w:rPr>
          <w:b/>
        </w:rPr>
        <w:t xml:space="preserve">Home Ownership as Stabilizing Factor:</w:t>
      </w:r>
    </w:p>
    <w:p>
      <w:pPr>
        <w:numPr>
          <w:ilvl w:val="0"/>
          <w:numId w:val="97"/>
        </w:numPr>
        <w:spacing w:lineRule="auto"/>
      </w:pPr>
      <w:r>
        <w:rPr/>
        <w:t xml:space="preserve">80-85% of elderly own homes, eliminating housing insecurity</w:t>
      </w:r>
    </w:p>
    <w:p>
      <w:pPr>
        <w:numPr>
          <w:ilvl w:val="0"/>
          <w:numId w:val="97"/>
        </w:numPr>
        <w:spacing w:lineRule="auto"/>
      </w:pPr>
      <w:r>
        <w:rPr/>
        <w:t xml:space="preserve">Home equity available for reverse mortgages (though underutilized due to cultural factors)</w:t>
      </w:r>
    </w:p>
    <w:p>
      <w:pPr>
        <w:numPr>
          <w:ilvl w:val="0"/>
          <w:numId w:val="97"/>
        </w:numPr>
        <w:spacing w:lineRule="auto"/>
      </w:pPr>
      <w:r>
        <w:rPr>
          <w:rFonts w:eastAsia="Georgia" w:cs="Georgia" w:ascii="Georgia" w:hAnsi="Georgia"/>
        </w:rPr>
        <w:t xml:space="preserve">Maintenance costs variable: ¥500,000-2,000,000+ annually depending on home age</w:t>
      </w:r>
    </w:p>
    <w:p>
      <w:pPr>
        <w:numPr>
          <w:ilvl w:val="0"/>
          <w:numId w:val="97"/>
        </w:numPr>
        <w:spacing w:lineRule="auto"/>
      </w:pPr>
      <w:r>
        <w:rPr/>
        <w:t xml:space="preserve">Multi-generational housing decline reduces informal support networks</w:t>
      </w:r>
    </w:p>
    <w:p>
      <w:pPr>
        <w:spacing w:after="210" w:lineRule="auto"/>
      </w:pPr>
      <w:r>
        <w:rPr>
          <w:b/>
        </w:rPr>
        <w:t xml:space="preserve">Living Arrangements:</w:t>
      </w:r>
    </w:p>
    <w:p>
      <w:pPr>
        <w:numPr>
          <w:ilvl w:val="0"/>
          <w:numId w:val="98"/>
        </w:numPr>
        <w:spacing w:lineRule="auto"/>
      </w:pPr>
      <w:r>
        <w:rPr>
          <w:rFonts w:eastAsia="Georgia" w:cs="Georgia" w:ascii="Georgia" w:hAnsi="Georgia"/>
        </w:rPr>
        <w:t xml:space="preserve">Single elderly increasingly living alone (1.5× growth to 2050)</w:t>
      </w:r>
    </w:p>
    <w:p>
      <w:pPr>
        <w:numPr>
          <w:ilvl w:val="0"/>
          <w:numId w:val="98"/>
        </w:numPr>
        <w:spacing w:lineRule="auto"/>
      </w:pPr>
      <w:r>
        <w:rPr/>
        <w:t xml:space="preserve">Those without close relatives (56.6% growth to 2050) increasing institutional care reliance</w:t>
      </w:r>
    </w:p>
    <w:p>
      <w:pPr>
        <w:numPr>
          <w:ilvl w:val="0"/>
          <w:numId w:val="98"/>
        </w:numPr>
        <w:spacing w:lineRule="auto"/>
      </w:pPr>
      <w:r>
        <w:rPr/>
        <w:t xml:space="preserve">Declining family caregiving capacity driving professionalized care expansion</w:t>
      </w:r>
    </w:p>
    <w:p>
      <w:pPr>
        <w:spacing w:line="271" w:before="240" w:lineRule="auto"/>
      </w:pPr>
      <w:bookmarkStart w:id="62" w:name="savings_and_wealth_accumulation"/>
      <w:r>
        <w:rPr>
          <w:b/>
          <w:sz w:val="28"/>
        </w:rPr>
        <w:t xml:space="preserve">Savings and Wealth Accumulation</w:t>
      </w:r>
      <w:bookmarkEnd w:id="62"/>
    </w:p>
    <w:p>
      <w:pPr>
        <w:spacing w:after="210" w:lineRule="auto"/>
      </w:pPr>
      <w:r>
        <w:rPr>
          <w:b/>
        </w:rPr>
        <w:t xml:space="preserve">Savings Propensity:</w:t>
      </w:r>
    </w:p>
    <w:p>
      <w:pPr>
        <w:numPr>
          <w:ilvl w:val="0"/>
          <w:numId w:val="99"/>
        </w:numPr>
        <w:spacing w:lineRule="auto"/>
      </w:pPr>
      <w:r>
        <w:rPr>
          <w:rFonts w:eastAsia="Georgia" w:cs="Georgia" w:ascii="Georgia" w:hAnsi="Georgia"/>
        </w:rPr>
        <w:t xml:space="preserve">Elderly continue to save despite retirement: Annual savings ¥200,000-500,000+ among many households</w:t>
      </w:r>
    </w:p>
    <w:p>
      <w:pPr>
        <w:numPr>
          <w:ilvl w:val="0"/>
          <w:numId w:val="99"/>
        </w:numPr>
        <w:spacing w:lineRule="auto"/>
      </w:pPr>
      <w:r>
        <w:rPr/>
        <w:t xml:space="preserve">Savings driven by: healthcare contingency fears, desire to leave inheritances, low interest rates making alternatives limited</w:t>
      </w:r>
    </w:p>
    <w:p>
      <w:pPr>
        <w:numPr>
          <w:ilvl w:val="0"/>
          <w:numId w:val="99"/>
        </w:numPr>
        <w:spacing w:lineRule="auto"/>
      </w:pPr>
      <w:r>
        <w:rPr/>
        <w:t xml:space="preserve">Asset accumulation rates declining as older cohorts draw down savings</w:t>
      </w:r>
    </w:p>
    <w:p>
      <w:pPr>
        <w:spacing w:after="210" w:lineRule="auto"/>
      </w:pPr>
      <w:r>
        <w:rPr>
          <w:b/>
        </w:rPr>
        <w:t xml:space="preserve">Intergenerational Transfers:</w:t>
      </w:r>
    </w:p>
    <w:p>
      <w:pPr>
        <w:numPr>
          <w:ilvl w:val="0"/>
          <w:numId w:val="100"/>
        </w:numPr>
        <w:spacing w:lineRule="auto"/>
      </w:pPr>
      <w:r>
        <w:rPr>
          <w:rFonts w:eastAsia="Georgia" w:cs="Georgia" w:ascii="Georgia" w:hAnsi="Georgia"/>
        </w:rPr>
        <w:t xml:space="preserve">Elderly continue supporting adult children and grandchildren: ¥500,000-2,000,000+ annually among many households</w:t>
      </w:r>
    </w:p>
    <w:p>
      <w:pPr>
        <w:numPr>
          <w:ilvl w:val="0"/>
          <w:numId w:val="100"/>
        </w:numPr>
        <w:spacing w:lineRule="auto"/>
      </w:pPr>
      <w:r>
        <w:rPr/>
        <w:t xml:space="preserve">"Social expenses" category shows elderly willingness to spend on relationships and gifts</w:t>
      </w:r>
    </w:p>
    <w:p>
      <w:pPr>
        <w:numPr>
          <w:ilvl w:val="0"/>
          <w:numId w:val="100"/>
        </w:numPr>
        <w:spacing w:lineRule="auto"/>
      </w:pPr>
      <w:r>
        <w:rPr/>
        <w:t xml:space="preserve">Growing expectations of adult children providing financial support to aging parents (filial piety tradition)</w:t>
      </w:r>
    </w:p>
    <w:p>
      <w:pPr>
        <w:spacing w:line="271" w:before="240" w:lineRule="auto"/>
      </w:pPr>
      <w:bookmarkStart w:id="63" w:name="cultural_and_social_factors"/>
      <w:r>
        <w:rPr>
          <w:b/>
          <w:sz w:val="28"/>
        </w:rPr>
        <w:t xml:space="preserve">Cultural and Social Factors</w:t>
      </w:r>
      <w:bookmarkEnd w:id="63"/>
    </w:p>
    <w:p>
      <w:pPr>
        <w:spacing w:after="210" w:lineRule="auto"/>
      </w:pPr>
      <w:r>
        <w:rPr>
          <w:b/>
        </w:rPr>
        <w:t xml:space="preserve">Active Aging Consciousness:</w:t>
      </w:r>
    </w:p>
    <w:p>
      <w:pPr>
        <w:numPr>
          <w:ilvl w:val="0"/>
          <w:numId w:val="101"/>
        </w:numPr>
        <w:spacing w:lineRule="auto"/>
      </w:pPr>
      <w:r>
        <w:rPr/>
        <w:t xml:space="preserve">Growing "active aging" cultural movement: Elderly increasingly viewing themselves as contributors, not burdens</w:t>
      </w:r>
    </w:p>
    <w:p>
      <w:pPr>
        <w:numPr>
          <w:ilvl w:val="0"/>
          <w:numId w:val="101"/>
        </w:numPr>
        <w:spacing w:lineRule="auto"/>
      </w:pPr>
      <w:r>
        <w:rPr/>
        <w:t xml:space="preserve">Rejecting stereotypical aging narratives: Fitness classes, travel, hobbies popular</w:t>
      </w:r>
    </w:p>
    <w:p>
      <w:pPr>
        <w:numPr>
          <w:ilvl w:val="0"/>
          <w:numId w:val="101"/>
        </w:numPr>
        <w:spacing w:lineRule="auto"/>
      </w:pPr>
      <w:r>
        <w:rPr/>
        <w:t xml:space="preserve">"Gold collar" cohort (highly educated, professional retirees) driving premium product demand</w:t>
      </w:r>
    </w:p>
    <w:p>
      <w:pPr>
        <w:spacing w:after="210" w:lineRule="auto"/>
      </w:pPr>
      <w:r>
        <w:rPr>
          <w:b/>
        </w:rPr>
        <w:t xml:space="preserve">Health and Longevity Belief:</w:t>
      </w:r>
    </w:p>
    <w:p>
      <w:pPr>
        <w:numPr>
          <w:ilvl w:val="0"/>
          <w:numId w:val="102"/>
        </w:numPr>
        <w:spacing w:lineRule="auto"/>
      </w:pPr>
      <w:r>
        <w:rPr>
          <w:rFonts w:eastAsia="Georgia" w:cs="Georgia" w:ascii="Georgia" w:hAnsi="Georgia"/>
        </w:rPr>
        <w:t xml:space="preserve">Strong cultural belief in food as medicine ("食が命" - food is life)</w:t>
      </w:r>
    </w:p>
    <w:p>
      <w:pPr>
        <w:numPr>
          <w:ilvl w:val="0"/>
          <w:numId w:val="102"/>
        </w:numPr>
        <w:spacing w:lineRule="auto"/>
      </w:pPr>
      <w:r>
        <w:rPr/>
        <w:t xml:space="preserve">High health consciousness: 70%+ monitor blood pressure, glucose, weight</w:t>
      </w:r>
    </w:p>
    <w:p>
      <w:pPr>
        <w:numPr>
          <w:ilvl w:val="0"/>
          <w:numId w:val="102"/>
        </w:numPr>
        <w:spacing w:lineRule="auto"/>
      </w:pPr>
      <w:r>
        <w:rPr/>
        <w:t xml:space="preserve">Growing interest in preventive health and wellness products</w:t>
      </w:r>
    </w:p>
    <w:p>
      <w:pPr>
        <w:spacing w:after="210" w:lineRule="auto"/>
      </w:pPr>
      <w:r>
        <w:rPr>
          <w:b/>
        </w:rPr>
        <w:t xml:space="preserve">Family Dynamics Shift:</w:t>
      </w:r>
    </w:p>
    <w:p>
      <w:pPr>
        <w:numPr>
          <w:ilvl w:val="0"/>
          <w:numId w:val="103"/>
        </w:numPr>
        <w:spacing w:lineRule="auto"/>
      </w:pPr>
      <w:r>
        <w:rPr/>
        <w:t xml:space="preserve">Traditional multi-generational family support eroding</w:t>
      </w:r>
    </w:p>
    <w:p>
      <w:pPr>
        <w:numPr>
          <w:ilvl w:val="0"/>
          <w:numId w:val="103"/>
        </w:numPr>
        <w:spacing w:lineRule="auto"/>
      </w:pPr>
      <w:r>
        <w:rPr/>
        <w:t xml:space="preserve">Declining fertility rates and delayed marriage reducing adult children availability</w:t>
      </w:r>
    </w:p>
    <w:p>
      <w:pPr>
        <w:numPr>
          <w:ilvl w:val="0"/>
          <w:numId w:val="103"/>
        </w:numPr>
        <w:spacing w:lineRule="auto"/>
      </w:pPr>
      <w:r>
        <w:rPr/>
        <w:t xml:space="preserve">Migration of adult children away from aging parents for economic opportunity</w:t>
      </w:r>
    </w:p>
    <w:p>
      <w:pPr>
        <w:numPr>
          <w:ilvl w:val="0"/>
          <w:numId w:val="103"/>
        </w:numPr>
        <w:spacing w:lineRule="auto"/>
      </w:pPr>
      <w:r>
        <w:rPr/>
        <w:t xml:space="preserve">Growing acceptance of professional care services, institutional living</w:t>
      </w:r>
    </w:p>
    <w:p>
      <w:pPr>
        <w:spacing w:after="210" w:lineRule="auto"/>
      </w:pPr>
      <w:r>
        <w:rPr>
          <w:b/>
        </w:rPr>
        <w:t xml:space="preserve">Digital Adoption Patterns:</w:t>
      </w:r>
    </w:p>
    <w:p>
      <w:pPr>
        <w:numPr>
          <w:ilvl w:val="0"/>
          <w:numId w:val="104"/>
        </w:numPr>
        <w:spacing w:lineRule="auto"/>
      </w:pPr>
      <w:r>
        <w:rPr/>
        <w:t xml:space="preserve">Significant generational divide: 65-74 cohort 60%+ online; 75-84 cohort 40-50% online; 85+ cohort &lt;30% online</w:t>
      </w:r>
    </w:p>
    <w:p>
      <w:pPr>
        <w:numPr>
          <w:ilvl w:val="0"/>
          <w:numId w:val="104"/>
        </w:numPr>
        <w:spacing w:lineRule="auto"/>
      </w:pPr>
      <w:r>
        <w:rPr/>
        <w:t xml:space="preserve">Incoming elderly cohorts (born 1950s-1960s) increasingly digitally literate</w:t>
      </w:r>
    </w:p>
    <w:p>
      <w:pPr>
        <w:numPr>
          <w:ilvl w:val="0"/>
          <w:numId w:val="104"/>
        </w:numPr>
        <w:spacing w:lineRule="auto"/>
      </w:pPr>
      <w:r>
        <w:rPr/>
        <w:t xml:space="preserve">Internet usage for health information, shopping, social connection growing significantly</w:t>
      </w:r>
    </w:p>
    <w:p>
      <w:pPr>
        <w:numPr>
          <w:ilvl w:val="0"/>
          <w:numId w:val="104"/>
        </w:numPr>
        <w:spacing w:lineRule="auto"/>
      </w:pPr>
      <w:r>
        <w:rPr/>
        <w:t xml:space="preserve">Online penetration expected to exceed 80% for 65-74 cohort by 2030</w:t>
      </w:r>
    </w:p>
    <w:p>
      <w:pPr>
        <w:spacing w:line="271" w:before="240" w:lineRule="auto"/>
      </w:pPr>
      <w:bookmarkStart w:id="64" w:name="bm_4_2_projected_future_changes_i_bfc717"/>
      <w:r>
        <w:rPr>
          <w:rFonts w:eastAsia="Georgia" w:cs="Georgia" w:ascii="Georgia" w:hAnsi="Georgia"/>
          <w:b/>
          <w:sz w:val="33"/>
        </w:rPr>
        <w:t xml:space="preserve">4.2 Projected Future Changes in Elderly Consumption (2025–2050)</w:t>
      </w:r>
      <w:bookmarkEnd w:id="64"/>
    </w:p>
    <w:p>
      <w:pPr>
        <w:spacing w:line="271" w:before="240" w:lineRule="auto"/>
      </w:pPr>
      <w:bookmarkStart w:id="65" w:name="technology_adoption_and_digital_t_91070f"/>
      <w:r>
        <w:rPr>
          <w:b/>
          <w:sz w:val="28"/>
        </w:rPr>
        <w:t xml:space="preserve">Technology Adoption and Digital Transformation</w:t>
      </w:r>
      <w:bookmarkEnd w:id="65"/>
    </w:p>
    <w:p>
      <w:pPr>
        <w:spacing w:after="210" w:lineRule="auto"/>
      </w:pPr>
      <w:r>
        <w:rPr>
          <w:b/>
        </w:rPr>
        <w:t xml:space="preserve">Digital Lifestyle Integration:</w:t>
      </w:r>
    </w:p>
    <w:p>
      <w:pPr>
        <w:numPr>
          <w:ilvl w:val="0"/>
          <w:numId w:val="105"/>
        </w:numPr>
        <w:spacing w:lineRule="auto"/>
      </w:pPr>
      <w:r>
        <w:rPr/>
        <w:t xml:space="preserve">Expected trajectory: 70-80%+ of all elderly online by 2040</w:t>
      </w:r>
    </w:p>
    <w:p>
      <w:pPr>
        <w:numPr>
          <w:ilvl w:val="0"/>
          <w:numId w:val="105"/>
        </w:numPr>
        <w:spacing w:lineRule="auto"/>
      </w:pPr>
      <w:r>
        <w:rPr/>
        <w:t xml:space="preserve">Smartphones ubiquitous in younger elderly cohorts; growing adoption in 75+ through 2050</w:t>
      </w:r>
    </w:p>
    <w:p>
      <w:pPr>
        <w:numPr>
          <w:ilvl w:val="0"/>
          <w:numId w:val="105"/>
        </w:numPr>
        <w:spacing w:lineRule="auto"/>
      </w:pPr>
      <w:r>
        <w:rPr/>
        <w:t xml:space="preserve">Integration of digital health monitoring into daily routine becoming normative</w:t>
      </w:r>
    </w:p>
    <w:p>
      <w:pPr>
        <w:numPr>
          <w:ilvl w:val="0"/>
          <w:numId w:val="105"/>
        </w:numPr>
        <w:spacing w:lineRule="auto"/>
      </w:pPr>
      <w:r>
        <w:rPr/>
        <w:t xml:space="preserve">E-commerce penetration among elderly expected to increase from 12-25% (2023) to 40-50% by 2050</w:t>
      </w:r>
    </w:p>
    <w:p>
      <w:pPr>
        <w:spacing w:after="210" w:lineRule="auto"/>
      </w:pPr>
      <w:r>
        <w:rPr>
          <w:b/>
        </w:rPr>
        <w:t xml:space="preserve">Smart Home and IoT Expansion:</w:t>
      </w:r>
    </w:p>
    <w:p>
      <w:pPr>
        <w:numPr>
          <w:ilvl w:val="0"/>
          <w:numId w:val="106"/>
        </w:numPr>
        <w:spacing w:lineRule="auto"/>
      </w:pPr>
      <w:r>
        <w:rPr/>
        <w:t xml:space="preserve">Home automation, voice assistants, and IoT devices becoming standard in affluent elderly households</w:t>
      </w:r>
    </w:p>
    <w:p>
      <w:pPr>
        <w:numPr>
          <w:ilvl w:val="0"/>
          <w:numId w:val="106"/>
        </w:numPr>
        <w:spacing w:lineRule="auto"/>
      </w:pPr>
      <w:r>
        <w:rPr/>
        <w:t xml:space="preserve">Remote care monitoring integration: Family members able to monitor elderly parents via apps</w:t>
      </w:r>
    </w:p>
    <w:p>
      <w:pPr>
        <w:numPr>
          <w:ilvl w:val="0"/>
          <w:numId w:val="106"/>
        </w:numPr>
        <w:spacing w:lineRule="auto"/>
      </w:pPr>
      <w:r>
        <w:rPr/>
        <w:t xml:space="preserve">Autonomous systems reducing caregiver burden in institutional and home settings</w:t>
      </w:r>
    </w:p>
    <w:p>
      <w:pPr>
        <w:spacing w:after="210" w:lineRule="auto"/>
      </w:pPr>
      <w:r>
        <w:rPr>
          <w:b/>
        </w:rPr>
        <w:t xml:space="preserve">AI and Personalization:</w:t>
      </w:r>
    </w:p>
    <w:p>
      <w:pPr>
        <w:numPr>
          <w:ilvl w:val="0"/>
          <w:numId w:val="107"/>
        </w:numPr>
        <w:spacing w:lineRule="auto"/>
      </w:pPr>
      <w:r>
        <w:rPr/>
        <w:t xml:space="preserve">AI-driven dietary recommendations, medication management, fitness programs becoming standard</w:t>
      </w:r>
    </w:p>
    <w:p>
      <w:pPr>
        <w:numPr>
          <w:ilvl w:val="0"/>
          <w:numId w:val="107"/>
        </w:numPr>
        <w:spacing w:lineRule="auto"/>
      </w:pPr>
      <w:r>
        <w:rPr/>
        <w:t xml:space="preserve">Personalized health interventions based on genetic testing and lifestyle data</w:t>
      </w:r>
    </w:p>
    <w:p>
      <w:pPr>
        <w:numPr>
          <w:ilvl w:val="0"/>
          <w:numId w:val="107"/>
        </w:numPr>
        <w:spacing w:lineRule="auto"/>
      </w:pPr>
      <w:r>
        <w:rPr/>
        <w:t xml:space="preserve">Customized product recommendations for elderly-specific needs</w:t>
      </w:r>
    </w:p>
    <w:p>
      <w:pPr>
        <w:spacing w:line="271" w:before="240" w:lineRule="auto"/>
      </w:pPr>
      <w:bookmarkStart w:id="66" w:name="health_and_wellness_trends"/>
      <w:r>
        <w:rPr>
          <w:b/>
          <w:sz w:val="28"/>
        </w:rPr>
        <w:t xml:space="preserve">Health and Wellness Trends</w:t>
      </w:r>
      <w:bookmarkEnd w:id="66"/>
    </w:p>
    <w:p>
      <w:pPr>
        <w:spacing w:after="210" w:lineRule="auto"/>
      </w:pPr>
      <w:r>
        <w:rPr>
          <w:b/>
        </w:rPr>
        <w:t xml:space="preserve">Preventive Health Focus:</w:t>
      </w:r>
    </w:p>
    <w:p>
      <w:pPr>
        <w:numPr>
          <w:ilvl w:val="0"/>
          <w:numId w:val="108"/>
        </w:numPr>
        <w:spacing w:lineRule="auto"/>
      </w:pPr>
      <w:r>
        <w:rPr/>
        <w:t xml:space="preserve">Shift from reactive treatment to preventive care paradigm</w:t>
      </w:r>
    </w:p>
    <w:p>
      <w:pPr>
        <w:numPr>
          <w:ilvl w:val="0"/>
          <w:numId w:val="108"/>
        </w:numPr>
        <w:spacing w:lineRule="auto"/>
      </w:pPr>
      <w:r>
        <w:rPr/>
        <w:t xml:space="preserve">Increasing interest in longevity science, biomarkers, and personalized medicine</w:t>
      </w:r>
    </w:p>
    <w:p>
      <w:pPr>
        <w:numPr>
          <w:ilvl w:val="0"/>
          <w:numId w:val="108"/>
        </w:numPr>
        <w:spacing w:lineRule="auto"/>
      </w:pPr>
      <w:r>
        <w:rPr/>
        <w:t xml:space="preserve">Functional food adoption expanding beyond current niche market</w:t>
      </w:r>
    </w:p>
    <w:p>
      <w:pPr>
        <w:numPr>
          <w:ilvl w:val="0"/>
          <w:numId w:val="108"/>
        </w:numPr>
        <w:spacing w:lineRule="auto"/>
      </w:pPr>
      <w:r>
        <w:rPr>
          <w:rFonts w:eastAsia="Georgia" w:cs="Georgia" w:ascii="Georgia" w:hAnsi="Georgia"/>
        </w:rPr>
        <w:t xml:space="preserve">Estimated preventive health market growth to ¥3-5 trillion by 2050</w:t>
      </w:r>
    </w:p>
    <w:p>
      <w:pPr>
        <w:spacing w:after="210" w:lineRule="auto"/>
      </w:pPr>
      <w:r>
        <w:rPr>
          <w:b/>
        </w:rPr>
        <w:t xml:space="preserve">Mental Health and Cognitive Support:</w:t>
      </w:r>
    </w:p>
    <w:p>
      <w:pPr>
        <w:numPr>
          <w:ilvl w:val="0"/>
          <w:numId w:val="109"/>
        </w:numPr>
        <w:spacing w:lineRule="auto"/>
      </w:pPr>
      <w:r>
        <w:rPr/>
        <w:t xml:space="preserve">Growing recognition of dementia prevention and cognitive enhancement importance</w:t>
      </w:r>
    </w:p>
    <w:p>
      <w:pPr>
        <w:numPr>
          <w:ilvl w:val="0"/>
          <w:numId w:val="109"/>
        </w:numPr>
        <w:spacing w:lineRule="auto"/>
      </w:pPr>
      <w:r>
        <w:rPr/>
        <w:t xml:space="preserve">Market for brain-health products, cognitive training, social engagement programs expanding</w:t>
      </w:r>
    </w:p>
    <w:p>
      <w:pPr>
        <w:numPr>
          <w:ilvl w:val="0"/>
          <w:numId w:val="109"/>
        </w:numPr>
        <w:spacing w:lineRule="auto"/>
      </w:pPr>
      <w:r>
        <w:rPr>
          <w:rFonts w:eastAsia="Georgia" w:cs="Georgia" w:ascii="Georgia" w:hAnsi="Georgia"/>
        </w:rPr>
        <w:t xml:space="preserve">Estimated market 2024: ¥50-100 billion; 2050 projection: ¥200-400 billion</w:t>
      </w:r>
    </w:p>
    <w:p>
      <w:pPr>
        <w:spacing w:after="210" w:lineRule="auto"/>
      </w:pPr>
      <w:r>
        <w:rPr>
          <w:b/>
        </w:rPr>
        <w:t xml:space="preserve">Active Aging and Fitness:</w:t>
      </w:r>
    </w:p>
    <w:p>
      <w:pPr>
        <w:numPr>
          <w:ilvl w:val="0"/>
          <w:numId w:val="110"/>
        </w:numPr>
        <w:spacing w:lineRule="auto"/>
      </w:pPr>
      <w:r>
        <w:rPr/>
        <w:t xml:space="preserve">Reframing aging as opportunity for continued physical activity and fitness</w:t>
      </w:r>
    </w:p>
    <w:p>
      <w:pPr>
        <w:numPr>
          <w:ilvl w:val="0"/>
          <w:numId w:val="110"/>
        </w:numPr>
        <w:spacing w:lineRule="auto"/>
      </w:pPr>
      <w:r>
        <w:rPr/>
        <w:t xml:space="preserve">Market for elderly-specific exercise classes, sports, fitness equipment growing 5-8% annually</w:t>
      </w:r>
    </w:p>
    <w:p>
      <w:pPr>
        <w:numPr>
          <w:ilvl w:val="0"/>
          <w:numId w:val="110"/>
        </w:numPr>
        <w:spacing w:lineRule="auto"/>
      </w:pPr>
      <w:r>
        <w:rPr>
          <w:rFonts w:eastAsia="Georgia" w:cs="Georgia" w:ascii="Georgia" w:hAnsi="Georgia"/>
        </w:rPr>
        <w:t xml:space="preserve">Estimated market 2024: ¥300-400 billion; 2050 projection: ¥800-1,000 billion</w:t>
      </w:r>
    </w:p>
    <w:p>
      <w:pPr>
        <w:spacing w:line="271" w:before="240" w:lineRule="auto"/>
      </w:pPr>
      <w:bookmarkStart w:id="67" w:name="family_structure_and_living_arran_fe89ee"/>
      <w:r>
        <w:rPr>
          <w:b/>
          <w:sz w:val="28"/>
        </w:rPr>
        <w:t xml:space="preserve">Family Structure and Living Arrangement Changes</w:t>
      </w:r>
      <w:bookmarkEnd w:id="67"/>
    </w:p>
    <w:p>
      <w:pPr>
        <w:spacing w:after="210" w:lineRule="auto"/>
      </w:pPr>
      <w:r>
        <w:rPr>
          <w:b/>
        </w:rPr>
        <w:t xml:space="preserve">Continued Single-Household Growth:</w:t>
      </w:r>
    </w:p>
    <w:p>
      <w:pPr>
        <w:numPr>
          <w:ilvl w:val="0"/>
          <w:numId w:val="111"/>
        </w:numPr>
        <w:spacing w:lineRule="auto"/>
      </w:pPr>
      <w:r>
        <w:rPr>
          <w:rFonts w:eastAsia="Georgia" w:cs="Georgia" w:ascii="Georgia" w:hAnsi="Georgia"/>
        </w:rPr>
        <w:t xml:space="preserve">Single elderly households increasing 1.5× to 10.84 million by 2050</w:t>
      </w:r>
    </w:p>
    <w:p>
      <w:pPr>
        <w:numPr>
          <w:ilvl w:val="0"/>
          <w:numId w:val="111"/>
        </w:numPr>
        <w:spacing w:lineRule="auto"/>
      </w:pPr>
      <w:r>
        <w:rPr/>
        <w:t xml:space="preserve">Driving professionalized care, meal delivery, technology-enabled monitoring services</w:t>
      </w:r>
    </w:p>
    <w:p>
      <w:pPr>
        <w:numPr>
          <w:ilvl w:val="0"/>
          <w:numId w:val="111"/>
        </w:numPr>
        <w:spacing w:lineRule="auto"/>
      </w:pPr>
      <w:r>
        <w:rPr/>
        <w:t xml:space="preserve">Creating market opportunities for convenience products and outsourced services</w:t>
      </w:r>
    </w:p>
    <w:p>
      <w:pPr>
        <w:spacing w:after="210" w:lineRule="auto"/>
      </w:pPr>
      <w:r>
        <w:rPr>
          <w:b/>
        </w:rPr>
        <w:t xml:space="preserve">Childless and Relative-Free Population Growth:</w:t>
      </w:r>
    </w:p>
    <w:p>
      <w:pPr>
        <w:numPr>
          <w:ilvl w:val="0"/>
          <w:numId w:val="112"/>
        </w:numPr>
        <w:spacing w:lineRule="auto"/>
      </w:pPr>
      <w:r>
        <w:rPr/>
        <w:t xml:space="preserve">10.32 million elderly without children by 2050 (vs. 4.59 million in 2024)</w:t>
      </w:r>
    </w:p>
    <w:p>
      <w:pPr>
        <w:numPr>
          <w:ilvl w:val="0"/>
          <w:numId w:val="112"/>
        </w:numPr>
        <w:spacing w:lineRule="auto"/>
      </w:pPr>
      <w:r>
        <w:rPr/>
        <w:t xml:space="preserve">4.48 million without close relatives by 2050 (vs. 2.86 million in 2024)</w:t>
      </w:r>
    </w:p>
    <w:p>
      <w:pPr>
        <w:numPr>
          <w:ilvl w:val="0"/>
          <w:numId w:val="112"/>
        </w:numPr>
        <w:spacing w:lineRule="auto"/>
      </w:pPr>
      <w:r>
        <w:rPr/>
        <w:t xml:space="preserve">Requiring institutional care, digital guardianship, administrative support services</w:t>
      </w:r>
    </w:p>
    <w:p>
      <w:pPr>
        <w:numPr>
          <w:ilvl w:val="0"/>
          <w:numId w:val="112"/>
        </w:numPr>
        <w:spacing w:lineRule="auto"/>
      </w:pPr>
      <w:r>
        <w:rPr/>
        <w:t xml:space="preserve">Potential market for "elder care by technology" including digital executor services</w:t>
      </w:r>
    </w:p>
    <w:p>
      <w:pPr>
        <w:spacing w:after="210" w:lineRule="auto"/>
      </w:pPr>
      <w:r>
        <w:rPr>
          <w:b/>
        </w:rPr>
        <w:t xml:space="preserve">Volunteer and Community-Based Care:</w:t>
      </w:r>
    </w:p>
    <w:p>
      <w:pPr>
        <w:numPr>
          <w:ilvl w:val="0"/>
          <w:numId w:val="113"/>
        </w:numPr>
        <w:spacing w:lineRule="auto"/>
      </w:pPr>
      <w:r>
        <w:rPr/>
        <w:t xml:space="preserve">Growing interest in community-based aging models</w:t>
      </w:r>
    </w:p>
    <w:p>
      <w:pPr>
        <w:numPr>
          <w:ilvl w:val="0"/>
          <w:numId w:val="113"/>
        </w:numPr>
        <w:spacing w:lineRule="auto"/>
      </w:pPr>
      <w:r>
        <w:rPr/>
        <w:t xml:space="preserve">Shared housing and co-living concepts emerging in urban areas</w:t>
      </w:r>
    </w:p>
    <w:p>
      <w:pPr>
        <w:numPr>
          <w:ilvl w:val="0"/>
          <w:numId w:val="113"/>
        </w:numPr>
        <w:spacing w:lineRule="auto"/>
      </w:pPr>
      <w:r>
        <w:rPr>
          <w:rFonts w:eastAsia="Georgia" w:cs="Georgia" w:ascii="Georgia" w:hAnsi="Georgia"/>
        </w:rPr>
        <w:t xml:space="preserve">Estimated market opportunity: ¥100-200 billion by 2050</w:t>
      </w:r>
    </w:p>
    <w:p>
      <w:pPr>
        <w:spacing w:line="271" w:before="240" w:lineRule="auto"/>
      </w:pPr>
      <w:bookmarkStart w:id="68" w:name="social_and_economic_shifts"/>
      <w:r>
        <w:rPr>
          <w:b/>
          <w:sz w:val="28"/>
        </w:rPr>
        <w:t xml:space="preserve">Social and Economic Shifts</w:t>
      </w:r>
      <w:bookmarkEnd w:id="68"/>
    </w:p>
    <w:p>
      <w:pPr>
        <w:spacing w:after="210" w:lineRule="auto"/>
      </w:pPr>
      <w:r>
        <w:rPr>
          <w:b/>
        </w:rPr>
        <w:t xml:space="preserve">Wealth and Inequality Dynamics:</w:t>
      </w:r>
    </w:p>
    <w:p>
      <w:pPr>
        <w:numPr>
          <w:ilvl w:val="0"/>
          <w:numId w:val="114"/>
        </w:numPr>
        <w:spacing w:lineRule="auto"/>
      </w:pPr>
      <w:r>
        <w:rPr>
          <w:rFonts w:eastAsia="Georgia" w:cs="Georgia" w:ascii="Georgia" w:hAnsi="Georgia"/>
        </w:rPr>
        <w:t xml:space="preserve">Significant wealth transfer from elderly to heirs expected (estimated ¥100+ trillion over 2020-2050)</w:t>
      </w:r>
    </w:p>
    <w:p>
      <w:pPr>
        <w:numPr>
          <w:ilvl w:val="0"/>
          <w:numId w:val="114"/>
        </w:numPr>
        <w:spacing w:lineRule="auto"/>
      </w:pPr>
      <w:r>
        <w:rPr/>
        <w:t xml:space="preserve">Intragenerational elderly inequality likely to increase: affluent elderly with multiple properties, limited elderly struggling with fixed pensions</w:t>
      </w:r>
    </w:p>
    <w:p>
      <w:pPr>
        <w:numPr>
          <w:ilvl w:val="0"/>
          <w:numId w:val="114"/>
        </w:numPr>
        <w:spacing w:lineRule="auto"/>
      </w:pPr>
      <w:r>
        <w:rPr/>
        <w:t xml:space="preserve">Growing "silver class" of wealthy, educated, active elderly driving premium product demand</w:t>
      </w:r>
    </w:p>
    <w:p>
      <w:pPr>
        <w:numPr>
          <w:ilvl w:val="0"/>
          <w:numId w:val="114"/>
        </w:numPr>
        <w:spacing w:lineRule="auto"/>
      </w:pPr>
      <w:r>
        <w:rPr/>
        <w:t xml:space="preserve">Emerging "care poverty" segment requiring subsidized services</w:t>
      </w:r>
    </w:p>
    <w:p>
      <w:pPr>
        <w:spacing w:after="210" w:lineRule="auto"/>
      </w:pPr>
      <w:r>
        <w:rPr>
          <w:b/>
        </w:rPr>
        <w:t xml:space="preserve">Labor Market Participation:</w:t>
      </w:r>
    </w:p>
    <w:p>
      <w:pPr>
        <w:numPr>
          <w:ilvl w:val="0"/>
          <w:numId w:val="115"/>
        </w:numPr>
        <w:spacing w:lineRule="auto"/>
      </w:pPr>
      <w:r>
        <w:rPr/>
        <w:t xml:space="preserve">Growing proportion of elderly continuing to work past 65: Estimated 30-35% of 65-69 cohort and 15-20% of 70-74 cohort by 2050</w:t>
      </w:r>
    </w:p>
    <w:p>
      <w:pPr>
        <w:numPr>
          <w:ilvl w:val="0"/>
          <w:numId w:val="115"/>
        </w:numPr>
        <w:spacing w:lineRule="auto"/>
      </w:pPr>
      <w:r>
        <w:rPr/>
        <w:t xml:space="preserve">Self-employment and gig economy work accommodating elderly workers</w:t>
      </w:r>
    </w:p>
    <w:p>
      <w:pPr>
        <w:numPr>
          <w:ilvl w:val="0"/>
          <w:numId w:val="115"/>
        </w:numPr>
        <w:spacing w:lineRule="auto"/>
      </w:pPr>
      <w:r>
        <w:rPr/>
        <w:t xml:space="preserve">Growing income from continued employment supplementing pensions</w:t>
      </w:r>
    </w:p>
    <w:p>
      <w:pPr>
        <w:spacing w:after="210" w:lineRule="auto"/>
      </w:pPr>
      <w:r>
        <w:rPr>
          <w:b/>
        </w:rPr>
        <w:t xml:space="preserve">Work-Life Transition:</w:t>
      </w:r>
    </w:p>
    <w:p>
      <w:pPr>
        <w:numPr>
          <w:ilvl w:val="0"/>
          <w:numId w:val="116"/>
        </w:numPr>
        <w:spacing w:lineRule="auto"/>
      </w:pPr>
      <w:r>
        <w:rPr/>
        <w:t xml:space="preserve">Blurred boundaries between retirement and continued productive activity</w:t>
      </w:r>
    </w:p>
    <w:p>
      <w:pPr>
        <w:numPr>
          <w:ilvl w:val="0"/>
          <w:numId w:val="116"/>
        </w:numPr>
        <w:spacing w:lineRule="auto"/>
      </w:pPr>
      <w:r>
        <w:rPr/>
        <w:t xml:space="preserve">Growing social expectation of productive aging rather than withdrawal</w:t>
      </w:r>
    </w:p>
    <w:p>
      <w:pPr>
        <w:numPr>
          <w:ilvl w:val="0"/>
          <w:numId w:val="116"/>
        </w:numPr>
        <w:spacing w:lineRule="auto"/>
      </w:pPr>
      <w:r>
        <w:rPr/>
        <w:t xml:space="preserve">Emerging market for skills-sharing, consulting, mentoring platforms targeting experienced elderly</w:t>
      </w:r>
    </w:p>
    <w:p>
      <w:pPr>
        <w:spacing w:line="271" w:before="240" w:lineRule="auto"/>
      </w:pPr>
      <w:bookmarkStart w:id="69" w:name="consumption_pattern_evolution"/>
      <w:r>
        <w:rPr>
          <w:b/>
          <w:sz w:val="28"/>
        </w:rPr>
        <w:t xml:space="preserve">Consumption Pattern Evolution</w:t>
      </w:r>
      <w:bookmarkEnd w:id="69"/>
    </w:p>
    <w:p>
      <w:pPr>
        <w:spacing w:after="210" w:lineRule="auto"/>
      </w:pPr>
      <w:r>
        <w:rPr>
          <w:b/>
        </w:rPr>
        <w:t xml:space="preserve">Premium Goods and Luxury Spending:</w:t>
      </w:r>
    </w:p>
    <w:p>
      <w:pPr>
        <w:numPr>
          <w:ilvl w:val="0"/>
          <w:numId w:val="117"/>
        </w:numPr>
        <w:spacing w:lineRule="auto"/>
      </w:pPr>
      <w:r>
        <w:rPr/>
        <w:t xml:space="preserve">Growing "active elderly" segment with discretionary income pursuing premium experiences</w:t>
      </w:r>
    </w:p>
    <w:p>
      <w:pPr>
        <w:numPr>
          <w:ilvl w:val="0"/>
          <w:numId w:val="117"/>
        </w:numPr>
        <w:spacing w:lineRule="auto"/>
      </w:pPr>
      <w:r>
        <w:rPr/>
        <w:t xml:space="preserve">Luxury goods market for elderly expanding: Designer fashion, high-end dining, luxury travel experiences</w:t>
      </w:r>
    </w:p>
    <w:p>
      <w:pPr>
        <w:numPr>
          <w:ilvl w:val="0"/>
          <w:numId w:val="117"/>
        </w:numPr>
        <w:spacing w:lineRule="auto"/>
      </w:pPr>
      <w:r>
        <w:rPr>
          <w:rFonts w:eastAsia="Georgia" w:cs="Georgia" w:ascii="Georgia" w:hAnsi="Georgia"/>
        </w:rPr>
        <w:t xml:space="preserve">Estimated luxury market for elderly 2024: ¥500 billion; 2050 projection: ¥1.5-2.0 trillion</w:t>
      </w:r>
    </w:p>
    <w:p>
      <w:pPr>
        <w:spacing w:after="210" w:lineRule="auto"/>
      </w:pPr>
      <w:r>
        <w:rPr>
          <w:b/>
        </w:rPr>
        <w:t xml:space="preserve">Experience Over Goods:</w:t>
      </w:r>
    </w:p>
    <w:p>
      <w:pPr>
        <w:numPr>
          <w:ilvl w:val="0"/>
          <w:numId w:val="118"/>
        </w:numPr>
        <w:spacing w:lineRule="auto"/>
      </w:pPr>
      <w:r>
        <w:rPr/>
        <w:t xml:space="preserve">Shift toward experiential consumption: Travel, cultural activities, learning, social engagement</w:t>
      </w:r>
    </w:p>
    <w:p>
      <w:pPr>
        <w:numPr>
          <w:ilvl w:val="0"/>
          <w:numId w:val="118"/>
        </w:numPr>
        <w:spacing w:lineRule="auto"/>
      </w:pPr>
      <w:r>
        <w:rPr/>
        <w:t xml:space="preserve">Declining material goods acquisition as elderly downsize homes and simplify</w:t>
      </w:r>
    </w:p>
    <w:p>
      <w:pPr>
        <w:numPr>
          <w:ilvl w:val="0"/>
          <w:numId w:val="118"/>
        </w:numPr>
        <w:spacing w:lineRule="auto"/>
      </w:pPr>
      <w:r>
        <w:rPr/>
        <w:t xml:space="preserve">Growing market for curated experiences (food tours, cultural trips, wellness retreats)</w:t>
      </w:r>
    </w:p>
    <w:p>
      <w:pPr>
        <w:spacing w:after="210" w:lineRule="auto"/>
      </w:pPr>
      <w:r>
        <w:rPr>
          <w:b/>
        </w:rPr>
        <w:t xml:space="preserve">Sustainability and Ethical Consumption:</w:t>
      </w:r>
    </w:p>
    <w:p>
      <w:pPr>
        <w:numPr>
          <w:ilvl w:val="0"/>
          <w:numId w:val="119"/>
        </w:numPr>
        <w:spacing w:lineRule="auto"/>
      </w:pPr>
      <w:r>
        <w:rPr/>
        <w:t xml:space="preserve">Growing interest among affluent elderly in sustainable products and fair-trade goods</w:t>
      </w:r>
    </w:p>
    <w:p>
      <w:pPr>
        <w:numPr>
          <w:ilvl w:val="0"/>
          <w:numId w:val="119"/>
        </w:numPr>
        <w:spacing w:lineRule="auto"/>
      </w:pPr>
      <w:r>
        <w:rPr/>
        <w:t xml:space="preserve">Environmental consciousness driving plant-based food preferences, eco-friendly personal care</w:t>
      </w:r>
    </w:p>
    <w:p>
      <w:pPr>
        <w:numPr>
          <w:ilvl w:val="0"/>
          <w:numId w:val="119"/>
        </w:numPr>
        <w:spacing w:lineRule="auto"/>
      </w:pPr>
      <w:r>
        <w:rPr/>
        <w:t xml:space="preserve">Purpose-driven consumption: Support for social causes, elder-friendly businesses</w:t>
      </w:r>
    </w:p>
    <w:p>
      <w:pPr>
        <w:spacing w:after="210" w:lineRule="auto"/>
      </w:pPr>
      <w:r>
        <w:rPr>
          <w:b/>
        </w:rPr>
        <w:t xml:space="preserve">Grandparent and Intergenerational Spending:</w:t>
      </w:r>
    </w:p>
    <w:p>
      <w:pPr>
        <w:numPr>
          <w:ilvl w:val="0"/>
          <w:numId w:val="120"/>
        </w:numPr>
        <w:spacing w:lineRule="auto"/>
      </w:pPr>
      <w:r>
        <w:rPr>
          <w:rFonts w:eastAsia="Georgia" w:cs="Georgia" w:ascii="Georgia" w:hAnsi="Georgia"/>
        </w:rPr>
        <w:t xml:space="preserve">Continued strong spending on grandchildren: ¥500,000-2,000,000+ annually among many households</w:t>
      </w:r>
    </w:p>
    <w:p>
      <w:pPr>
        <w:numPr>
          <w:ilvl w:val="0"/>
          <w:numId w:val="120"/>
        </w:numPr>
        <w:spacing w:lineRule="auto"/>
      </w:pPr>
      <w:r>
        <w:rPr/>
        <w:t xml:space="preserve">Growing market for educational products, experiences, and services for grandparent-grandchild interactions</w:t>
      </w:r>
    </w:p>
    <w:p>
      <w:pPr>
        <w:numPr>
          <w:ilvl w:val="0"/>
          <w:numId w:val="120"/>
        </w:numPr>
        <w:spacing w:lineRule="auto"/>
      </w:pPr>
      <w:r>
        <w:rPr>
          <w:rFonts w:eastAsia="Georgia" w:cs="Georgia" w:ascii="Georgia" w:hAnsi="Georgia"/>
        </w:rPr>
        <w:t xml:space="preserve">Estimated intergenerational transfer market 2024: ¥5-6 trillion; 2050 projection: ¥6-8 trillion</w:t>
      </w:r>
    </w:p>
    <w:p>
      <w:pPr>
        <w:spacing w:line="271" w:before="240" w:lineRule="auto"/>
      </w:pPr>
      <w:bookmarkStart w:id="70" w:name="healthcare_and_long_term_care_evolution"/>
      <w:r>
        <w:rPr>
          <w:b/>
          <w:sz w:val="28"/>
        </w:rPr>
        <w:t xml:space="preserve">Healthcare and Long-Term Care Evolution</w:t>
      </w:r>
      <w:bookmarkEnd w:id="70"/>
    </w:p>
    <w:p>
      <w:pPr>
        <w:spacing w:after="210" w:lineRule="auto"/>
      </w:pPr>
      <w:r>
        <w:rPr>
          <w:b/>
        </w:rPr>
        <w:t xml:space="preserve">Shift from Institutional to Home-Based Care:</w:t>
      </w:r>
    </w:p>
    <w:p>
      <w:pPr>
        <w:numPr>
          <w:ilvl w:val="0"/>
          <w:numId w:val="121"/>
        </w:numPr>
        <w:spacing w:lineRule="auto"/>
      </w:pPr>
      <w:r>
        <w:rPr/>
        <w:t xml:space="preserve">Preference for aging-in-place driving home healthcare market growth</w:t>
      </w:r>
    </w:p>
    <w:p>
      <w:pPr>
        <w:numPr>
          <w:ilvl w:val="0"/>
          <w:numId w:val="121"/>
        </w:numPr>
        <w:spacing w:lineRule="auto"/>
      </w:pPr>
      <w:r>
        <w:rPr/>
        <w:t xml:space="preserve">Home modification and assistive technology expansion</w:t>
      </w:r>
    </w:p>
    <w:p>
      <w:pPr>
        <w:numPr>
          <w:ilvl w:val="0"/>
          <w:numId w:val="121"/>
        </w:numPr>
        <w:spacing w:lineRule="auto"/>
      </w:pPr>
      <w:r>
        <w:rPr>
          <w:rFonts w:eastAsia="Georgia" w:cs="Georgia" w:ascii="Georgia" w:hAnsi="Georgia"/>
        </w:rPr>
        <w:t xml:space="preserve">Estimated home care market growth from ¥3.5 trillion (2024) to ¥7-8 trillion (2050)</w:t>
      </w:r>
    </w:p>
    <w:p>
      <w:pPr>
        <w:spacing w:after="210" w:lineRule="auto"/>
      </w:pPr>
      <w:r>
        <w:rPr>
          <w:b/>
        </w:rPr>
        <w:t xml:space="preserve">Technology-Enabled Care Models:</w:t>
      </w:r>
    </w:p>
    <w:p>
      <w:pPr>
        <w:numPr>
          <w:ilvl w:val="0"/>
          <w:numId w:val="122"/>
        </w:numPr>
        <w:spacing w:lineRule="auto"/>
      </w:pPr>
      <w:r>
        <w:rPr/>
        <w:t xml:space="preserve">Remote monitoring and AI-assisted decision-making reducing institutional care needs</w:t>
      </w:r>
    </w:p>
    <w:p>
      <w:pPr>
        <w:numPr>
          <w:ilvl w:val="0"/>
          <w:numId w:val="122"/>
        </w:numPr>
        <w:spacing w:lineRule="auto"/>
      </w:pPr>
      <w:r>
        <w:rPr/>
        <w:t xml:space="preserve">Telemedicine becoming primary healthcare access mode for rural and mobility-limited elderly</w:t>
      </w:r>
    </w:p>
    <w:p>
      <w:pPr>
        <w:numPr>
          <w:ilvl w:val="0"/>
          <w:numId w:val="122"/>
        </w:numPr>
        <w:spacing w:lineRule="auto"/>
      </w:pPr>
      <w:r>
        <w:rPr/>
        <w:t xml:space="preserve">Autonomous care robots and smart home systems reducing human caregiver requirements</w:t>
      </w:r>
    </w:p>
    <w:p>
      <w:pPr>
        <w:spacing w:after="210" w:lineRule="auto"/>
      </w:pPr>
      <w:r>
        <w:rPr>
          <w:b/>
        </w:rPr>
        <w:t xml:space="preserve">Personalized Medicine and Genomics:</w:t>
      </w:r>
    </w:p>
    <w:p>
      <w:pPr>
        <w:numPr>
          <w:ilvl w:val="0"/>
          <w:numId w:val="123"/>
        </w:numPr>
        <w:spacing w:lineRule="auto"/>
      </w:pPr>
      <w:r>
        <w:rPr/>
        <w:t xml:space="preserve">Genetic testing informing personalized nutrition and medication</w:t>
      </w:r>
    </w:p>
    <w:p>
      <w:pPr>
        <w:numPr>
          <w:ilvl w:val="0"/>
          <w:numId w:val="123"/>
        </w:numPr>
        <w:spacing w:lineRule="auto"/>
      </w:pPr>
      <w:r>
        <w:rPr/>
        <w:t xml:space="preserve">Precision health interventions replacing one-size-fits-all approaches</w:t>
      </w:r>
    </w:p>
    <w:p>
      <w:pPr>
        <w:numPr>
          <w:ilvl w:val="0"/>
          <w:numId w:val="123"/>
        </w:numPr>
        <w:spacing w:lineRule="auto"/>
      </w:pPr>
      <w:r>
        <w:rPr>
          <w:rFonts w:eastAsia="Georgia" w:cs="Georgia" w:ascii="Georgia" w:hAnsi="Georgia"/>
        </w:rPr>
        <w:t xml:space="preserve">Estimated market expansion from current ¥10-50 billion to ¥200-300 billion by 2050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1" w:name="part_5_integrated_quantitative_ma_9fe347"/>
      <w:r>
        <w:rPr>
          <w:rFonts w:eastAsia="Georgia" w:cs="Georgia" w:ascii="Georgia" w:hAnsi="Georgia"/>
          <w:b/>
          <w:sz w:val="42"/>
        </w:rPr>
        <w:t xml:space="preserve">Part 5: Integrated Quantitative Market Size Estimations (2020–2050)</w:t>
      </w:r>
      <w:bookmarkEnd w:id="71"/>
    </w:p>
    <w:p>
      <w:pPr>
        <w:spacing w:line="271" w:before="240" w:lineRule="auto"/>
      </w:pPr>
      <w:bookmarkStart w:id="72" w:name="bm_5_1_consolidated_market_size_analysis"/>
      <w:r>
        <w:rPr>
          <w:b/>
          <w:sz w:val="33"/>
        </w:rPr>
        <w:t xml:space="preserve">5.1 Consolidated Market Size Analysis</w:t>
      </w:r>
      <w:bookmarkEnd w:id="72"/>
    </w:p>
    <w:p>
      <w:pPr>
        <w:spacing w:after="210" w:lineRule="auto"/>
      </w:pPr>
      <w:r>
        <w:rPr/>
        <w:t xml:space="preserve">This section presents integrated quantitative projections across analyzed categories, directly linked to population dynamics and consumption analysis.</w:t>
      </w:r>
    </w:p>
    <w:p>
      <w:pPr>
        <w:spacing w:line="271" w:before="240" w:lineRule="auto"/>
      </w:pPr>
      <w:bookmarkStart w:id="73" w:name="major_categories_market_size_in_j_4a39b0"/>
      <w:r>
        <w:rPr>
          <w:b/>
          <w:sz w:val="28"/>
        </w:rPr>
        <w:t xml:space="preserve">Major Categories Market Size (in JPY Trillion)</w:t>
      </w:r>
      <w:bookmarkEnd w:id="7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086"/>
        <w:gridCol w:w="1086"/>
        <w:gridCol w:w="1086"/>
        <w:gridCol w:w="1086"/>
        <w:gridCol w:w="1086"/>
        <w:gridCol w:w="1086"/>
        <w:gridCol w:w="1086"/>
        <w:gridCol w:w="1086"/>
      </w:tblGrid>
      <w:tr>
        <w:trPr>
          <w:cantSplit/>
        </w:trPr>
        <w:tc>
          <w:tcPr>
            <w:tcBorders>
              <w:top w:val="single" w:sz="1" w:space="0" w:color="000000"/>
              <w:bottom w:val="single" w:sz="1" w:space="0" w:color="000000"/>
            </w:tcBorders>
          </w:tcPr>
          <w:p>
            <w:pPr>
              <w:spacing w:lineRule="auto"/>
            </w:pPr>
            <w:r>
              <w:rPr/>
              <w:t xml:space="preserve">Category</w:t>
            </w:r>
          </w:p>
        </w:tc>
        <w:tc>
          <w:tcPr>
            <w:tcBorders>
              <w:top w:val="single" w:sz="1" w:space="0" w:color="000000"/>
              <w:left w:val="single" w:sz="1" w:space="0" w:color="000000"/>
              <w:bottom w:val="single" w:sz="1" w:space="0" w:color="000000"/>
            </w:tcBorders>
          </w:tcPr>
          <w:p>
            <w:pPr>
              <w:spacing w:lineRule="auto"/>
            </w:pPr>
            <w:r>
              <w:rPr/>
              <w:t xml:space="preserve">2020</w:t>
            </w:r>
          </w:p>
        </w:tc>
        <w:tc>
          <w:tcPr>
            <w:tcBorders>
              <w:top w:val="single" w:sz="1" w:space="0" w:color="000000"/>
              <w:left w:val="single" w:sz="1" w:space="0" w:color="000000"/>
              <w:bottom w:val="single" w:sz="1" w:space="0" w:color="000000"/>
            </w:tcBorders>
          </w:tcPr>
          <w:p>
            <w:pPr>
              <w:spacing w:lineRule="auto"/>
            </w:pPr>
            <w:r>
              <w:rPr/>
              <w:t xml:space="preserve">2025</w:t>
            </w:r>
          </w:p>
        </w:tc>
        <w:tc>
          <w:tcPr>
            <w:tcBorders>
              <w:top w:val="single" w:sz="1" w:space="0" w:color="000000"/>
              <w:left w:val="single" w:sz="1" w:space="0" w:color="000000"/>
              <w:bottom w:val="single" w:sz="1" w:space="0" w:color="000000"/>
            </w:tcBorders>
          </w:tcPr>
          <w:p>
            <w:pPr>
              <w:spacing w:lineRule="auto"/>
            </w:pPr>
            <w:r>
              <w:rPr/>
              <w:t xml:space="preserve">2030</w:t>
            </w:r>
          </w:p>
        </w:tc>
        <w:tc>
          <w:tcPr>
            <w:tcBorders>
              <w:top w:val="single" w:sz="1" w:space="0" w:color="000000"/>
              <w:left w:val="single" w:sz="1" w:space="0" w:color="000000"/>
              <w:bottom w:val="single" w:sz="1" w:space="0" w:color="000000"/>
            </w:tcBorders>
          </w:tcPr>
          <w:p>
            <w:pPr>
              <w:spacing w:lineRule="auto"/>
            </w:pPr>
            <w:r>
              <w:rPr/>
              <w:t xml:space="preserve">2035</w:t>
            </w:r>
          </w:p>
        </w:tc>
        <w:tc>
          <w:tcPr>
            <w:tcBorders>
              <w:top w:val="single" w:sz="1" w:space="0" w:color="000000"/>
              <w:left w:val="single" w:sz="1" w:space="0" w:color="000000"/>
              <w:bottom w:val="single" w:sz="1" w:space="0" w:color="000000"/>
            </w:tcBorders>
          </w:tcPr>
          <w:p>
            <w:pPr>
              <w:spacing w:lineRule="auto"/>
            </w:pPr>
            <w:r>
              <w:rPr/>
              <w:t xml:space="preserve">2040</w:t>
            </w:r>
          </w:p>
        </w:tc>
        <w:tc>
          <w:tcPr>
            <w:tcBorders>
              <w:top w:val="single" w:sz="1" w:space="0" w:color="000000"/>
              <w:left w:val="single" w:sz="1" w:space="0" w:color="000000"/>
              <w:bottom w:val="single" w:sz="1" w:space="0" w:color="000000"/>
            </w:tcBorders>
          </w:tcPr>
          <w:p>
            <w:pPr>
              <w:spacing w:lineRule="auto"/>
            </w:pPr>
            <w:r>
              <w:rPr/>
              <w:t xml:space="preserve">2045</w:t>
            </w:r>
          </w:p>
        </w:tc>
        <w:tc>
          <w:tcPr>
            <w:tcBorders>
              <w:top w:val="single" w:sz="1" w:space="0" w:color="000000"/>
              <w:left w:val="single" w:sz="1" w:space="0" w:color="000000"/>
              <w:bottom w:val="single" w:sz="1" w:space="0" w:color="000000"/>
            </w:tcBorders>
          </w:tcPr>
          <w:p>
            <w:pPr>
              <w:spacing w:lineRule="auto"/>
            </w:pPr>
            <w:r>
              <w:rPr/>
              <w:t xml:space="preserve">2050</w:t>
            </w:r>
          </w:p>
        </w:tc>
      </w:tr>
      <w:tr>
        <w:trPr>
          <w:cantSplit/>
        </w:trPr>
        <w:tc>
          <w:tcPr>
            <w:tcBorders>
              <w:top w:val="single" w:sz="1" w:space="0" w:color="000000"/>
              <w:bottom w:val="single" w:sz="1" w:space="0" w:color="000000"/>
            </w:tcBorders>
          </w:tcPr>
          <w:p>
            <w:pPr>
              <w:spacing w:lineRule="auto"/>
            </w:pPr>
            <w:r>
              <w:rPr>
                <w:b/>
              </w:rPr>
              <w:t xml:space="preserve">Healthcare</w:t>
            </w:r>
          </w:p>
        </w:tc>
        <w:tc>
          <w:tcPr>
            <w:tcBorders>
              <w:top w:val="single" w:sz="1" w:space="0" w:color="000000"/>
              <w:left w:val="single" w:sz="1" w:space="0" w:color="000000"/>
              <w:bottom w:val="single" w:sz="1" w:space="0" w:color="000000"/>
            </w:tcBorders>
          </w:tcPr>
          <w:p>
            <w:pPr>
              <w:spacing w:lineRule="auto"/>
            </w:pPr>
            <w:r>
              <w:rPr/>
              <w:t xml:space="preserve">42.0</w:t>
            </w:r>
          </w:p>
        </w:tc>
        <w:tc>
          <w:tcPr>
            <w:tcBorders>
              <w:top w:val="single" w:sz="1" w:space="0" w:color="000000"/>
              <w:left w:val="single" w:sz="1" w:space="0" w:color="000000"/>
              <w:bottom w:val="single" w:sz="1" w:space="0" w:color="000000"/>
            </w:tcBorders>
          </w:tcPr>
          <w:p>
            <w:pPr>
              <w:spacing w:lineRule="auto"/>
            </w:pPr>
            <w:r>
              <w:rPr/>
              <w:t xml:space="preserve">48.0</w:t>
            </w:r>
          </w:p>
        </w:tc>
        <w:tc>
          <w:tcPr>
            <w:tcBorders>
              <w:top w:val="single" w:sz="1" w:space="0" w:color="000000"/>
              <w:left w:val="single" w:sz="1" w:space="0" w:color="000000"/>
              <w:bottom w:val="single" w:sz="1" w:space="0" w:color="000000"/>
            </w:tcBorders>
          </w:tcPr>
          <w:p>
            <w:pPr>
              <w:spacing w:lineRule="auto"/>
            </w:pPr>
            <w:r>
              <w:rPr/>
              <w:t xml:space="preserve">62.0</w:t>
            </w:r>
          </w:p>
        </w:tc>
        <w:tc>
          <w:tcPr>
            <w:tcBorders>
              <w:top w:val="single" w:sz="1" w:space="0" w:color="000000"/>
              <w:left w:val="single" w:sz="1" w:space="0" w:color="000000"/>
              <w:bottom w:val="single" w:sz="1" w:space="0" w:color="000000"/>
            </w:tcBorders>
          </w:tcPr>
          <w:p>
            <w:pPr>
              <w:spacing w:lineRule="auto"/>
            </w:pPr>
            <w:r>
              <w:rPr/>
              <w:t xml:space="preserve">71.0</w:t>
            </w:r>
          </w:p>
        </w:tc>
        <w:tc>
          <w:tcPr>
            <w:tcBorders>
              <w:top w:val="single" w:sz="1" w:space="0" w:color="000000"/>
              <w:left w:val="single" w:sz="1" w:space="0" w:color="000000"/>
              <w:bottom w:val="single" w:sz="1" w:space="0" w:color="000000"/>
            </w:tcBorders>
          </w:tcPr>
          <w:p>
            <w:pPr>
              <w:spacing w:lineRule="auto"/>
            </w:pPr>
            <w:r>
              <w:rPr/>
              <w:t xml:space="preserve">78.0</w:t>
            </w:r>
          </w:p>
        </w:tc>
        <w:tc>
          <w:tcPr>
            <w:tcBorders>
              <w:top w:val="single" w:sz="1" w:space="0" w:color="000000"/>
              <w:left w:val="single" w:sz="1" w:space="0" w:color="000000"/>
              <w:bottom w:val="single" w:sz="1" w:space="0" w:color="000000"/>
            </w:tcBorders>
          </w:tcPr>
          <w:p>
            <w:pPr>
              <w:spacing w:lineRule="auto"/>
            </w:pPr>
            <w:r>
              <w:rPr/>
              <w:t xml:space="preserve">80.5</w:t>
            </w:r>
          </w:p>
        </w:tc>
        <w:tc>
          <w:tcPr>
            <w:tcBorders>
              <w:top w:val="single" w:sz="1" w:space="0" w:color="000000"/>
              <w:left w:val="single" w:sz="1" w:space="0" w:color="000000"/>
              <w:bottom w:val="single" w:sz="1" w:space="0" w:color="000000"/>
            </w:tcBorders>
          </w:tcPr>
          <w:p>
            <w:pPr>
              <w:spacing w:lineRule="auto"/>
            </w:pPr>
            <w:r>
              <w:rPr/>
              <w:t xml:space="preserve">82.0</w:t>
            </w:r>
          </w:p>
        </w:tc>
      </w:tr>
      <w:tr>
        <w:trPr>
          <w:cantSplit/>
        </w:trPr>
        <w:tc>
          <w:tcPr>
            <w:tcBorders>
              <w:top w:val="single" w:sz="1" w:space="0" w:color="000000"/>
              <w:bottom w:val="single" w:sz="1" w:space="0" w:color="000000"/>
            </w:tcBorders>
          </w:tcPr>
          <w:p>
            <w:pPr>
              <w:spacing w:lineRule="auto"/>
            </w:pPr>
            <w:r>
              <w:rPr>
                <w:b/>
              </w:rPr>
              <w:t xml:space="preserve">Long-Term Care/LTCI</w:t>
            </w:r>
          </w:p>
        </w:tc>
        <w:tc>
          <w:tcPr>
            <w:tcBorders>
              <w:top w:val="single" w:sz="1" w:space="0" w:color="000000"/>
              <w:left w:val="single" w:sz="1" w:space="0" w:color="000000"/>
              <w:bottom w:val="single" w:sz="1" w:space="0" w:color="000000"/>
            </w:tcBorders>
          </w:tcPr>
          <w:p>
            <w:pPr>
              <w:spacing w:lineRule="auto"/>
            </w:pPr>
            <w:r>
              <w:rPr/>
              <w:t xml:space="preserve">14.5</w:t>
            </w:r>
          </w:p>
        </w:tc>
        <w:tc>
          <w:tcPr>
            <w:tcBorders>
              <w:top w:val="single" w:sz="1" w:space="0" w:color="000000"/>
              <w:left w:val="single" w:sz="1" w:space="0" w:color="000000"/>
              <w:bottom w:val="single" w:sz="1" w:space="0" w:color="000000"/>
            </w:tcBorders>
          </w:tcPr>
          <w:p>
            <w:pPr>
              <w:spacing w:lineRule="auto"/>
            </w:pPr>
            <w:r>
              <w:rPr/>
              <w:t xml:space="preserve">15.8</w:t>
            </w:r>
          </w:p>
        </w:tc>
        <w:tc>
          <w:tcPr>
            <w:tcBorders>
              <w:top w:val="single" w:sz="1" w:space="0" w:color="000000"/>
              <w:left w:val="single" w:sz="1" w:space="0" w:color="000000"/>
              <w:bottom w:val="single" w:sz="1" w:space="0" w:color="000000"/>
            </w:tcBorders>
          </w:tcPr>
          <w:p>
            <w:pPr>
              <w:spacing w:lineRule="auto"/>
            </w:pPr>
            <w:r>
              <w:rPr/>
              <w:t xml:space="preserve">18.5</w:t>
            </w:r>
          </w:p>
        </w:tc>
        <w:tc>
          <w:tcPr>
            <w:tcBorders>
              <w:top w:val="single" w:sz="1" w:space="0" w:color="000000"/>
              <w:left w:val="single" w:sz="1" w:space="0" w:color="000000"/>
              <w:bottom w:val="single" w:sz="1" w:space="0" w:color="000000"/>
            </w:tcBorders>
          </w:tcPr>
          <w:p>
            <w:pPr>
              <w:spacing w:lineRule="auto"/>
            </w:pPr>
            <w:r>
              <w:rPr/>
              <w:t xml:space="preserve">21.5</w:t>
            </w:r>
          </w:p>
        </w:tc>
        <w:tc>
          <w:tcPr>
            <w:tcBorders>
              <w:top w:val="single" w:sz="1" w:space="0" w:color="000000"/>
              <w:left w:val="single" w:sz="1" w:space="0" w:color="000000"/>
              <w:bottom w:val="single" w:sz="1" w:space="0" w:color="000000"/>
            </w:tcBorders>
          </w:tcPr>
          <w:p>
            <w:pPr>
              <w:spacing w:lineRule="auto"/>
            </w:pPr>
            <w:r>
              <w:rPr/>
              <w:t xml:space="preserve">25.0</w:t>
            </w:r>
          </w:p>
        </w:tc>
        <w:tc>
          <w:tcPr>
            <w:tcBorders>
              <w:top w:val="single" w:sz="1" w:space="0" w:color="000000"/>
              <w:left w:val="single" w:sz="1" w:space="0" w:color="000000"/>
              <w:bottom w:val="single" w:sz="1" w:space="0" w:color="000000"/>
            </w:tcBorders>
          </w:tcPr>
          <w:p>
            <w:pPr>
              <w:spacing w:lineRule="auto"/>
            </w:pPr>
            <w:r>
              <w:rPr/>
              <w:t xml:space="preserve">28.0</w:t>
            </w:r>
          </w:p>
        </w:tc>
        <w:tc>
          <w:tcPr>
            <w:tcBorders>
              <w:top w:val="single" w:sz="1" w:space="0" w:color="000000"/>
              <w:left w:val="single" w:sz="1" w:space="0" w:color="000000"/>
              <w:bottom w:val="single" w:sz="1" w:space="0" w:color="000000"/>
            </w:tcBorders>
          </w:tcPr>
          <w:p>
            <w:pPr>
              <w:spacing w:lineRule="auto"/>
            </w:pPr>
            <w:r>
              <w:rPr/>
              <w:t xml:space="preserve">32.0</w:t>
            </w:r>
          </w:p>
        </w:tc>
      </w:tr>
      <w:tr>
        <w:trPr>
          <w:cantSplit/>
        </w:trPr>
        <w:tc>
          <w:tcPr>
            <w:tcBorders>
              <w:top w:val="single" w:sz="1" w:space="0" w:color="000000"/>
              <w:bottom w:val="single" w:sz="1" w:space="0" w:color="000000"/>
            </w:tcBorders>
          </w:tcPr>
          <w:p>
            <w:pPr>
              <w:spacing w:lineRule="auto"/>
            </w:pPr>
            <w:r>
              <w:rPr>
                <w:b/>
              </w:rPr>
              <w:t xml:space="preserve">Food &amp; Beverage</w:t>
            </w:r>
          </w:p>
        </w:tc>
        <w:tc>
          <w:tcPr>
            <w:tcBorders>
              <w:top w:val="single" w:sz="1" w:space="0" w:color="000000"/>
              <w:left w:val="single" w:sz="1" w:space="0" w:color="000000"/>
              <w:bottom w:val="single" w:sz="1" w:space="0" w:color="000000"/>
            </w:tcBorders>
          </w:tcPr>
          <w:p>
            <w:pPr>
              <w:spacing w:lineRule="auto"/>
            </w:pPr>
            <w:r>
              <w:rPr/>
              <w:t xml:space="preserve">9.5</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10.8</w:t>
            </w:r>
          </w:p>
        </w:tc>
        <w:tc>
          <w:tcPr>
            <w:tcBorders>
              <w:top w:val="single" w:sz="1" w:space="0" w:color="000000"/>
              <w:left w:val="single" w:sz="1" w:space="0" w:color="000000"/>
              <w:bottom w:val="single" w:sz="1" w:space="0" w:color="000000"/>
            </w:tcBorders>
          </w:tcPr>
          <w:p>
            <w:pPr>
              <w:spacing w:lineRule="auto"/>
            </w:pPr>
            <w:r>
              <w:rPr/>
              <w:t xml:space="preserve">11.2</w:t>
            </w:r>
          </w:p>
        </w:tc>
        <w:tc>
          <w:tcPr>
            <w:tcBorders>
              <w:top w:val="single" w:sz="1" w:space="0" w:color="000000"/>
              <w:left w:val="single" w:sz="1" w:space="0" w:color="000000"/>
              <w:bottom w:val="single" w:sz="1" w:space="0" w:color="000000"/>
            </w:tcBorders>
          </w:tcPr>
          <w:p>
            <w:pPr>
              <w:spacing w:lineRule="auto"/>
            </w:pPr>
            <w:r>
              <w:rPr/>
              <w:t xml:space="preserve">11.5</w:t>
            </w:r>
          </w:p>
        </w:tc>
        <w:tc>
          <w:tcPr>
            <w:tcBorders>
              <w:top w:val="single" w:sz="1" w:space="0" w:color="000000"/>
              <w:left w:val="single" w:sz="1" w:space="0" w:color="000000"/>
              <w:bottom w:val="single" w:sz="1" w:space="0" w:color="000000"/>
            </w:tcBorders>
          </w:tcPr>
          <w:p>
            <w:pPr>
              <w:spacing w:lineRule="auto"/>
            </w:pPr>
            <w:r>
              <w:rPr/>
              <w:t xml:space="preserve">11.8</w:t>
            </w:r>
          </w:p>
        </w:tc>
        <w:tc>
          <w:tcPr>
            <w:tcBorders>
              <w:top w:val="single" w:sz="1" w:space="0" w:color="000000"/>
              <w:left w:val="single" w:sz="1" w:space="0" w:color="000000"/>
              <w:bottom w:val="single" w:sz="1" w:space="0" w:color="000000"/>
            </w:tcBorders>
          </w:tcPr>
          <w:p>
            <w:pPr>
              <w:spacing w:lineRule="auto"/>
            </w:pPr>
            <w:r>
              <w:rPr/>
              <w:t xml:space="preserve">12.0</w:t>
            </w:r>
          </w:p>
        </w:tc>
      </w:tr>
      <w:tr>
        <w:trPr>
          <w:cantSplit/>
        </w:trPr>
        <w:tc>
          <w:tcPr>
            <w:tcBorders>
              <w:top w:val="single" w:sz="1" w:space="0" w:color="000000"/>
              <w:bottom w:val="single" w:sz="1" w:space="0" w:color="000000"/>
            </w:tcBorders>
          </w:tcPr>
          <w:p>
            <w:pPr>
              <w:spacing w:lineRule="auto"/>
            </w:pPr>
            <w:r>
              <w:rPr>
                <w:b/>
              </w:rPr>
              <w:t xml:space="preserve">Housing &amp; Residential</w:t>
            </w:r>
          </w:p>
        </w:tc>
        <w:tc>
          <w:tcPr>
            <w:tcBorders>
              <w:top w:val="single" w:sz="1" w:space="0" w:color="000000"/>
              <w:left w:val="single" w:sz="1" w:space="0" w:color="000000"/>
              <w:bottom w:val="single" w:sz="1" w:space="0" w:color="000000"/>
            </w:tcBorders>
          </w:tcPr>
          <w:p>
            <w:pPr>
              <w:spacing w:lineRule="auto"/>
            </w:pPr>
            <w:r>
              <w:rPr/>
              <w:t xml:space="preserve">2.3</w:t>
            </w:r>
          </w:p>
        </w:tc>
        <w:tc>
          <w:tcPr>
            <w:tcBorders>
              <w:top w:val="single" w:sz="1" w:space="0" w:color="000000"/>
              <w:left w:val="single" w:sz="1" w:space="0" w:color="000000"/>
              <w:bottom w:val="single" w:sz="1" w:space="0" w:color="000000"/>
            </w:tcBorders>
          </w:tcPr>
          <w:p>
            <w:pPr>
              <w:spacing w:lineRule="auto"/>
            </w:pPr>
            <w:r>
              <w:rPr/>
              <w:t xml:space="preserve">2.8</w:t>
            </w:r>
          </w:p>
        </w:tc>
        <w:tc>
          <w:tcPr>
            <w:tcBorders>
              <w:top w:val="single" w:sz="1" w:space="0" w:color="000000"/>
              <w:left w:val="single" w:sz="1" w:space="0" w:color="000000"/>
              <w:bottom w:val="single" w:sz="1" w:space="0" w:color="000000"/>
            </w:tcBorders>
          </w:tcPr>
          <w:p>
            <w:pPr>
              <w:spacing w:lineRule="auto"/>
            </w:pPr>
            <w:r>
              <w:rPr/>
              <w:t xml:space="preserve">3.2</w:t>
            </w:r>
          </w:p>
        </w:tc>
        <w:tc>
          <w:tcPr>
            <w:tcBorders>
              <w:top w:val="single" w:sz="1" w:space="0" w:color="000000"/>
              <w:left w:val="single" w:sz="1" w:space="0" w:color="000000"/>
              <w:bottom w:val="single" w:sz="1" w:space="0" w:color="000000"/>
            </w:tcBorders>
          </w:tcPr>
          <w:p>
            <w:pPr>
              <w:spacing w:lineRule="auto"/>
            </w:pPr>
            <w:r>
              <w:rPr/>
              <w:t xml:space="preserve">3.8</w:t>
            </w:r>
          </w:p>
        </w:tc>
        <w:tc>
          <w:tcPr>
            <w:tcBorders>
              <w:top w:val="single" w:sz="1" w:space="0" w:color="000000"/>
              <w:left w:val="single" w:sz="1" w:space="0" w:color="000000"/>
              <w:bottom w:val="single" w:sz="1" w:space="0" w:color="000000"/>
            </w:tcBorders>
          </w:tcPr>
          <w:p>
            <w:pPr>
              <w:spacing w:lineRule="auto"/>
            </w:pPr>
            <w:r>
              <w:rPr/>
              <w:t xml:space="preserve">4.2</w:t>
            </w:r>
          </w:p>
        </w:tc>
        <w:tc>
          <w:tcPr>
            <w:tcBorders>
              <w:top w:val="single" w:sz="1" w:space="0" w:color="000000"/>
              <w:left w:val="single" w:sz="1" w:space="0" w:color="000000"/>
              <w:bottom w:val="single" w:sz="1" w:space="0" w:color="000000"/>
            </w:tcBorders>
          </w:tcPr>
          <w:p>
            <w:pPr>
              <w:spacing w:lineRule="auto"/>
            </w:pPr>
            <w:r>
              <w:rPr/>
              <w:t xml:space="preserve">4.5</w:t>
            </w:r>
          </w:p>
        </w:tc>
        <w:tc>
          <w:tcPr>
            <w:tcBorders>
              <w:top w:val="single" w:sz="1" w:space="0" w:color="000000"/>
              <w:left w:val="single" w:sz="1" w:space="0" w:color="000000"/>
              <w:bottom w:val="single" w:sz="1" w:space="0" w:color="000000"/>
            </w:tcBorders>
          </w:tcPr>
          <w:p>
            <w:pPr>
              <w:spacing w:lineRule="auto"/>
            </w:pPr>
            <w:r>
              <w:rPr/>
              <w:t xml:space="preserve">4.8</w:t>
            </w:r>
          </w:p>
        </w:tc>
      </w:tr>
      <w:tr>
        <w:trPr>
          <w:cantSplit/>
        </w:trPr>
        <w:tc>
          <w:tcPr>
            <w:tcBorders>
              <w:top w:val="single" w:sz="1" w:space="0" w:color="000000"/>
              <w:bottom w:val="single" w:sz="1" w:space="0" w:color="000000"/>
            </w:tcBorders>
          </w:tcPr>
          <w:p>
            <w:pPr>
              <w:spacing w:lineRule="auto"/>
            </w:pPr>
            <w:r>
              <w:rPr>
                <w:b/>
              </w:rPr>
              <w:t xml:space="preserve">Clothing &amp; Apparel</w:t>
            </w:r>
          </w:p>
        </w:tc>
        <w:tc>
          <w:tcPr>
            <w:tcBorders>
              <w:top w:val="single" w:sz="1" w:space="0" w:color="000000"/>
              <w:left w:val="single" w:sz="1" w:space="0" w:color="000000"/>
              <w:bottom w:val="single" w:sz="1" w:space="0" w:color="000000"/>
            </w:tcBorders>
          </w:tcPr>
          <w:p>
            <w:pPr>
              <w:spacing w:lineRule="auto"/>
            </w:pPr>
            <w:r>
              <w:rPr/>
              <w:t xml:space="preserve">0.04</w:t>
            </w:r>
          </w:p>
        </w:tc>
        <w:tc>
          <w:tcPr>
            <w:tcBorders>
              <w:top w:val="single" w:sz="1" w:space="0" w:color="000000"/>
              <w:left w:val="single" w:sz="1" w:space="0" w:color="000000"/>
              <w:bottom w:val="single" w:sz="1" w:space="0" w:color="000000"/>
            </w:tcBorders>
          </w:tcPr>
          <w:p>
            <w:pPr>
              <w:spacing w:lineRule="auto"/>
            </w:pPr>
            <w:r>
              <w:rPr/>
              <w:t xml:space="preserve">0.05</w:t>
            </w:r>
          </w:p>
        </w:tc>
        <w:tc>
          <w:tcPr>
            <w:tcBorders>
              <w:top w:val="single" w:sz="1" w:space="0" w:color="000000"/>
              <w:left w:val="single" w:sz="1" w:space="0" w:color="000000"/>
              <w:bottom w:val="single" w:sz="1" w:space="0" w:color="000000"/>
            </w:tcBorders>
          </w:tcPr>
          <w:p>
            <w:pPr>
              <w:spacing w:lineRule="auto"/>
            </w:pPr>
            <w:r>
              <w:rPr/>
              <w:t xml:space="preserve">0.07</w:t>
            </w:r>
          </w:p>
        </w:tc>
        <w:tc>
          <w:tcPr>
            <w:tcBorders>
              <w:top w:val="single" w:sz="1" w:space="0" w:color="000000"/>
              <w:left w:val="single" w:sz="1" w:space="0" w:color="000000"/>
              <w:bottom w:val="single" w:sz="1" w:space="0" w:color="000000"/>
            </w:tcBorders>
          </w:tcPr>
          <w:p>
            <w:pPr>
              <w:spacing w:lineRule="auto"/>
            </w:pPr>
            <w:r>
              <w:rPr/>
              <w:t xml:space="preserve">0.08</w:t>
            </w:r>
          </w:p>
        </w:tc>
        <w:tc>
          <w:tcPr>
            <w:tcBorders>
              <w:top w:val="single" w:sz="1" w:space="0" w:color="000000"/>
              <w:left w:val="single" w:sz="1" w:space="0" w:color="000000"/>
              <w:bottom w:val="single" w:sz="1" w:space="0" w:color="000000"/>
            </w:tcBorders>
          </w:tcPr>
          <w:p>
            <w:pPr>
              <w:spacing w:lineRule="auto"/>
            </w:pPr>
            <w:r>
              <w:rPr/>
              <w:t xml:space="preserve">0.09</w:t>
            </w:r>
          </w:p>
        </w:tc>
        <w:tc>
          <w:tcPr>
            <w:tcBorders>
              <w:top w:val="single" w:sz="1" w:space="0" w:color="000000"/>
              <w:left w:val="single" w:sz="1" w:space="0" w:color="000000"/>
              <w:bottom w:val="single" w:sz="1" w:space="0" w:color="000000"/>
            </w:tcBorders>
          </w:tcPr>
          <w:p>
            <w:pPr>
              <w:spacing w:lineRule="auto"/>
            </w:pPr>
            <w:r>
              <w:rPr/>
              <w:t xml:space="preserve">0.095</w:t>
            </w:r>
          </w:p>
        </w:tc>
        <w:tc>
          <w:tcPr>
            <w:tcBorders>
              <w:top w:val="single" w:sz="1" w:space="0" w:color="000000"/>
              <w:left w:val="single" w:sz="1" w:space="0" w:color="000000"/>
              <w:bottom w:val="single" w:sz="1" w:space="0" w:color="000000"/>
            </w:tcBorders>
          </w:tcPr>
          <w:p>
            <w:pPr>
              <w:spacing w:lineRule="auto"/>
            </w:pPr>
            <w:r>
              <w:rPr/>
              <w:t xml:space="preserve">0.10</w:t>
            </w:r>
          </w:p>
        </w:tc>
      </w:tr>
      <w:tr>
        <w:trPr>
          <w:cantSplit/>
        </w:trPr>
        <w:tc>
          <w:tcPr>
            <w:tcBorders>
              <w:top w:val="single" w:sz="1" w:space="0" w:color="000000"/>
              <w:bottom w:val="single" w:sz="1" w:space="0" w:color="000000"/>
            </w:tcBorders>
          </w:tcPr>
          <w:p>
            <w:pPr>
              <w:spacing w:lineRule="auto"/>
            </w:pPr>
            <w:r>
              <w:rPr>
                <w:b/>
              </w:rPr>
              <w:t xml:space="preserve">Transportation</w:t>
            </w:r>
          </w:p>
        </w:tc>
        <w:tc>
          <w:tcPr>
            <w:tcBorders>
              <w:top w:val="single" w:sz="1" w:space="0" w:color="000000"/>
              <w:left w:val="single" w:sz="1" w:space="0" w:color="000000"/>
              <w:bottom w:val="single" w:sz="1" w:space="0" w:color="000000"/>
            </w:tcBorders>
          </w:tcPr>
          <w:p>
            <w:pPr>
              <w:spacing w:lineRule="auto"/>
            </w:pPr>
            <w:r>
              <w:rPr/>
              <w:t xml:space="preserve">1.2</w:t>
            </w:r>
          </w:p>
        </w:tc>
        <w:tc>
          <w:tcPr>
            <w:tcBorders>
              <w:top w:val="single" w:sz="1" w:space="0" w:color="000000"/>
              <w:left w:val="single" w:sz="1" w:space="0" w:color="000000"/>
              <w:bottom w:val="single" w:sz="1" w:space="0" w:color="000000"/>
            </w:tcBorders>
          </w:tcPr>
          <w:p>
            <w:pPr>
              <w:spacing w:lineRule="auto"/>
            </w:pPr>
            <w:r>
              <w:rPr/>
              <w:t xml:space="preserve">1.25</w:t>
            </w:r>
          </w:p>
        </w:tc>
        <w:tc>
          <w:tcPr>
            <w:tcBorders>
              <w:top w:val="single" w:sz="1" w:space="0" w:color="000000"/>
              <w:left w:val="single" w:sz="1" w:space="0" w:color="000000"/>
              <w:bottom w:val="single" w:sz="1" w:space="0" w:color="000000"/>
            </w:tcBorders>
          </w:tcPr>
          <w:p>
            <w:pPr>
              <w:spacing w:lineRule="auto"/>
            </w:pPr>
            <w:r>
              <w:rPr/>
              <w:t xml:space="preserve">1.35</w:t>
            </w:r>
          </w:p>
        </w:tc>
        <w:tc>
          <w:tcPr>
            <w:tcBorders>
              <w:top w:val="single" w:sz="1" w:space="0" w:color="000000"/>
              <w:left w:val="single" w:sz="1" w:space="0" w:color="000000"/>
              <w:bottom w:val="single" w:sz="1" w:space="0" w:color="000000"/>
            </w:tcBorders>
          </w:tcPr>
          <w:p>
            <w:pPr>
              <w:spacing w:lineRule="auto"/>
            </w:pPr>
            <w:r>
              <w:rPr/>
              <w:t xml:space="preserve">1.40</w:t>
            </w:r>
          </w:p>
        </w:tc>
        <w:tc>
          <w:tcPr>
            <w:tcBorders>
              <w:top w:val="single" w:sz="1" w:space="0" w:color="000000"/>
              <w:left w:val="single" w:sz="1" w:space="0" w:color="000000"/>
              <w:bottom w:val="single" w:sz="1" w:space="0" w:color="000000"/>
            </w:tcBorders>
          </w:tcPr>
          <w:p>
            <w:pPr>
              <w:spacing w:lineRule="auto"/>
            </w:pPr>
            <w:r>
              <w:rPr/>
              <w:t xml:space="preserve">1.45</w:t>
            </w:r>
          </w:p>
        </w:tc>
        <w:tc>
          <w:tcPr>
            <w:tcBorders>
              <w:top w:val="single" w:sz="1" w:space="0" w:color="000000"/>
              <w:left w:val="single" w:sz="1" w:space="0" w:color="000000"/>
              <w:bottom w:val="single" w:sz="1" w:space="0" w:color="000000"/>
            </w:tcBorders>
          </w:tcPr>
          <w:p>
            <w:pPr>
              <w:spacing w:lineRule="auto"/>
            </w:pPr>
            <w:r>
              <w:rPr/>
              <w:t xml:space="preserve">1.48</w:t>
            </w:r>
          </w:p>
        </w:tc>
        <w:tc>
          <w:tcPr>
            <w:tcBorders>
              <w:top w:val="single" w:sz="1" w:space="0" w:color="000000"/>
              <w:left w:val="single" w:sz="1" w:space="0" w:color="000000"/>
              <w:bottom w:val="single" w:sz="1" w:space="0" w:color="000000"/>
            </w:tcBorders>
          </w:tcPr>
          <w:p>
            <w:pPr>
              <w:spacing w:lineRule="auto"/>
            </w:pPr>
            <w:r>
              <w:rPr/>
              <w:t xml:space="preserve">1.50</w:t>
            </w:r>
          </w:p>
        </w:tc>
      </w:tr>
      <w:tr>
        <w:trPr>
          <w:cantSplit/>
        </w:trPr>
        <w:tc>
          <w:tcPr>
            <w:tcBorders>
              <w:top w:val="single" w:sz="1" w:space="0" w:color="000000"/>
              <w:bottom w:val="single" w:sz="1" w:space="0" w:color="000000"/>
            </w:tcBorders>
          </w:tcPr>
          <w:p>
            <w:pPr>
              <w:spacing w:lineRule="auto"/>
            </w:pPr>
            <w:r>
              <w:rPr>
                <w:b/>
              </w:rPr>
              <w:t xml:space="preserve">Leisure &amp; Entertainment</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5.5</w:t>
            </w:r>
          </w:p>
        </w:tc>
        <w:tc>
          <w:tcPr>
            <w:tcBorders>
              <w:top w:val="single" w:sz="1" w:space="0" w:color="000000"/>
              <w:left w:val="single" w:sz="1" w:space="0" w:color="000000"/>
              <w:bottom w:val="single" w:sz="1" w:space="0" w:color="000000"/>
            </w:tcBorders>
          </w:tcPr>
          <w:p>
            <w:pPr>
              <w:spacing w:lineRule="auto"/>
            </w:pPr>
            <w:r>
              <w:rPr/>
              <w:t xml:space="preserve">6.8</w:t>
            </w:r>
          </w:p>
        </w:tc>
        <w:tc>
          <w:tcPr>
            <w:tcBorders>
              <w:top w:val="single" w:sz="1" w:space="0" w:color="000000"/>
              <w:left w:val="single" w:sz="1" w:space="0" w:color="000000"/>
              <w:bottom w:val="single" w:sz="1" w:space="0" w:color="000000"/>
            </w:tcBorders>
          </w:tcPr>
          <w:p>
            <w:pPr>
              <w:spacing w:lineRule="auto"/>
            </w:pPr>
            <w:r>
              <w:rPr/>
              <w:t xml:space="preserve">7.4</w:t>
            </w:r>
          </w:p>
        </w:tc>
        <w:tc>
          <w:tcPr>
            <w:tcBorders>
              <w:top w:val="single" w:sz="1" w:space="0" w:color="000000"/>
              <w:left w:val="single" w:sz="1" w:space="0" w:color="000000"/>
              <w:bottom w:val="single" w:sz="1" w:space="0" w:color="000000"/>
            </w:tcBorders>
          </w:tcPr>
          <w:p>
            <w:pPr>
              <w:spacing w:lineRule="auto"/>
            </w:pPr>
            <w:r>
              <w:rPr/>
              <w:t xml:space="preserve">8.0</w:t>
            </w:r>
          </w:p>
        </w:tc>
        <w:tc>
          <w:tcPr>
            <w:tcBorders>
              <w:top w:val="single" w:sz="1" w:space="0" w:color="000000"/>
              <w:left w:val="single" w:sz="1" w:space="0" w:color="000000"/>
              <w:bottom w:val="single" w:sz="1" w:space="0" w:color="000000"/>
            </w:tcBorders>
          </w:tcPr>
          <w:p>
            <w:pPr>
              <w:spacing w:lineRule="auto"/>
            </w:pPr>
            <w:r>
              <w:rPr/>
              <w:t xml:space="preserve">8.3</w:t>
            </w:r>
          </w:p>
        </w:tc>
        <w:tc>
          <w:tcPr>
            <w:tcBorders>
              <w:top w:val="single" w:sz="1" w:space="0" w:color="000000"/>
              <w:left w:val="single" w:sz="1" w:space="0" w:color="000000"/>
              <w:bottom w:val="single" w:sz="1" w:space="0" w:color="000000"/>
            </w:tcBorders>
          </w:tcPr>
          <w:p>
            <w:pPr>
              <w:spacing w:lineRule="auto"/>
            </w:pPr>
            <w:r>
              <w:rPr/>
              <w:t xml:space="preserve">8.5</w:t>
            </w:r>
          </w:p>
        </w:tc>
      </w:tr>
      <w:tr>
        <w:trPr>
          <w:cantSplit/>
        </w:trPr>
        <w:tc>
          <w:tcPr>
            <w:tcBorders>
              <w:top w:val="single" w:sz="1" w:space="0" w:color="000000"/>
              <w:bottom w:val="single" w:sz="1" w:space="0" w:color="000000"/>
            </w:tcBorders>
          </w:tcPr>
          <w:p>
            <w:pPr>
              <w:spacing w:lineRule="auto"/>
            </w:pPr>
            <w:r>
              <w:rPr>
                <w:b/>
              </w:rPr>
              <w:t xml:space="preserve">Technology &amp; Digital Services</w:t>
            </w:r>
          </w:p>
        </w:tc>
        <w:tc>
          <w:tcPr>
            <w:tcBorders>
              <w:top w:val="single" w:sz="1" w:space="0" w:color="000000"/>
              <w:left w:val="single" w:sz="1" w:space="0" w:color="000000"/>
              <w:bottom w:val="single" w:sz="1" w:space="0" w:color="000000"/>
            </w:tcBorders>
          </w:tcPr>
          <w:p>
            <w:pPr>
              <w:spacing w:lineRule="auto"/>
            </w:pPr>
            <w:r>
              <w:rPr/>
              <w:t xml:space="preserve">0.8</w:t>
            </w:r>
          </w:p>
        </w:tc>
        <w:tc>
          <w:tcPr>
            <w:tcBorders>
              <w:top w:val="single" w:sz="1" w:space="0" w:color="000000"/>
              <w:left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t xml:space="preserve">2.5</w:t>
            </w:r>
          </w:p>
        </w:tc>
        <w:tc>
          <w:tcPr>
            <w:tcBorders>
              <w:top w:val="single" w:sz="1" w:space="0" w:color="000000"/>
              <w:left w:val="single" w:sz="1" w:space="0" w:color="000000"/>
              <w:bottom w:val="single" w:sz="1" w:space="0" w:color="000000"/>
            </w:tcBorders>
          </w:tcPr>
          <w:p>
            <w:pPr>
              <w:spacing w:lineRule="auto"/>
            </w:pPr>
            <w:r>
              <w:rPr/>
              <w:t xml:space="preserve">3.8</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5.8</w:t>
            </w:r>
          </w:p>
        </w:tc>
        <w:tc>
          <w:tcPr>
            <w:tcBorders>
              <w:top w:val="single" w:sz="1" w:space="0" w:color="000000"/>
              <w:left w:val="single" w:sz="1" w:space="0" w:color="000000"/>
              <w:bottom w:val="single" w:sz="1" w:space="0" w:color="000000"/>
            </w:tcBorders>
          </w:tcPr>
          <w:p>
            <w:pPr>
              <w:spacing w:lineRule="auto"/>
            </w:pPr>
            <w:r>
              <w:rPr/>
              <w:t xml:space="preserve">6.5</w:t>
            </w:r>
          </w:p>
        </w:tc>
      </w:tr>
      <w:tr>
        <w:trPr>
          <w:cantSplit/>
        </w:trPr>
        <w:tc>
          <w:tcPr>
            <w:tcBorders>
              <w:top w:val="single" w:sz="1" w:space="0" w:color="000000"/>
              <w:bottom w:val="single" w:sz="1" w:space="0" w:color="000000"/>
            </w:tcBorders>
          </w:tcPr>
          <w:p>
            <w:pPr>
              <w:spacing w:lineRule="auto"/>
            </w:pPr>
            <w:r>
              <w:rPr>
                <w:b/>
              </w:rPr>
              <w:t xml:space="preserve">Financial Services</w:t>
            </w:r>
          </w:p>
        </w:tc>
        <w:tc>
          <w:tcPr>
            <w:tcBorders>
              <w:top w:val="single" w:sz="1" w:space="0" w:color="000000"/>
              <w:left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t xml:space="preserve">1.8</w:t>
            </w:r>
          </w:p>
        </w:tc>
        <w:tc>
          <w:tcPr>
            <w:tcBorders>
              <w:top w:val="single" w:sz="1" w:space="0" w:color="000000"/>
              <w:left w:val="single" w:sz="1" w:space="0" w:color="000000"/>
              <w:bottom w:val="single" w:sz="1" w:space="0" w:color="000000"/>
            </w:tcBorders>
          </w:tcPr>
          <w:p>
            <w:pPr>
              <w:spacing w:lineRule="auto"/>
            </w:pPr>
            <w:r>
              <w:rPr/>
              <w:t xml:space="preserve">2.8</w:t>
            </w:r>
          </w:p>
        </w:tc>
        <w:tc>
          <w:tcPr>
            <w:tcBorders>
              <w:top w:val="single" w:sz="1" w:space="0" w:color="000000"/>
              <w:left w:val="single" w:sz="1" w:space="0" w:color="000000"/>
              <w:bottom w:val="single" w:sz="1" w:space="0" w:color="000000"/>
            </w:tcBorders>
          </w:tcPr>
          <w:p>
            <w:pPr>
              <w:spacing w:lineRule="auto"/>
            </w:pPr>
            <w:r>
              <w:rPr/>
              <w:t xml:space="preserve">3.5</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4.2</w:t>
            </w:r>
          </w:p>
        </w:tc>
        <w:tc>
          <w:tcPr>
            <w:tcBorders>
              <w:top w:val="single" w:sz="1" w:space="0" w:color="000000"/>
              <w:left w:val="single" w:sz="1" w:space="0" w:color="000000"/>
              <w:bottom w:val="single" w:sz="1" w:space="0" w:color="000000"/>
            </w:tcBorders>
          </w:tcPr>
          <w:p>
            <w:pPr>
              <w:spacing w:lineRule="auto"/>
            </w:pPr>
            <w:r>
              <w:rPr/>
              <w:t xml:space="preserve">4.5</w:t>
            </w:r>
          </w:p>
        </w:tc>
      </w:tr>
      <w:tr>
        <w:trPr>
          <w:cantSplit/>
        </w:trPr>
        <w:tc>
          <w:tcPr>
            <w:tcBorders>
              <w:top w:val="single" w:sz="1" w:space="0" w:color="000000"/>
              <w:bottom w:val="single" w:sz="1" w:space="0" w:color="000000"/>
            </w:tcBorders>
          </w:tcPr>
          <w:p>
            <w:pPr>
              <w:spacing w:lineRule="auto"/>
            </w:pPr>
            <w:r>
              <w:rPr>
                <w:b/>
              </w:rPr>
              <w:t xml:space="preserve">Personal Care &amp; Grooming</w:t>
            </w:r>
          </w:p>
        </w:tc>
        <w:tc>
          <w:tcPr>
            <w:tcBorders>
              <w:top w:val="single" w:sz="1" w:space="0" w:color="000000"/>
              <w:left w:val="single" w:sz="1" w:space="0" w:color="000000"/>
              <w:bottom w:val="single" w:sz="1" w:space="0" w:color="000000"/>
            </w:tcBorders>
          </w:tcPr>
          <w:p>
            <w:pPr>
              <w:spacing w:lineRule="auto"/>
            </w:pPr>
            <w:r>
              <w:rPr/>
              <w:t xml:space="preserve">0.35</w:t>
            </w:r>
          </w:p>
        </w:tc>
        <w:tc>
          <w:tcPr>
            <w:tcBorders>
              <w:top w:val="single" w:sz="1" w:space="0" w:color="000000"/>
              <w:left w:val="single" w:sz="1" w:space="0" w:color="000000"/>
              <w:bottom w:val="single" w:sz="1" w:space="0" w:color="000000"/>
            </w:tcBorders>
          </w:tcPr>
          <w:p>
            <w:pPr>
              <w:spacing w:lineRule="auto"/>
            </w:pPr>
            <w:r>
              <w:rPr/>
              <w:t xml:space="preserve">0.42</w:t>
            </w:r>
          </w:p>
        </w:tc>
        <w:tc>
          <w:tcPr>
            <w:tcBorders>
              <w:top w:val="single" w:sz="1" w:space="0" w:color="000000"/>
              <w:left w:val="single" w:sz="1" w:space="0" w:color="000000"/>
              <w:bottom w:val="single" w:sz="1" w:space="0" w:color="000000"/>
            </w:tcBorders>
          </w:tcPr>
          <w:p>
            <w:pPr>
              <w:spacing w:lineRule="auto"/>
            </w:pPr>
            <w:r>
              <w:rPr/>
              <w:t xml:space="preserve">0.55</w:t>
            </w:r>
          </w:p>
        </w:tc>
        <w:tc>
          <w:tcPr>
            <w:tcBorders>
              <w:top w:val="single" w:sz="1" w:space="0" w:color="000000"/>
              <w:left w:val="single" w:sz="1" w:space="0" w:color="000000"/>
              <w:bottom w:val="single" w:sz="1" w:space="0" w:color="000000"/>
            </w:tcBorders>
          </w:tcPr>
          <w:p>
            <w:pPr>
              <w:spacing w:lineRule="auto"/>
            </w:pPr>
            <w:r>
              <w:rPr/>
              <w:t xml:space="preserve">0.65</w:t>
            </w:r>
          </w:p>
        </w:tc>
        <w:tc>
          <w:tcPr>
            <w:tcBorders>
              <w:top w:val="single" w:sz="1" w:space="0" w:color="000000"/>
              <w:left w:val="single" w:sz="1" w:space="0" w:color="000000"/>
              <w:bottom w:val="single" w:sz="1" w:space="0" w:color="000000"/>
            </w:tcBorders>
          </w:tcPr>
          <w:p>
            <w:pPr>
              <w:spacing w:lineRule="auto"/>
            </w:pPr>
            <w:r>
              <w:rPr/>
              <w:t xml:space="preserve">0.75</w:t>
            </w:r>
          </w:p>
        </w:tc>
        <w:tc>
          <w:tcPr>
            <w:tcBorders>
              <w:top w:val="single" w:sz="1" w:space="0" w:color="000000"/>
              <w:left w:val="single" w:sz="1" w:space="0" w:color="000000"/>
              <w:bottom w:val="single" w:sz="1" w:space="0" w:color="000000"/>
            </w:tcBorders>
          </w:tcPr>
          <w:p>
            <w:pPr>
              <w:spacing w:lineRule="auto"/>
            </w:pPr>
            <w:r>
              <w:rPr/>
              <w:t xml:space="preserve">0.82</w:t>
            </w:r>
          </w:p>
        </w:tc>
        <w:tc>
          <w:tcPr>
            <w:tcBorders>
              <w:top w:val="single" w:sz="1" w:space="0" w:color="000000"/>
              <w:left w:val="single" w:sz="1" w:space="0" w:color="000000"/>
              <w:bottom w:val="single" w:sz="1" w:space="0" w:color="000000"/>
            </w:tcBorders>
          </w:tcPr>
          <w:p>
            <w:pPr>
              <w:spacing w:lineRule="auto"/>
            </w:pPr>
            <w:r>
              <w:rPr/>
              <w:t xml:space="preserve">0.90</w:t>
            </w:r>
          </w:p>
        </w:tc>
      </w:tr>
      <w:tr>
        <w:trPr>
          <w:cantSplit/>
        </w:trPr>
        <w:tc>
          <w:tcPr>
            <w:tcBorders>
              <w:top w:val="single" w:sz="1" w:space="0" w:color="000000"/>
              <w:bottom w:val="single" w:sz="1" w:space="0" w:color="000000"/>
            </w:tcBorders>
          </w:tcPr>
          <w:p>
            <w:pPr>
              <w:spacing w:lineRule="auto"/>
            </w:pPr>
            <w:r>
              <w:rPr>
                <w:b/>
              </w:rPr>
              <w:t xml:space="preserve">TOTAL</w:t>
            </w:r>
          </w:p>
        </w:tc>
        <w:tc>
          <w:tcPr>
            <w:tcBorders>
              <w:top w:val="single" w:sz="1" w:space="0" w:color="000000"/>
              <w:left w:val="single" w:sz="1" w:space="0" w:color="000000"/>
              <w:bottom w:val="single" w:sz="1" w:space="0" w:color="000000"/>
            </w:tcBorders>
          </w:tcPr>
          <w:p>
            <w:pPr>
              <w:spacing w:lineRule="auto"/>
            </w:pPr>
            <w:r>
              <w:rPr>
                <w:b/>
              </w:rPr>
              <w:t xml:space="preserve">77.0</w:t>
            </w:r>
          </w:p>
        </w:tc>
        <w:tc>
          <w:tcPr>
            <w:tcBorders>
              <w:top w:val="single" w:sz="1" w:space="0" w:color="000000"/>
              <w:left w:val="single" w:sz="1" w:space="0" w:color="000000"/>
              <w:bottom w:val="single" w:sz="1" w:space="0" w:color="000000"/>
            </w:tcBorders>
          </w:tcPr>
          <w:p>
            <w:pPr>
              <w:spacing w:lineRule="auto"/>
            </w:pPr>
            <w:r>
              <w:rPr>
                <w:b/>
              </w:rPr>
              <w:t xml:space="preserve">87.1</w:t>
            </w:r>
          </w:p>
        </w:tc>
        <w:tc>
          <w:tcPr>
            <w:tcBorders>
              <w:top w:val="single" w:sz="1" w:space="0" w:color="000000"/>
              <w:left w:val="single" w:sz="1" w:space="0" w:color="000000"/>
              <w:bottom w:val="single" w:sz="1" w:space="0" w:color="000000"/>
            </w:tcBorders>
          </w:tcPr>
          <w:p>
            <w:pPr>
              <w:spacing w:lineRule="auto"/>
            </w:pPr>
            <w:r>
              <w:rPr>
                <w:b/>
              </w:rPr>
              <w:t xml:space="preserve">109.1</w:t>
            </w:r>
          </w:p>
        </w:tc>
        <w:tc>
          <w:tcPr>
            <w:tcBorders>
              <w:top w:val="single" w:sz="1" w:space="0" w:color="000000"/>
              <w:left w:val="single" w:sz="1" w:space="0" w:color="000000"/>
              <w:bottom w:val="single" w:sz="1" w:space="0" w:color="000000"/>
            </w:tcBorders>
          </w:tcPr>
          <w:p>
            <w:pPr>
              <w:spacing w:lineRule="auto"/>
            </w:pPr>
            <w:r>
              <w:rPr>
                <w:b/>
              </w:rPr>
              <w:t xml:space="preserve">124.3</w:t>
            </w:r>
          </w:p>
        </w:tc>
        <w:tc>
          <w:tcPr>
            <w:tcBorders>
              <w:top w:val="single" w:sz="1" w:space="0" w:color="000000"/>
              <w:left w:val="single" w:sz="1" w:space="0" w:color="000000"/>
              <w:bottom w:val="single" w:sz="1" w:space="0" w:color="000000"/>
            </w:tcBorders>
          </w:tcPr>
          <w:p>
            <w:pPr>
              <w:spacing w:lineRule="auto"/>
            </w:pPr>
            <w:r>
              <w:rPr>
                <w:b/>
              </w:rPr>
              <w:t xml:space="preserve">138.0</w:t>
            </w:r>
          </w:p>
        </w:tc>
        <w:tc>
          <w:tcPr>
            <w:tcBorders>
              <w:top w:val="single" w:sz="1" w:space="0" w:color="000000"/>
              <w:left w:val="single" w:sz="1" w:space="0" w:color="000000"/>
              <w:bottom w:val="single" w:sz="1" w:space="0" w:color="000000"/>
            </w:tcBorders>
          </w:tcPr>
          <w:p>
            <w:pPr>
              <w:spacing w:lineRule="auto"/>
            </w:pPr>
            <w:r>
              <w:rPr>
                <w:b/>
              </w:rPr>
              <w:t xml:space="preserve">145.6</w:t>
            </w:r>
          </w:p>
        </w:tc>
        <w:tc>
          <w:tcPr>
            <w:tcBorders>
              <w:top w:val="single" w:sz="1" w:space="0" w:color="000000"/>
              <w:left w:val="single" w:sz="1" w:space="0" w:color="000000"/>
              <w:bottom w:val="single" w:sz="1" w:space="0" w:color="000000"/>
            </w:tcBorders>
          </w:tcPr>
          <w:p>
            <w:pPr>
              <w:spacing w:lineRule="auto"/>
            </w:pPr>
            <w:r>
              <w:rPr>
                <w:b/>
              </w:rPr>
              <w:t xml:space="preserve">153.0</w:t>
            </w:r>
          </w:p>
        </w:tc>
      </w:tr>
    </w:tbl>
    <w:p>
      <w:pPr>
        <w:spacing w:lineRule="auto"/>
      </w:pPr>
    </w:p>
    <w:p>
      <w:pPr>
        <w:spacing w:line="271" w:before="240" w:lineRule="auto"/>
      </w:pPr>
      <w:bookmarkStart w:id="74" w:name="cumulative_market_size_analysis"/>
      <w:r>
        <w:rPr>
          <w:b/>
          <w:sz w:val="28"/>
        </w:rPr>
        <w:t xml:space="preserve">Cumulative Market Size Analysis</w:t>
      </w:r>
      <w:bookmarkEnd w:id="74"/>
    </w:p>
    <w:p>
      <w:pPr>
        <w:spacing w:after="210" w:lineRule="auto"/>
      </w:pPr>
      <w:r>
        <w:rPr>
          <w:b/>
        </w:rPr>
        <w:t xml:space="preserve">5-Year Period Totals (JPY Trillion):</w:t>
      </w:r>
    </w:p>
    <w:p>
      <w:pPr>
        <w:numPr>
          <w:ilvl w:val="0"/>
          <w:numId w:val="124"/>
        </w:numPr>
        <w:spacing w:lineRule="auto"/>
      </w:pPr>
      <w:r>
        <w:rPr>
          <w:rFonts w:eastAsia="Georgia" w:cs="Georgia" w:ascii="Georgia" w:hAnsi="Georgia"/>
        </w:rPr>
        <w:t xml:space="preserve">2020-2024: ¥405-420 trillion cumulative</w:t>
      </w:r>
    </w:p>
    <w:p>
      <w:pPr>
        <w:numPr>
          <w:ilvl w:val="0"/>
          <w:numId w:val="124"/>
        </w:numPr>
        <w:spacing w:lineRule="auto"/>
      </w:pPr>
      <w:r>
        <w:rPr>
          <w:rFonts w:eastAsia="Georgia" w:cs="Georgia" w:ascii="Georgia" w:hAnsi="Georgia"/>
        </w:rPr>
        <w:t xml:space="preserve">2025-2029: ¥450-475 trillion cumulative</w:t>
      </w:r>
    </w:p>
    <w:p>
      <w:pPr>
        <w:numPr>
          <w:ilvl w:val="0"/>
          <w:numId w:val="124"/>
        </w:numPr>
        <w:spacing w:lineRule="auto"/>
      </w:pPr>
      <w:r>
        <w:rPr>
          <w:rFonts w:eastAsia="Georgia" w:cs="Georgia" w:ascii="Georgia" w:hAnsi="Georgia"/>
        </w:rPr>
        <w:t xml:space="preserve">2030-2034: ¥580-610 trillion cumulative</w:t>
      </w:r>
    </w:p>
    <w:p>
      <w:pPr>
        <w:numPr>
          <w:ilvl w:val="0"/>
          <w:numId w:val="124"/>
        </w:numPr>
        <w:spacing w:lineRule="auto"/>
      </w:pPr>
      <w:r>
        <w:rPr>
          <w:rFonts w:eastAsia="Georgia" w:cs="Georgia" w:ascii="Georgia" w:hAnsi="Georgia"/>
        </w:rPr>
        <w:t xml:space="preserve">2035-2039: ¥625-660 trillion cumulative</w:t>
      </w:r>
    </w:p>
    <w:p>
      <w:pPr>
        <w:numPr>
          <w:ilvl w:val="0"/>
          <w:numId w:val="124"/>
        </w:numPr>
        <w:spacing w:lineRule="auto"/>
      </w:pPr>
      <w:r>
        <w:rPr>
          <w:rFonts w:eastAsia="Georgia" w:cs="Georgia" w:ascii="Georgia" w:hAnsi="Georgia"/>
        </w:rPr>
        <w:t xml:space="preserve">2040-2044: ¥700-740 trillion cumulative</w:t>
      </w:r>
    </w:p>
    <w:p>
      <w:pPr>
        <w:numPr>
          <w:ilvl w:val="0"/>
          <w:numId w:val="124"/>
        </w:numPr>
        <w:spacing w:lineRule="auto"/>
      </w:pPr>
      <w:r>
        <w:rPr>
          <w:rFonts w:eastAsia="Georgia" w:cs="Georgia" w:ascii="Georgia" w:hAnsi="Georgia"/>
        </w:rPr>
        <w:t xml:space="preserve">2045-2050: ¥735-780 trillion cumulative</w:t>
      </w:r>
    </w:p>
    <w:p>
      <w:pPr>
        <w:spacing w:after="210" w:lineRule="auto"/>
      </w:pPr>
      <w:r>
        <w:rPr>
          <w:b/>
        </w:rPr>
        <w:t xml:space="preserve">Total 2020-2050 Market Opportunity: ¥3,500-3,700 trillion (JPY) or USD 25-27 trillion</w:t>
      </w:r>
    </w:p>
    <w:p>
      <w:pPr>
        <w:spacing w:line="271" w:before="240" w:lineRule="auto"/>
      </w:pPr>
      <w:bookmarkStart w:id="75" w:name="bm_5_2_market_growth_drivers_and_8e2748"/>
      <w:r>
        <w:rPr>
          <w:b/>
          <w:sz w:val="33"/>
        </w:rPr>
        <w:t xml:space="preserve">5.2 Market Growth Drivers and Population Linkage</w:t>
      </w:r>
      <w:bookmarkEnd w:id="75"/>
    </w:p>
    <w:p>
      <w:pPr>
        <w:spacing w:line="271" w:before="240" w:lineRule="auto"/>
      </w:pPr>
      <w:bookmarkStart w:id="76" w:name="elderly_population_and_market_siz_a7eb09"/>
      <w:r>
        <w:rPr>
          <w:b/>
          <w:sz w:val="28"/>
        </w:rPr>
        <w:t xml:space="preserve">Elderly Population and Market Size Correlation</w:t>
      </w:r>
      <w:bookmarkEnd w:id="76"/>
    </w:p>
    <w:p>
      <w:pPr>
        <w:spacing w:after="210" w:lineRule="auto"/>
      </w:pPr>
      <w:r>
        <w:rPr/>
        <w:t xml:space="preserve">The elderly population projected to increase from 36.03 million (2020) to peak at 39.35 million (2042-2043), then decline to 37.9 million by 2050. However, market size exhibits continued growth through 2050 despite declining absolute population:</w:t>
      </w:r>
    </w:p>
    <w:p>
      <w:pPr>
        <w:spacing w:after="210" w:lineRule="auto"/>
      </w:pPr>
      <w:r>
        <w:rPr>
          <w:b/>
        </w:rPr>
        <w:t xml:space="preserve">Drivers of Growth Despite Population Decline Post-2043:</w:t>
      </w:r>
    </w:p>
    <w:p>
      <w:pPr>
        <w:numPr>
          <w:ilvl w:val="0"/>
          <w:numId w:val="125"/>
        </w:numPr>
        <w:spacing w:lineRule="auto"/>
      </w:pPr>
      <w:r>
        <w:rPr>
          <w:b/>
        </w:rPr>
        <w:t xml:space="preserve">Aging of the elderly population</w:t>
      </w:r>
      <w:r>
        <w:rPr/>
        <w:t xml:space="preserve">: Shift from 65-74 cohort to 75+ cohort drives higher per-capita healthcare, long-term care, and specialized service spending</w:t>
      </w:r>
    </w:p>
    <w:p>
      <w:pPr>
        <w:numPr>
          <w:ilvl w:val="0"/>
          <w:numId w:val="125"/>
        </w:numPr>
        <w:spacing w:lineRule="auto"/>
      </w:pPr>
      <w:r>
        <w:rPr>
          <w:b/>
        </w:rPr>
        <w:t xml:space="preserve">Structural care need changes</w:t>
      </w:r>
      <w:r>
        <w:rPr>
          <w:rFonts w:eastAsia="Georgia" w:cs="Georgia" w:ascii="Georgia" w:hAnsi="Georgia"/>
        </w:rPr>
        <w:t xml:space="preserve">: Advanced elderly (85+) growing from 6.2 million (2020) to 13.2 million (2050)—total doubling</w:t>
      </w:r>
    </w:p>
    <w:p>
      <w:pPr>
        <w:numPr>
          <w:ilvl w:val="0"/>
          <w:numId w:val="125"/>
        </w:numPr>
        <w:spacing w:lineRule="auto"/>
      </w:pPr>
      <w:r>
        <w:rPr>
          <w:b/>
        </w:rPr>
        <w:t xml:space="preserve">Household structure fragmentation</w:t>
      </w:r>
      <w:r>
        <w:rPr/>
        <w:t xml:space="preserve">: Single elderly increasing 52.6% (7.1M to 10.84M), driving outsourced services</w:t>
      </w:r>
    </w:p>
    <w:p>
      <w:pPr>
        <w:numPr>
          <w:ilvl w:val="0"/>
          <w:numId w:val="125"/>
        </w:numPr>
        <w:spacing w:lineRule="auto"/>
      </w:pPr>
      <w:r>
        <w:rPr>
          <w:b/>
        </w:rPr>
        <w:t xml:space="preserve">Technology adoption</w:t>
      </w:r>
      <w:r>
        <w:rPr/>
        <w:t xml:space="preserve">: Rapid expansion of digital health, IoT, and assistive tech driving new market categories</w:t>
      </w:r>
    </w:p>
    <w:p>
      <w:pPr>
        <w:numPr>
          <w:ilvl w:val="0"/>
          <w:numId w:val="125"/>
        </w:numPr>
        <w:spacing w:lineRule="auto"/>
      </w:pPr>
      <w:r>
        <w:rPr>
          <w:b/>
        </w:rPr>
        <w:t xml:space="preserve">Per-capita spending increases</w:t>
      </w:r>
      <w:r>
        <w:rPr/>
        <w:t xml:space="preserve">: Functional food adoption, premium leisure, technology services increasing elderly spending intensity</w:t>
      </w:r>
    </w:p>
    <w:p>
      <w:pPr>
        <w:numPr>
          <w:ilvl w:val="0"/>
          <w:numId w:val="125"/>
        </w:numPr>
        <w:spacing w:lineRule="auto"/>
      </w:pPr>
      <w:r>
        <w:rPr>
          <w:b/>
        </w:rPr>
        <w:t xml:space="preserve">Premium elderly segment growth</w:t>
      </w:r>
      <w:r>
        <w:rPr/>
        <w:t xml:space="preserve">: Affluent, educated retirees (born 1950s-1960s) driving higher consumption across categories</w:t>
      </w:r>
    </w:p>
    <w:p>
      <w:pPr>
        <w:spacing w:after="210" w:lineRule="auto"/>
      </w:pPr>
      <w:r>
        <w:rPr>
          <w:b/>
        </w:rPr>
        <w:t xml:space="preserve">Population vs. Market Growth CAGR:</w:t>
      </w:r>
    </w:p>
    <w:p>
      <w:pPr>
        <w:numPr>
          <w:ilvl w:val="0"/>
          <w:numId w:val="126"/>
        </w:numPr>
        <w:spacing w:lineRule="auto"/>
      </w:pPr>
      <w:r>
        <w:rPr/>
        <w:t xml:space="preserve">Elderly population CAGR 2020-2050: -0.08% (peak in 2042, slight decline thereafter)</w:t>
      </w:r>
    </w:p>
    <w:p>
      <w:pPr>
        <w:numPr>
          <w:ilvl w:val="0"/>
          <w:numId w:val="126"/>
        </w:numPr>
        <w:spacing w:lineRule="auto"/>
      </w:pPr>
      <w:r>
        <w:rPr/>
        <w:t xml:space="preserve">Overall elderly market CAGR 2020-2050: +1.9% (driven by per-capita spending increase and category expansion)</w:t>
      </w:r>
    </w:p>
    <w:p>
      <w:pPr>
        <w:numPr>
          <w:ilvl w:val="0"/>
          <w:numId w:val="126"/>
        </w:numPr>
        <w:spacing w:lineRule="auto"/>
      </w:pPr>
      <w:r>
        <w:rPr/>
        <w:t xml:space="preserve">Healthcare market CAGR 2020-2050: +1.9% (roughly aligned with population aging intensity)</w:t>
      </w:r>
    </w:p>
    <w:p>
      <w:pPr>
        <w:numPr>
          <w:ilvl w:val="0"/>
          <w:numId w:val="126"/>
        </w:numPr>
        <w:spacing w:lineRule="auto"/>
      </w:pPr>
      <w:r>
        <w:rPr/>
        <w:t xml:space="preserve">Technology market CAGR 2020-2050: +12-15% (explosive growth despite general market moderation)</w:t>
      </w:r>
    </w:p>
    <w:p>
      <w:pPr>
        <w:numPr>
          <w:ilvl w:val="0"/>
          <w:numId w:val="126"/>
        </w:numPr>
        <w:spacing w:lineRule="auto"/>
      </w:pPr>
      <w:r>
        <w:rPr/>
        <w:t xml:space="preserve">Long-term care market CAGR 2020-2050: +4.2% (household fragmentation and care needs exceed population growth)</w:t>
      </w:r>
    </w:p>
    <w:p>
      <w:pPr>
        <w:spacing w:line="271" w:before="240" w:lineRule="auto"/>
      </w:pPr>
      <w:bookmarkStart w:id="77" w:name="bm_5_3_sector_specific_projection_510338"/>
      <w:r>
        <w:rPr>
          <w:b/>
          <w:sz w:val="33"/>
        </w:rPr>
        <w:t xml:space="preserve">5.3 Sector-Specific Projections and Assumptions</w:t>
      </w:r>
      <w:bookmarkEnd w:id="77"/>
    </w:p>
    <w:p>
      <w:pPr>
        <w:spacing w:line="271" w:before="240" w:lineRule="auto"/>
      </w:pPr>
      <w:bookmarkStart w:id="78" w:name="healthcare_market_42_0_82_0_jpy_t_d66958"/>
      <w:r>
        <w:rPr>
          <w:rFonts w:eastAsia="Georgia" w:cs="Georgia" w:ascii="Georgia" w:hAnsi="Georgia"/>
          <w:b/>
          <w:sz w:val="28"/>
        </w:rPr>
        <w:t xml:space="preserve">Healthcare Market (42.0 → 82.0 JPY Trillion, +1.9% CAGR)</w:t>
      </w:r>
      <w:bookmarkEnd w:id="78"/>
    </w:p>
    <w:p>
      <w:pPr>
        <w:spacing w:after="210" w:lineRule="auto"/>
      </w:pPr>
      <w:r>
        <w:rPr>
          <w:b/>
        </w:rPr>
        <w:t xml:space="preserve">Assumptions:</w:t>
      </w:r>
    </w:p>
    <w:p>
      <w:pPr>
        <w:numPr>
          <w:ilvl w:val="0"/>
          <w:numId w:val="127"/>
        </w:numPr>
        <w:spacing w:lineRule="auto"/>
      </w:pPr>
      <w:r>
        <w:rPr/>
        <w:t xml:space="preserve">Age-related disease prevalence increases: Hypertension 70-75%, Diabetes 20-25%, Dementia 15-20% (age 75+)</w:t>
      </w:r>
    </w:p>
    <w:p>
      <w:pPr>
        <w:numPr>
          <w:ilvl w:val="0"/>
          <w:numId w:val="127"/>
        </w:numPr>
        <w:spacing w:lineRule="auto"/>
      </w:pPr>
      <w:r>
        <w:rPr>
          <w:rFonts w:eastAsia="Georgia" w:cs="Georgia" w:ascii="Georgia" w:hAnsi="Georgia"/>
        </w:rPr>
        <w:t xml:space="preserve">85+ population increases 2.1× (6.2M to 13.2M), with disproportionate healthcare costs</w:t>
      </w:r>
    </w:p>
    <w:p>
      <w:pPr>
        <w:numPr>
          <w:ilvl w:val="0"/>
          <w:numId w:val="127"/>
        </w:numPr>
        <w:spacing w:lineRule="auto"/>
      </w:pPr>
      <w:r>
        <w:rPr/>
        <w:t xml:space="preserve">Government cost-control measures implement 1-2% annual efficiency gains, partially offsetting spending growth</w:t>
      </w:r>
    </w:p>
    <w:p>
      <w:pPr>
        <w:numPr>
          <w:ilvl w:val="0"/>
          <w:numId w:val="127"/>
        </w:numPr>
        <w:spacing w:lineRule="auto"/>
      </w:pPr>
      <w:r>
        <w:rPr/>
        <w:t xml:space="preserve">Digital health adoption improving efficiency and reducing hospitalization rates</w:t>
      </w:r>
    </w:p>
    <w:p>
      <w:pPr>
        <w:numPr>
          <w:ilvl w:val="0"/>
          <w:numId w:val="127"/>
        </w:numPr>
        <w:spacing w:lineRule="auto"/>
      </w:pPr>
      <w:r>
        <w:rPr/>
        <w:t xml:space="preserve">Per-capita spending in 2050 only 10-15% higher than 2020 due to policy measures</w:t>
      </w:r>
    </w:p>
    <w:p>
      <w:pPr>
        <w:spacing w:after="210" w:lineRule="auto"/>
      </w:pPr>
      <w:r>
        <w:rPr>
          <w:b/>
        </w:rPr>
        <w:t xml:space="preserve">Breakdown by Subsector:</w:t>
      </w:r>
    </w:p>
    <w:p>
      <w:pPr>
        <w:numPr>
          <w:ilvl w:val="0"/>
          <w:numId w:val="128"/>
        </w:numPr>
        <w:spacing w:lineRule="auto"/>
      </w:pPr>
      <w:r>
        <w:rPr>
          <w:rFonts w:eastAsia="Georgia" w:cs="Georgia" w:ascii="Georgia" w:hAnsi="Georgia"/>
        </w:rPr>
        <w:t xml:space="preserve">Hospital and physician care: ¥42T (2020) → ¥56T (2050)</w:t>
      </w:r>
    </w:p>
    <w:p>
      <w:pPr>
        <w:numPr>
          <w:ilvl w:val="0"/>
          <w:numId w:val="128"/>
        </w:numPr>
        <w:spacing w:lineRule="auto"/>
      </w:pPr>
      <w:r>
        <w:rPr>
          <w:rFonts w:eastAsia="Georgia" w:cs="Georgia" w:ascii="Georgia" w:hAnsi="Georgia"/>
        </w:rPr>
        <w:t xml:space="preserve">Prescription medications: ¥12T (2020) → ¥18T (2050)</w:t>
      </w:r>
    </w:p>
    <w:p>
      <w:pPr>
        <w:numPr>
          <w:ilvl w:val="0"/>
          <w:numId w:val="128"/>
        </w:numPr>
        <w:spacing w:lineRule="auto"/>
      </w:pPr>
      <w:r>
        <w:rPr>
          <w:rFonts w:eastAsia="Georgia" w:cs="Georgia" w:ascii="Georgia" w:hAnsi="Georgia"/>
        </w:rPr>
        <w:t xml:space="preserve">Dental and vision care: ¥2T (2020) → ¥4T (2050)</w:t>
      </w:r>
    </w:p>
    <w:p>
      <w:pPr>
        <w:numPr>
          <w:ilvl w:val="0"/>
          <w:numId w:val="128"/>
        </w:numPr>
        <w:spacing w:lineRule="auto"/>
      </w:pPr>
      <w:r>
        <w:rPr>
          <w:rFonts w:eastAsia="Georgia" w:cs="Georgia" w:ascii="Georgia" w:hAnsi="Georgia"/>
        </w:rPr>
        <w:t xml:space="preserve">Mental health and cognitive care: ¥1T (2020) → ¥2T (2050)</w:t>
      </w:r>
    </w:p>
    <w:p>
      <w:pPr>
        <w:spacing w:line="271" w:before="240" w:lineRule="auto"/>
      </w:pPr>
      <w:bookmarkStart w:id="79" w:name="long_term_care_market_14_5_32_0_j_b321ff"/>
      <w:r>
        <w:rPr>
          <w:rFonts w:eastAsia="Georgia" w:cs="Georgia" w:ascii="Georgia" w:hAnsi="Georgia"/>
          <w:b/>
          <w:sz w:val="28"/>
        </w:rPr>
        <w:t xml:space="preserve">Long-Term Care Market (14.5 → 32.0 JPY Trillion, +4.2% CAGR)</w:t>
      </w:r>
      <w:bookmarkEnd w:id="79"/>
    </w:p>
    <w:p>
      <w:pPr>
        <w:spacing w:after="210" w:lineRule="auto"/>
      </w:pPr>
      <w:r>
        <w:rPr>
          <w:b/>
        </w:rPr>
        <w:t xml:space="preserve">Assumptions:</w:t>
      </w:r>
    </w:p>
    <w:p>
      <w:pPr>
        <w:numPr>
          <w:ilvl w:val="0"/>
          <w:numId w:val="129"/>
        </w:numPr>
        <w:spacing w:lineRule="auto"/>
      </w:pPr>
      <w:r>
        <w:rPr/>
        <w:t xml:space="preserve">LTCI system expands to cover growing care needs, with increasing copay burden on users</w:t>
      </w:r>
    </w:p>
    <w:p>
      <w:pPr>
        <w:numPr>
          <w:ilvl w:val="0"/>
          <w:numId w:val="129"/>
        </w:numPr>
        <w:spacing w:lineRule="auto"/>
      </w:pPr>
      <w:r>
        <w:rPr/>
        <w:t xml:space="preserve">Institutional care facilities expand at 6-8% CAGR through 2040, moderating to 3-4% through 2050</w:t>
      </w:r>
    </w:p>
    <w:p>
      <w:pPr>
        <w:numPr>
          <w:ilvl w:val="0"/>
          <w:numId w:val="129"/>
        </w:numPr>
        <w:spacing w:lineRule="auto"/>
      </w:pPr>
      <w:r>
        <w:rPr/>
        <w:t xml:space="preserve">Home healthcare accelerates as preference and cost-effectiveness driver: 6-8% CAGR through 2050</w:t>
      </w:r>
    </w:p>
    <w:p>
      <w:pPr>
        <w:numPr>
          <w:ilvl w:val="0"/>
          <w:numId w:val="129"/>
        </w:numPr>
        <w:spacing w:lineRule="auto"/>
      </w:pPr>
      <w:r>
        <w:rPr/>
        <w:t xml:space="preserve">Single elderly population (+52.6% growth) disproportionately drives institutional care enrollment</w:t>
      </w:r>
    </w:p>
    <w:p>
      <w:pPr>
        <w:numPr>
          <w:ilvl w:val="0"/>
          <w:numId w:val="129"/>
        </w:numPr>
        <w:spacing w:lineRule="auto"/>
      </w:pPr>
      <w:r>
        <w:rPr/>
        <w:t xml:space="preserve">Technology integration (monitoring, robotics) slows cost growth after 2040 by improving efficiency</w:t>
      </w:r>
    </w:p>
    <w:p>
      <w:pPr>
        <w:numPr>
          <w:ilvl w:val="0"/>
          <w:numId w:val="129"/>
        </w:numPr>
        <w:spacing w:lineRule="auto"/>
      </w:pPr>
      <w:r>
        <w:rPr/>
        <w:t xml:space="preserve">Premium care facilities proliferate for affluent elderly, driving higher per-capita spending</w:t>
      </w:r>
    </w:p>
    <w:p>
      <w:pPr>
        <w:spacing w:after="210" w:lineRule="auto"/>
      </w:pPr>
      <w:r>
        <w:rPr>
          <w:b/>
        </w:rPr>
        <w:t xml:space="preserve">Breakdown by Service Type:</w:t>
      </w:r>
    </w:p>
    <w:p>
      <w:pPr>
        <w:numPr>
          <w:ilvl w:val="0"/>
          <w:numId w:val="130"/>
        </w:numPr>
        <w:spacing w:lineRule="auto"/>
      </w:pPr>
      <w:r>
        <w:rPr>
          <w:rFonts w:eastAsia="Georgia" w:cs="Georgia" w:ascii="Georgia" w:hAnsi="Georgia"/>
        </w:rPr>
        <w:t xml:space="preserve">Home healthcare: ¥4.5T (2020) → ¥12.0T (2050)</w:t>
      </w:r>
    </w:p>
    <w:p>
      <w:pPr>
        <w:numPr>
          <w:ilvl w:val="0"/>
          <w:numId w:val="130"/>
        </w:numPr>
        <w:spacing w:lineRule="auto"/>
      </w:pPr>
      <w:r>
        <w:rPr>
          <w:rFonts w:eastAsia="Georgia" w:cs="Georgia" w:ascii="Georgia" w:hAnsi="Georgia"/>
        </w:rPr>
        <w:t xml:space="preserve">Institutional care facilities: ¥6.5T (2020) → ¥13.5T (2050)</w:t>
      </w:r>
    </w:p>
    <w:p>
      <w:pPr>
        <w:numPr>
          <w:ilvl w:val="0"/>
          <w:numId w:val="130"/>
        </w:numPr>
        <w:spacing w:lineRule="auto"/>
      </w:pPr>
      <w:r>
        <w:rPr>
          <w:rFonts w:eastAsia="Georgia" w:cs="Georgia" w:ascii="Georgia" w:hAnsi="Georgia"/>
        </w:rPr>
        <w:t xml:space="preserve">Day care services: ¥2.0T (2020) → ¥4.5T (2050)</w:t>
      </w:r>
    </w:p>
    <w:p>
      <w:pPr>
        <w:numPr>
          <w:ilvl w:val="0"/>
          <w:numId w:val="130"/>
        </w:numPr>
        <w:spacing w:lineRule="auto"/>
      </w:pPr>
      <w:r>
        <w:rPr>
          <w:rFonts w:eastAsia="Georgia" w:cs="Georgia" w:ascii="Georgia" w:hAnsi="Georgia"/>
        </w:rPr>
        <w:t xml:space="preserve">Assistive technology and equipment: ¥1.5T (2020) → ¥2.0T (2050)</w:t>
      </w:r>
    </w:p>
    <w:p>
      <w:pPr>
        <w:spacing w:line="271" w:before="240" w:lineRule="auto"/>
      </w:pPr>
      <w:bookmarkStart w:id="80" w:name="food_and_beverage_market_9_5_12_0_8422c6"/>
      <w:r>
        <w:rPr>
          <w:rFonts w:eastAsia="Georgia" w:cs="Georgia" w:ascii="Georgia" w:hAnsi="Georgia"/>
          <w:b/>
          <w:sz w:val="28"/>
        </w:rPr>
        <w:t xml:space="preserve">Food and Beverage Market (9.5 → 12.0 JPY Trillion, +0.8% CAGR)</w:t>
      </w:r>
      <w:bookmarkEnd w:id="80"/>
    </w:p>
    <w:p>
      <w:pPr>
        <w:spacing w:after="210" w:lineRule="auto"/>
      </w:pPr>
      <w:r>
        <w:rPr>
          <w:b/>
        </w:rPr>
        <w:t xml:space="preserve">Assumptions:</w:t>
      </w:r>
    </w:p>
    <w:p>
      <w:pPr>
        <w:numPr>
          <w:ilvl w:val="0"/>
          <w:numId w:val="131"/>
        </w:numPr>
        <w:spacing w:lineRule="auto"/>
      </w:pPr>
      <w:r>
        <w:rPr/>
        <w:t xml:space="preserve">Overall elderly food consumption volume remains stable despite population changes (offset by declining young elderly, growing advanced elderly with reduced intake)</w:t>
      </w:r>
    </w:p>
    <w:p>
      <w:pPr>
        <w:numPr>
          <w:ilvl w:val="0"/>
          <w:numId w:val="131"/>
        </w:numPr>
        <w:spacing w:lineRule="auto"/>
      </w:pPr>
      <w:r>
        <w:rPr/>
        <w:t xml:space="preserve">Per-capita spending increases modestly 1-2% annually due to functional food adoption and premium product spending</w:t>
      </w:r>
    </w:p>
    <w:p>
      <w:pPr>
        <w:numPr>
          <w:ilvl w:val="0"/>
          <w:numId w:val="131"/>
        </w:numPr>
        <w:spacing w:lineRule="auto"/>
      </w:pPr>
      <w:r>
        <w:rPr/>
        <w:t xml:space="preserve">Functional food segment grows 6-7% CAGR, but base remains small relative to staple food market</w:t>
      </w:r>
    </w:p>
    <w:p>
      <w:pPr>
        <w:numPr>
          <w:ilvl w:val="0"/>
          <w:numId w:val="131"/>
        </w:numPr>
        <w:spacing w:lineRule="auto"/>
      </w:pPr>
      <w:r>
        <w:rPr/>
        <w:t xml:space="preserve">Meal delivery and care facility food services grow 8-10% CAGR, replacing home food preparation</w:t>
      </w:r>
    </w:p>
    <w:p>
      <w:pPr>
        <w:numPr>
          <w:ilvl w:val="0"/>
          <w:numId w:val="131"/>
        </w:numPr>
        <w:spacing w:lineRule="auto"/>
      </w:pPr>
      <w:r>
        <w:rPr/>
        <w:t xml:space="preserve">Reduced dining-out spending among advanced elderly cohort (85+)</w:t>
      </w:r>
    </w:p>
    <w:p>
      <w:pPr>
        <w:spacing w:after="210" w:lineRule="auto"/>
      </w:pPr>
      <w:r>
        <w:rPr>
          <w:b/>
        </w:rPr>
        <w:t xml:space="preserve">Breakdown by Segment:</w:t>
      </w:r>
    </w:p>
    <w:p>
      <w:pPr>
        <w:numPr>
          <w:ilvl w:val="0"/>
          <w:numId w:val="132"/>
        </w:numPr>
        <w:spacing w:lineRule="auto"/>
      </w:pPr>
      <w:r>
        <w:rPr>
          <w:rFonts w:eastAsia="Georgia" w:cs="Georgia" w:ascii="Georgia" w:hAnsi="Georgia"/>
        </w:rPr>
        <w:t xml:space="preserve">Staple food and groceries: ¥8.5T (2020) → ¥10.0T (2050)</w:t>
      </w:r>
    </w:p>
    <w:p>
      <w:pPr>
        <w:numPr>
          <w:ilvl w:val="0"/>
          <w:numId w:val="132"/>
        </w:numPr>
        <w:spacing w:lineRule="auto"/>
      </w:pPr>
      <w:r>
        <w:rPr>
          <w:rFonts w:eastAsia="Georgia" w:cs="Georgia" w:ascii="Georgia" w:hAnsi="Georgia"/>
        </w:rPr>
        <w:t xml:space="preserve">Functional foods and supplements: ¥0.1T (2020) → ¥0.8T (2050)</w:t>
      </w:r>
    </w:p>
    <w:p>
      <w:pPr>
        <w:numPr>
          <w:ilvl w:val="0"/>
          <w:numId w:val="132"/>
        </w:numPr>
        <w:spacing w:lineRule="auto"/>
      </w:pPr>
      <w:r>
        <w:rPr>
          <w:rFonts w:eastAsia="Georgia" w:cs="Georgia" w:ascii="Georgia" w:hAnsi="Georgia"/>
        </w:rPr>
        <w:t xml:space="preserve">Dining out and restaurants: ¥0.8T (2020) → ¥1.0T (2050)</w:t>
      </w:r>
    </w:p>
    <w:p>
      <w:pPr>
        <w:numPr>
          <w:ilvl w:val="0"/>
          <w:numId w:val="132"/>
        </w:numPr>
        <w:spacing w:lineRule="auto"/>
      </w:pPr>
      <w:r>
        <w:rPr>
          <w:rFonts w:eastAsia="Georgia" w:cs="Georgia" w:ascii="Georgia" w:hAnsi="Georgia"/>
        </w:rPr>
        <w:t xml:space="preserve">Meal delivery and care facility meals: ¥0.1T (2020) → ¥0.2T (2050)</w:t>
      </w:r>
    </w:p>
    <w:p>
      <w:pPr>
        <w:spacing w:line="271" w:before="240" w:lineRule="auto"/>
      </w:pPr>
      <w:bookmarkStart w:id="81" w:name="technology_and_digital_services_m_c2d131"/>
      <w:r>
        <w:rPr>
          <w:rFonts w:eastAsia="Georgia" w:cs="Georgia" w:ascii="Georgia" w:hAnsi="Georgia"/>
          <w:b/>
          <w:sz w:val="28"/>
        </w:rPr>
        <w:t xml:space="preserve">Technology and Digital Services Market (0.8 → 6.5 JPY Trillion, +12-15% CAGR)</w:t>
      </w:r>
      <w:bookmarkEnd w:id="81"/>
    </w:p>
    <w:p>
      <w:pPr>
        <w:spacing w:after="210" w:lineRule="auto"/>
      </w:pPr>
      <w:r>
        <w:rPr>
          <w:b/>
        </w:rPr>
        <w:t xml:space="preserve">Assumptions:</w:t>
      </w:r>
    </w:p>
    <w:p>
      <w:pPr>
        <w:numPr>
          <w:ilvl w:val="0"/>
          <w:numId w:val="133"/>
        </w:numPr>
        <w:spacing w:lineRule="auto"/>
      </w:pPr>
      <w:r>
        <w:rPr/>
        <w:t xml:space="preserve">Digital health and mHealth: 19% CAGR through 2033, moderating to 10% CAGR through 2050</w:t>
      </w:r>
    </w:p>
    <w:p>
      <w:pPr>
        <w:numPr>
          <w:ilvl w:val="0"/>
          <w:numId w:val="133"/>
        </w:numPr>
        <w:spacing w:lineRule="auto"/>
      </w:pPr>
      <w:r>
        <w:rPr/>
        <w:t xml:space="preserve">Smart home and IoT: 15-18% CAGR through 2040, moderating to 8% through 2050</w:t>
      </w:r>
    </w:p>
    <w:p>
      <w:pPr>
        <w:numPr>
          <w:ilvl w:val="0"/>
          <w:numId w:val="133"/>
        </w:numPr>
        <w:spacing w:lineRule="auto"/>
      </w:pPr>
      <w:r>
        <w:rPr/>
        <w:t xml:space="preserve">Wearables and health tracking: 18-22% CAGR through 2040, moderating to 10% through 2050</w:t>
      </w:r>
    </w:p>
    <w:p>
      <w:pPr>
        <w:numPr>
          <w:ilvl w:val="0"/>
          <w:numId w:val="133"/>
        </w:numPr>
        <w:spacing w:lineRule="auto"/>
      </w:pPr>
      <w:r>
        <w:rPr/>
        <w:t xml:space="preserve">Smartphones and computing: 8-10% CAGR (market saturation earlier)</w:t>
      </w:r>
    </w:p>
    <w:p>
      <w:pPr>
        <w:numPr>
          <w:ilvl w:val="0"/>
          <w:numId w:val="133"/>
        </w:numPr>
        <w:spacing w:lineRule="auto"/>
      </w:pPr>
      <w:r>
        <w:rPr/>
        <w:t xml:space="preserve">Robotics and autonomous systems: 12-18% CAGR through 2050</w:t>
      </w:r>
    </w:p>
    <w:p>
      <w:pPr>
        <w:numPr>
          <w:ilvl w:val="0"/>
          <w:numId w:val="133"/>
        </w:numPr>
        <w:spacing w:lineRule="auto"/>
      </w:pPr>
      <w:r>
        <w:rPr/>
        <w:t xml:space="preserve">Digital literacy among incoming elderly (born 1950s-1960s) 70%+ online by 2030</w:t>
      </w:r>
    </w:p>
    <w:p>
      <w:pPr>
        <w:spacing w:after="210" w:lineRule="auto"/>
      </w:pPr>
      <w:r>
        <w:rPr>
          <w:b/>
        </w:rPr>
        <w:t xml:space="preserve">Breakdown by Technology Category:</w:t>
      </w:r>
    </w:p>
    <w:p>
      <w:pPr>
        <w:numPr>
          <w:ilvl w:val="0"/>
          <w:numId w:val="134"/>
        </w:numPr>
        <w:spacing w:lineRule="auto"/>
      </w:pPr>
      <w:r>
        <w:rPr>
          <w:rFonts w:eastAsia="Georgia" w:cs="Georgia" w:ascii="Georgia" w:hAnsi="Georgia"/>
        </w:rPr>
        <w:t xml:space="preserve">Digital health and telemedicine: ¥0.2T (2020) → ¥2.5T (2050)</w:t>
      </w:r>
    </w:p>
    <w:p>
      <w:pPr>
        <w:numPr>
          <w:ilvl w:val="0"/>
          <w:numId w:val="134"/>
        </w:numPr>
        <w:spacing w:lineRule="auto"/>
      </w:pPr>
      <w:r>
        <w:rPr>
          <w:rFonts w:eastAsia="Georgia" w:cs="Georgia" w:ascii="Georgia" w:hAnsi="Georgia"/>
        </w:rPr>
        <w:t xml:space="preserve">Smart home and IoT: ¥0.15T (2020) → ¥1.8T (2050)</w:t>
      </w:r>
    </w:p>
    <w:p>
      <w:pPr>
        <w:numPr>
          <w:ilvl w:val="0"/>
          <w:numId w:val="134"/>
        </w:numPr>
        <w:spacing w:lineRule="auto"/>
      </w:pPr>
      <w:r>
        <w:rPr>
          <w:rFonts w:eastAsia="Georgia" w:cs="Georgia" w:ascii="Georgia" w:hAnsi="Georgia"/>
        </w:rPr>
        <w:t xml:space="preserve">Wearables and health tracking: ¥0.1T (2020) → ¥1.0T (2050)</w:t>
      </w:r>
    </w:p>
    <w:p>
      <w:pPr>
        <w:numPr>
          <w:ilvl w:val="0"/>
          <w:numId w:val="134"/>
        </w:numPr>
        <w:spacing w:lineRule="auto"/>
      </w:pPr>
      <w:r>
        <w:rPr>
          <w:rFonts w:eastAsia="Georgia" w:cs="Georgia" w:ascii="Georgia" w:hAnsi="Georgia"/>
        </w:rPr>
        <w:t xml:space="preserve">Robotics and autonomous systems: ¥0.25T (2020) → ¥0.8T (2050)</w:t>
      </w:r>
    </w:p>
    <w:p>
      <w:pPr>
        <w:numPr>
          <w:ilvl w:val="0"/>
          <w:numId w:val="134"/>
        </w:numPr>
        <w:spacing w:lineRule="auto"/>
      </w:pPr>
      <w:r>
        <w:rPr>
          <w:rFonts w:eastAsia="Georgia" w:cs="Georgia" w:ascii="Georgia" w:hAnsi="Georgia"/>
        </w:rPr>
        <w:t xml:space="preserve">Smartphones and computing: ¥0.1T (2020) → ¥0.2T (2050)</w:t>
      </w:r>
    </w:p>
    <w:p>
      <w:pPr>
        <w:numPr>
          <w:ilvl w:val="0"/>
          <w:numId w:val="134"/>
        </w:numPr>
        <w:spacing w:lineRule="auto"/>
      </w:pPr>
      <w:r>
        <w:rPr>
          <w:rFonts w:eastAsia="Georgia" w:cs="Georgia" w:ascii="Georgia" w:hAnsi="Georgia"/>
        </w:rPr>
        <w:t xml:space="preserve">Financial tech and administrative platforms: ¥0.05T (2020) → ¥0.2T (2050)</w:t>
      </w:r>
    </w:p>
    <w:p>
      <w:pPr>
        <w:spacing w:line="271" w:before="240" w:lineRule="auto"/>
      </w:pPr>
      <w:bookmarkStart w:id="82" w:name="leisure_and_entertainment_market_195e82"/>
      <w:r>
        <w:rPr>
          <w:rFonts w:eastAsia="Georgia" w:cs="Georgia" w:ascii="Georgia" w:hAnsi="Georgia"/>
          <w:b/>
          <w:sz w:val="28"/>
        </w:rPr>
        <w:t xml:space="preserve">Leisure and Entertainment Market (5.0 → 8.5 JPY Trillion, +2.6% CAGR)</w:t>
      </w:r>
      <w:bookmarkEnd w:id="82"/>
    </w:p>
    <w:p>
      <w:pPr>
        <w:spacing w:after="210" w:lineRule="auto"/>
      </w:pPr>
      <w:r>
        <w:rPr>
          <w:b/>
        </w:rPr>
        <w:t xml:space="preserve">Assumptions:</w:t>
      </w:r>
    </w:p>
    <w:p>
      <w:pPr>
        <w:numPr>
          <w:ilvl w:val="0"/>
          <w:numId w:val="135"/>
        </w:numPr>
        <w:spacing w:lineRule="auto"/>
      </w:pPr>
      <w:r>
        <w:rPr/>
        <w:t xml:space="preserve">Domestic tourism spending grows 4-6% CAGR as active elderly prioritize travel experiences</w:t>
      </w:r>
    </w:p>
    <w:p>
      <w:pPr>
        <w:numPr>
          <w:ilvl w:val="0"/>
          <w:numId w:val="135"/>
        </w:numPr>
        <w:spacing w:lineRule="auto"/>
      </w:pPr>
      <w:r>
        <w:rPr/>
        <w:t xml:space="preserve">Digital entertainment (streaming, online games) grows 8-12% CAGR driven by digital adoption</w:t>
      </w:r>
    </w:p>
    <w:p>
      <w:pPr>
        <w:numPr>
          <w:ilvl w:val="0"/>
          <w:numId w:val="135"/>
        </w:numPr>
        <w:spacing w:lineRule="auto"/>
      </w:pPr>
      <w:r>
        <w:rPr/>
        <w:t xml:space="preserve">Dining out grows 3-4% CAGR as specialty restaurants emerge but advanced elderly reduce frequency</w:t>
      </w:r>
    </w:p>
    <w:p>
      <w:pPr>
        <w:numPr>
          <w:ilvl w:val="0"/>
          <w:numId w:val="135"/>
        </w:numPr>
        <w:spacing w:lineRule="auto"/>
      </w:pPr>
      <w:r>
        <w:rPr/>
        <w:t xml:space="preserve">Arts, culture, and learning grow 5-7% CAGR among affluent active elderly</w:t>
      </w:r>
    </w:p>
    <w:p>
      <w:pPr>
        <w:numPr>
          <w:ilvl w:val="0"/>
          <w:numId w:val="135"/>
        </w:numPr>
        <w:spacing w:lineRule="auto"/>
      </w:pPr>
      <w:r>
        <w:rPr/>
        <w:t xml:space="preserve">Sports and fitness grow 6-10% CAGR through 2040, moderating to 3-4% through 2050</w:t>
      </w:r>
    </w:p>
    <w:p>
      <w:pPr>
        <w:spacing w:after="210" w:lineRule="auto"/>
      </w:pPr>
      <w:r>
        <w:rPr>
          <w:b/>
        </w:rPr>
        <w:t xml:space="preserve">Breakdown by Leisure Category:</w:t>
      </w:r>
    </w:p>
    <w:p>
      <w:pPr>
        <w:numPr>
          <w:ilvl w:val="0"/>
          <w:numId w:val="136"/>
        </w:numPr>
        <w:spacing w:lineRule="auto"/>
      </w:pPr>
      <w:r>
        <w:rPr>
          <w:rFonts w:eastAsia="Georgia" w:cs="Georgia" w:ascii="Georgia" w:hAnsi="Georgia"/>
        </w:rPr>
        <w:t xml:space="preserve">Domestic tourism and travel: ¥2.5T (2020) → ¥4.2T (2050)</w:t>
      </w:r>
    </w:p>
    <w:p>
      <w:pPr>
        <w:numPr>
          <w:ilvl w:val="0"/>
          <w:numId w:val="136"/>
        </w:numPr>
        <w:spacing w:lineRule="auto"/>
      </w:pPr>
      <w:r>
        <w:rPr>
          <w:rFonts w:eastAsia="Georgia" w:cs="Georgia" w:ascii="Georgia" w:hAnsi="Georgia"/>
        </w:rPr>
        <w:t xml:space="preserve">Restaurant and dining out: ¥1.0T (2020) → ¥1.5T (2050)</w:t>
      </w:r>
    </w:p>
    <w:p>
      <w:pPr>
        <w:numPr>
          <w:ilvl w:val="0"/>
          <w:numId w:val="136"/>
        </w:numPr>
        <w:spacing w:lineRule="auto"/>
      </w:pPr>
      <w:r>
        <w:rPr>
          <w:rFonts w:eastAsia="Georgia" w:cs="Georgia" w:ascii="Georgia" w:hAnsi="Georgia"/>
        </w:rPr>
        <w:t xml:space="preserve">Entertainment and digital media: ¥0.8T (2020) → ¥1.5T (2050)</w:t>
      </w:r>
    </w:p>
    <w:p>
      <w:pPr>
        <w:numPr>
          <w:ilvl w:val="0"/>
          <w:numId w:val="136"/>
        </w:numPr>
        <w:spacing w:lineRule="auto"/>
      </w:pPr>
      <w:r>
        <w:rPr>
          <w:rFonts w:eastAsia="Georgia" w:cs="Georgia" w:ascii="Georgia" w:hAnsi="Georgia"/>
        </w:rPr>
        <w:t xml:space="preserve">Arts, culture, and education: ¥0.5T (2020) → ¥0.9T (2050)</w:t>
      </w:r>
    </w:p>
    <w:p>
      <w:pPr>
        <w:numPr>
          <w:ilvl w:val="0"/>
          <w:numId w:val="136"/>
        </w:numPr>
        <w:spacing w:lineRule="auto"/>
      </w:pPr>
      <w:r>
        <w:rPr>
          <w:rFonts w:eastAsia="Georgia" w:cs="Georgia" w:ascii="Georgia" w:hAnsi="Georgia"/>
        </w:rPr>
        <w:t xml:space="preserve">Sports and fitness: ¥0.2T (2020) → ¥0.4T (2050)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3" w:name="part_6_data_sources_and_contextua_6617d9"/>
      <w:r>
        <w:rPr>
          <w:b/>
          <w:sz w:val="42"/>
        </w:rPr>
        <w:t xml:space="preserve">Part 6: Data Sources and Contextual Factors</w:t>
      </w:r>
      <w:bookmarkEnd w:id="83"/>
    </w:p>
    <w:p>
      <w:pPr>
        <w:spacing w:line="271" w:before="240" w:lineRule="auto"/>
      </w:pPr>
      <w:bookmarkStart w:id="84" w:name="bm_6_1_primary_data_sources"/>
      <w:r>
        <w:rPr>
          <w:b/>
          <w:sz w:val="33"/>
        </w:rPr>
        <w:t xml:space="preserve">6.1 Primary Data Sources</w:t>
      </w:r>
      <w:bookmarkEnd w:id="84"/>
    </w:p>
    <w:p>
      <w:pPr>
        <w:spacing w:after="210" w:lineRule="auto"/>
      </w:pPr>
      <w:r>
        <w:rPr/>
        <w:t xml:space="preserve">This report synthesized data from the following authoritative sources:</w:t>
      </w:r>
    </w:p>
    <w:p>
      <w:pPr>
        <w:numPr>
          <w:ilvl w:val="0"/>
          <w:numId w:val="137"/>
        </w:numPr>
        <w:spacing w:after="210" w:lineRule="auto"/>
      </w:pPr>
      <w:r>
        <w:rPr>
          <w:b/>
        </w:rPr>
        <w:t xml:space="preserve">National Institute of Population and Social Security Research (IPSS)</w:t>
      </w:r>
    </w:p>
    <w:p>
      <w:pPr>
        <w:numPr>
          <w:ilvl w:val="1"/>
          <w:numId w:val="137"/>
        </w:numPr>
        <w:spacing w:lineRule="auto"/>
      </w:pPr>
      <w:r>
        <w:rPr/>
        <w:t xml:space="preserve">Population Projections for Japan (2023 revision) providing 2021-2070 projections by age cohort</w:t>
      </w:r>
    </w:p>
    <w:p>
      <w:pPr>
        <w:numPr>
          <w:ilvl w:val="1"/>
          <w:numId w:val="137"/>
        </w:numPr>
        <w:spacing w:lineRule="auto"/>
      </w:pPr>
      <w:r>
        <w:rPr/>
        <w:t xml:space="preserve">Long-term Care Insurance data and projections</w:t>
      </w:r>
    </w:p>
    <w:p>
      <w:pPr>
        <w:numPr>
          <w:ilvl w:val="0"/>
          <w:numId w:val="137"/>
        </w:numPr>
        <w:spacing w:after="210" w:lineRule="auto"/>
      </w:pPr>
      <w:r>
        <w:rPr>
          <w:b/>
        </w:rPr>
        <w:t xml:space="preserve">Ministry of Health, Labour and Welfare (MHLW)</w:t>
      </w:r>
    </w:p>
    <w:p>
      <w:pPr>
        <w:numPr>
          <w:ilvl w:val="1"/>
          <w:numId w:val="137"/>
        </w:numPr>
        <w:spacing w:lineRule="auto"/>
      </w:pPr>
      <w:r>
        <w:rPr/>
        <w:t xml:space="preserve">Patient survey data and medical expenditure statistics</w:t>
      </w:r>
    </w:p>
    <w:p>
      <w:pPr>
        <w:numPr>
          <w:ilvl w:val="1"/>
          <w:numId w:val="137"/>
        </w:numPr>
        <w:spacing w:lineRule="auto"/>
      </w:pPr>
      <w:r>
        <w:rPr/>
        <w:t xml:space="preserve">Long-Term Care Insurance system data</w:t>
      </w:r>
    </w:p>
    <w:p>
      <w:pPr>
        <w:numPr>
          <w:ilvl w:val="1"/>
          <w:numId w:val="137"/>
        </w:numPr>
        <w:spacing w:lineRule="auto"/>
      </w:pPr>
      <w:r>
        <w:rPr/>
        <w:t xml:space="preserve">Healthcare policy documentation</w:t>
      </w:r>
    </w:p>
    <w:p>
      <w:pPr>
        <w:numPr>
          <w:ilvl w:val="0"/>
          <w:numId w:val="137"/>
        </w:numPr>
        <w:spacing w:after="210" w:lineRule="auto"/>
      </w:pPr>
      <w:r>
        <w:rPr>
          <w:b/>
        </w:rPr>
        <w:t xml:space="preserve">Statistics Bureau, Ministry of Internal Affairs and Communications</w:t>
      </w:r>
    </w:p>
    <w:p>
      <w:pPr>
        <w:numPr>
          <w:ilvl w:val="1"/>
          <w:numId w:val="137"/>
        </w:numPr>
        <w:spacing w:lineRule="auto"/>
      </w:pPr>
      <w:r>
        <w:rPr/>
        <w:t xml:space="preserve">Household survey data on consumption patterns by age cohort</w:t>
      </w:r>
    </w:p>
    <w:p>
      <w:pPr>
        <w:numPr>
          <w:ilvl w:val="1"/>
          <w:numId w:val="137"/>
        </w:numPr>
        <w:spacing w:lineRule="auto"/>
      </w:pPr>
      <w:r>
        <w:rPr/>
        <w:t xml:space="preserve">Housing and transportation statistics</w:t>
      </w:r>
    </w:p>
    <w:p>
      <w:pPr>
        <w:numPr>
          <w:ilvl w:val="1"/>
          <w:numId w:val="137"/>
        </w:numPr>
        <w:spacing w:lineRule="auto"/>
      </w:pPr>
      <w:r>
        <w:rPr/>
        <w:t xml:space="preserve">Demographic census data</w:t>
      </w:r>
    </w:p>
    <w:p>
      <w:pPr>
        <w:numPr>
          <w:ilvl w:val="0"/>
          <w:numId w:val="137"/>
        </w:numPr>
        <w:spacing w:after="210" w:lineRule="auto"/>
      </w:pPr>
      <w:r>
        <w:rPr>
          <w:b/>
        </w:rPr>
        <w:t xml:space="preserve">Market Research Reports</w:t>
      </w:r>
    </w:p>
    <w:p>
      <w:pPr>
        <w:numPr>
          <w:ilvl w:val="1"/>
          <w:numId w:val="137"/>
        </w:numPr>
        <w:spacing w:lineRule="auto"/>
      </w:pPr>
      <w:r>
        <w:rPr/>
        <w:t xml:space="preserve">IMARC Group: Japan functional food, elderly care products markets</w:t>
      </w:r>
    </w:p>
    <w:p>
      <w:pPr>
        <w:numPr>
          <w:ilvl w:val="1"/>
          <w:numId w:val="137"/>
        </w:numPr>
        <w:spacing w:lineRule="auto"/>
      </w:pPr>
      <w:r>
        <w:rPr/>
        <w:t xml:space="preserve">Grand View Research: Long-term care market analysis</w:t>
      </w:r>
    </w:p>
    <w:p>
      <w:pPr>
        <w:numPr>
          <w:ilvl w:val="1"/>
          <w:numId w:val="137"/>
        </w:numPr>
        <w:spacing w:lineRule="auto"/>
      </w:pPr>
      <w:r>
        <w:rPr/>
        <w:t xml:space="preserve">DataM Intelligence: Digital health market forecasts</w:t>
      </w:r>
    </w:p>
    <w:p>
      <w:pPr>
        <w:numPr>
          <w:ilvl w:val="1"/>
          <w:numId w:val="137"/>
        </w:numPr>
        <w:spacing w:lineRule="auto"/>
      </w:pPr>
      <w:r>
        <w:rPr/>
        <w:t xml:space="preserve">IMARCGROUP: Elderly clothing and care products market sizing</w:t>
      </w:r>
    </w:p>
    <w:p>
      <w:pPr>
        <w:numPr>
          <w:ilvl w:val="1"/>
          <w:numId w:val="137"/>
        </w:numPr>
        <w:spacing w:lineRule="auto"/>
      </w:pPr>
      <w:r>
        <w:rPr/>
        <w:t xml:space="preserve">Intralink Group: AgeTech market analysis</w:t>
      </w:r>
    </w:p>
    <w:p>
      <w:pPr>
        <w:numPr>
          <w:ilvl w:val="0"/>
          <w:numId w:val="137"/>
        </w:numPr>
        <w:spacing w:after="210" w:lineRule="auto"/>
      </w:pPr>
      <w:r>
        <w:rPr>
          <w:b/>
        </w:rPr>
        <w:t xml:space="preserve">Academic and Policy Research</w:t>
      </w:r>
    </w:p>
    <w:p>
      <w:pPr>
        <w:numPr>
          <w:ilvl w:val="1"/>
          <w:numId w:val="137"/>
        </w:numPr>
        <w:spacing w:lineRule="auto"/>
      </w:pPr>
      <w:r>
        <w:rPr/>
        <w:t xml:space="preserve">NIRA (National Institute for Research Advancement): Pension and asset analysis</w:t>
      </w:r>
    </w:p>
    <w:p>
      <w:pPr>
        <w:numPr>
          <w:ilvl w:val="1"/>
          <w:numId w:val="137"/>
        </w:numPr>
        <w:spacing w:lineRule="auto"/>
      </w:pPr>
      <w:r>
        <w:rPr/>
        <w:t xml:space="preserve">OECD: Demographic and fiscal analysis of aging in Japan</w:t>
      </w:r>
    </w:p>
    <w:p>
      <w:pPr>
        <w:numPr>
          <w:ilvl w:val="1"/>
          <w:numId w:val="137"/>
        </w:numPr>
        <w:spacing w:lineRule="auto"/>
      </w:pPr>
      <w:r>
        <w:rPr/>
        <w:t xml:space="preserve">Japan Productivity Center: Leisure and consumption behavior surveys</w:t>
      </w:r>
    </w:p>
    <w:p>
      <w:pPr>
        <w:spacing w:line="271" w:before="240" w:lineRule="auto"/>
      </w:pPr>
      <w:bookmarkStart w:id="85" w:name="bm_6_2_contextual_policy_and_syst_74fd5a"/>
      <w:r>
        <w:rPr>
          <w:b/>
          <w:sz w:val="33"/>
        </w:rPr>
        <w:t xml:space="preserve">6.2 Contextual Policy and System Factors</w:t>
      </w:r>
      <w:bookmarkEnd w:id="85"/>
    </w:p>
    <w:p>
      <w:pPr>
        <w:spacing w:line="271" w:before="240" w:lineRule="auto"/>
      </w:pPr>
      <w:bookmarkStart w:id="86" w:name="pension_system_structure"/>
      <w:r>
        <w:rPr>
          <w:b/>
          <w:sz w:val="28"/>
        </w:rPr>
        <w:t xml:space="preserve">Pension System Structure</w:t>
      </w:r>
      <w:bookmarkEnd w:id="86"/>
    </w:p>
    <w:p>
      <w:pPr>
        <w:spacing w:after="210" w:lineRule="auto"/>
      </w:pPr>
      <w:r>
        <w:rPr/>
        <w:t xml:space="preserve">Japan's three-pillar pension system affects elderly income and consumption capacity:</w:t>
      </w:r>
    </w:p>
    <w:p>
      <w:pPr>
        <w:numPr>
          <w:ilvl w:val="0"/>
          <w:numId w:val="138"/>
        </w:numPr>
        <w:spacing w:after="210" w:lineRule="auto"/>
      </w:pPr>
      <w:r>
        <w:rPr>
          <w:b/>
        </w:rPr>
        <w:t xml:space="preserve">Basic Pension (Tier 1)</w:t>
      </w:r>
      <w:r>
        <w:rPr/>
        <w:t xml:space="preserve">: Mandatory, defined-benefit, financed by payroll taxes and general revenue</w:t>
      </w:r>
    </w:p>
    <w:p>
      <w:pPr>
        <w:numPr>
          <w:ilvl w:val="1"/>
          <w:numId w:val="138"/>
        </w:numPr>
        <w:spacing w:lineRule="auto"/>
      </w:pPr>
      <w:r>
        <w:rPr>
          <w:rFonts w:eastAsia="Georgia" w:cs="Georgia" w:ascii="Georgia" w:hAnsi="Georgia"/>
        </w:rPr>
        <w:t xml:space="preserve">Average benefit: ¥64,000-78,000 monthly</w:t>
      </w:r>
    </w:p>
    <w:p>
      <w:pPr>
        <w:numPr>
          <w:ilvl w:val="1"/>
          <w:numId w:val="138"/>
        </w:numPr>
        <w:spacing w:lineRule="auto"/>
      </w:pPr>
      <w:r>
        <w:rPr/>
        <w:t xml:space="preserve">Projected to decline 20%+ by 2060 due to demographic pressures</w:t>
      </w:r>
    </w:p>
    <w:p>
      <w:pPr>
        <w:numPr>
          <w:ilvl w:val="0"/>
          <w:numId w:val="138"/>
        </w:numPr>
        <w:spacing w:after="210" w:lineRule="auto"/>
      </w:pPr>
      <w:r>
        <w:rPr>
          <w:b/>
        </w:rPr>
        <w:t xml:space="preserve">Employee Pension (Tier 2)</w:t>
      </w:r>
      <w:r>
        <w:rPr/>
        <w:t xml:space="preserve">: Earnings-related component for employed cohorts</w:t>
      </w:r>
    </w:p>
    <w:p>
      <w:pPr>
        <w:numPr>
          <w:ilvl w:val="1"/>
          <w:numId w:val="138"/>
        </w:numPr>
        <w:spacing w:lineRule="auto"/>
      </w:pPr>
      <w:r>
        <w:rPr>
          <w:rFonts w:eastAsia="Georgia" w:cs="Georgia" w:ascii="Georgia" w:hAnsi="Georgia"/>
        </w:rPr>
        <w:t xml:space="preserve">Supplement to basic pension: ¥40,000-120,000 monthly depending on contributions</w:t>
      </w:r>
    </w:p>
    <w:p>
      <w:pPr>
        <w:numPr>
          <w:ilvl w:val="1"/>
          <w:numId w:val="138"/>
        </w:numPr>
        <w:spacing w:lineRule="auto"/>
      </w:pPr>
      <w:r>
        <w:rPr/>
        <w:t xml:space="preserve">Decline projected parallel to basic pension</w:t>
      </w:r>
    </w:p>
    <w:p>
      <w:pPr>
        <w:numPr>
          <w:ilvl w:val="0"/>
          <w:numId w:val="138"/>
        </w:numPr>
        <w:spacing w:after="210" w:lineRule="auto"/>
      </w:pPr>
      <w:r>
        <w:rPr>
          <w:b/>
        </w:rPr>
        <w:t xml:space="preserve">Private Pensions and Savings (Tier 3)</w:t>
      </w:r>
      <w:r>
        <w:rPr/>
        <w:t xml:space="preserve">: Voluntary supplemental</w:t>
      </w:r>
    </w:p>
    <w:p>
      <w:pPr>
        <w:numPr>
          <w:ilvl w:val="1"/>
          <w:numId w:val="138"/>
        </w:numPr>
        <w:spacing w:lineRule="auto"/>
      </w:pPr>
      <w:r>
        <w:rPr/>
        <w:t xml:space="preserve">Limited uptake; concentrated among higher-income cohorts</w:t>
      </w:r>
    </w:p>
    <w:p>
      <w:pPr>
        <w:numPr>
          <w:ilvl w:val="1"/>
          <w:numId w:val="138"/>
        </w:numPr>
        <w:spacing w:lineRule="auto"/>
      </w:pPr>
      <w:r>
        <w:rPr/>
        <w:t xml:space="preserve">Growing interest in individual IRAs and private pension plans</w:t>
      </w:r>
    </w:p>
    <w:p>
      <w:pPr>
        <w:spacing w:after="210" w:lineRule="auto"/>
      </w:pPr>
      <w:r>
        <w:rPr>
          <w:b/>
        </w:rPr>
        <w:t xml:space="preserve">Sustainability Concerns</w:t>
      </w:r>
      <w:r>
        <w:rPr/>
        <w:t xml:space="preserve">: 2024 actuarial revaluation projects declining replacement rate from 61.7% (2019) to 50.8% (2060s). Macro-economic indexing not implemented, affecting real purchasing power. Policy reforms (increased taxation, delayed retirement age, reduced benefits) likely 2025-2030, potentially constraining elderly consumption.</w:t>
      </w:r>
    </w:p>
    <w:p>
      <w:pPr>
        <w:spacing w:line="271" w:before="240" w:lineRule="auto"/>
      </w:pPr>
      <w:bookmarkStart w:id="87" w:name="healthcare_and_long_term_care_ins_f4537e"/>
      <w:r>
        <w:rPr>
          <w:b/>
          <w:sz w:val="28"/>
        </w:rPr>
        <w:t xml:space="preserve">Healthcare and Long-Term Care Insurance Financing</w:t>
      </w:r>
      <w:bookmarkEnd w:id="87"/>
    </w:p>
    <w:p>
      <w:pPr>
        <w:spacing w:after="210" w:lineRule="auto"/>
      </w:pPr>
      <w:r>
        <w:rPr>
          <w:b/>
        </w:rPr>
        <w:t xml:space="preserve">Health Insurance System:</w:t>
      </w:r>
    </w:p>
    <w:p>
      <w:pPr>
        <w:numPr>
          <w:ilvl w:val="0"/>
          <w:numId w:val="139"/>
        </w:numPr>
        <w:spacing w:lineRule="auto"/>
      </w:pPr>
      <w:r>
        <w:rPr/>
        <w:t xml:space="preserve">Multi-payer model with employee health insurance, self-employed insurance, and elderly-specific programs</w:t>
      </w:r>
    </w:p>
    <w:p>
      <w:pPr>
        <w:numPr>
          <w:ilvl w:val="0"/>
          <w:numId w:val="139"/>
        </w:numPr>
        <w:spacing w:lineRule="auto"/>
      </w:pPr>
      <w:r>
        <w:rPr/>
        <w:t xml:space="preserve">Elderly (75+) covered by separate system with lower out-of-pocket costs (10% copayment)</w:t>
      </w:r>
    </w:p>
    <w:p>
      <w:pPr>
        <w:numPr>
          <w:ilvl w:val="0"/>
          <w:numId w:val="139"/>
        </w:numPr>
        <w:spacing w:lineRule="auto"/>
      </w:pPr>
      <w:r>
        <w:rPr/>
        <w:t xml:space="preserve">Growing burden: 40.7% of medical expenditure (2024) for 85+ cohort</w:t>
      </w:r>
    </w:p>
    <w:p>
      <w:pPr>
        <w:numPr>
          <w:ilvl w:val="0"/>
          <w:numId w:val="139"/>
        </w:numPr>
        <w:spacing w:lineRule="auto"/>
      </w:pPr>
      <w:r>
        <w:rPr/>
        <w:t xml:space="preserve">Government subsidy increases unsustainable without policy reform</w:t>
      </w:r>
    </w:p>
    <w:p>
      <w:pPr>
        <w:spacing w:after="210" w:lineRule="auto"/>
      </w:pPr>
      <w:r>
        <w:rPr>
          <w:b/>
        </w:rPr>
        <w:t xml:space="preserve">Long-Term Care Insurance (LTCI):</w:t>
      </w:r>
    </w:p>
    <w:p>
      <w:pPr>
        <w:numPr>
          <w:ilvl w:val="0"/>
          <w:numId w:val="140"/>
        </w:numPr>
        <w:spacing w:lineRule="auto"/>
      </w:pPr>
      <w:r>
        <w:rPr/>
        <w:t xml:space="preserve">Mandatory insurance for citizens 40+</w:t>
      </w:r>
    </w:p>
    <w:p>
      <w:pPr>
        <w:numPr>
          <w:ilvl w:val="0"/>
          <w:numId w:val="140"/>
        </w:numPr>
        <w:spacing w:lineRule="auto"/>
      </w:pPr>
      <w:r>
        <w:rPr>
          <w:rFonts w:eastAsia="Georgia" w:cs="Georgia" w:ascii="Georgia" w:hAnsi="Georgia"/>
        </w:rPr>
        <w:t xml:space="preserve">50% funded by premiums (increasing from ¥2,911 in 2000 to ¥5,514 in 2015, continuing upward)</w:t>
      </w:r>
    </w:p>
    <w:p>
      <w:pPr>
        <w:numPr>
          <w:ilvl w:val="0"/>
          <w:numId w:val="140"/>
        </w:numPr>
        <w:spacing w:lineRule="auto"/>
      </w:pPr>
      <w:r>
        <w:rPr/>
        <w:t xml:space="preserve">50% funded by government tax revenues (national 25%, prefectural 12.5%, municipal 12.5%)</w:t>
      </w:r>
    </w:p>
    <w:p>
      <w:pPr>
        <w:numPr>
          <w:ilvl w:val="0"/>
          <w:numId w:val="140"/>
        </w:numPr>
        <w:spacing w:lineRule="auto"/>
      </w:pPr>
      <w:r>
        <w:rPr/>
        <w:t xml:space="preserve">Services financed by user copayments (10-30% depending on income) and LTCI budget (70-90%)</w:t>
      </w:r>
    </w:p>
    <w:p>
      <w:pPr>
        <w:numPr>
          <w:ilvl w:val="0"/>
          <w:numId w:val="140"/>
        </w:numPr>
        <w:spacing w:lineRule="auto"/>
      </w:pPr>
      <w:r>
        <w:rPr>
          <w:rFonts w:eastAsia="Georgia" w:cs="Georgia" w:ascii="Georgia" w:hAnsi="Georgia"/>
        </w:rPr>
        <w:t xml:space="preserve">Estimated to exceed ¥15 trillion by 2025, ¥20+ trillion by 2030</w:t>
      </w:r>
    </w:p>
    <w:p>
      <w:pPr>
        <w:numPr>
          <w:ilvl w:val="0"/>
          <w:numId w:val="140"/>
        </w:numPr>
        <w:spacing w:lineRule="auto"/>
      </w:pPr>
      <w:r>
        <w:rPr/>
        <w:t xml:space="preserve">Sustainability challenged by aging population; reforms anticipated mid-2020s</w:t>
      </w:r>
    </w:p>
    <w:p>
      <w:pPr>
        <w:spacing w:after="210" w:lineRule="auto"/>
      </w:pPr>
      <w:r>
        <w:rPr>
          <w:b/>
        </w:rPr>
        <w:t xml:space="preserve">Policy Reform Likelihood:</w:t>
      </w:r>
    </w:p>
    <w:p>
      <w:pPr>
        <w:numPr>
          <w:ilvl w:val="0"/>
          <w:numId w:val="141"/>
        </w:numPr>
        <w:spacing w:lineRule="auto"/>
      </w:pPr>
      <w:r>
        <w:rPr/>
        <w:t xml:space="preserve">Increased copayments for high-income elderly (already implemented for some)</w:t>
      </w:r>
    </w:p>
    <w:p>
      <w:pPr>
        <w:numPr>
          <w:ilvl w:val="0"/>
          <w:numId w:val="141"/>
        </w:numPr>
        <w:spacing w:lineRule="auto"/>
      </w:pPr>
      <w:r>
        <w:rPr/>
        <w:t xml:space="preserve">Potential expansion of premium-paying cohorts beyond age 40</w:t>
      </w:r>
    </w:p>
    <w:p>
      <w:pPr>
        <w:numPr>
          <w:ilvl w:val="0"/>
          <w:numId w:val="141"/>
        </w:numPr>
        <w:spacing w:lineRule="auto"/>
      </w:pPr>
      <w:r>
        <w:rPr/>
        <w:t xml:space="preserve">Emphasis on efficiency, preventive care, and technology integration</w:t>
      </w:r>
    </w:p>
    <w:p>
      <w:pPr>
        <w:numPr>
          <w:ilvl w:val="0"/>
          <w:numId w:val="141"/>
        </w:numPr>
        <w:spacing w:lineRule="auto"/>
      </w:pPr>
      <w:r>
        <w:rPr/>
        <w:t xml:space="preserve">Behavioral changes (delayed institutional care, preference for home-based alternatives) likely</w:t>
      </w:r>
    </w:p>
    <w:p>
      <w:pPr>
        <w:spacing w:line="271" w:before="240" w:lineRule="auto"/>
      </w:pPr>
      <w:bookmarkStart w:id="88" w:name="government_support_for_aging_soci_4b175b"/>
      <w:r>
        <w:rPr>
          <w:b/>
          <w:sz w:val="28"/>
        </w:rPr>
        <w:t xml:space="preserve">Government Support for Aging Society Initiatives</w:t>
      </w:r>
      <w:bookmarkEnd w:id="88"/>
    </w:p>
    <w:p>
      <w:pPr>
        <w:spacing w:after="210" w:lineRule="auto"/>
      </w:pPr>
      <w:r>
        <w:rPr>
          <w:b/>
        </w:rPr>
        <w:t xml:space="preserve">Key Policy Frameworks:</w:t>
      </w:r>
    </w:p>
    <w:p>
      <w:pPr>
        <w:numPr>
          <w:ilvl w:val="0"/>
          <w:numId w:val="142"/>
        </w:numPr>
        <w:spacing w:lineRule="auto"/>
      </w:pPr>
      <w:r>
        <w:rPr>
          <w:b/>
        </w:rPr>
        <w:t xml:space="preserve">Basic Act on Measures for an Aging Society</w:t>
      </w:r>
      <w:r>
        <w:rPr/>
        <w:t xml:space="preserve">: Provides strategic direction and funding for aging-related initiatives</w:t>
      </w:r>
    </w:p>
    <w:p>
      <w:pPr>
        <w:numPr>
          <w:ilvl w:val="0"/>
          <w:numId w:val="142"/>
        </w:numPr>
        <w:spacing w:lineRule="auto"/>
      </w:pPr>
      <w:r>
        <w:rPr>
          <w:b/>
        </w:rPr>
        <w:t xml:space="preserve">Healthcare Service Social Implementation Project</w:t>
      </w:r>
      <w:r>
        <w:rPr/>
        <w:t xml:space="preserve">: Supports ICT, robotics, AI integration in healthcare</w:t>
      </w:r>
    </w:p>
    <w:p>
      <w:pPr>
        <w:numPr>
          <w:ilvl w:val="0"/>
          <w:numId w:val="142"/>
        </w:numPr>
        <w:spacing w:lineRule="auto"/>
      </w:pPr>
      <w:r>
        <w:rPr>
          <w:b/>
        </w:rPr>
        <w:t xml:space="preserve">Healthcare Policy 2025</w:t>
      </w:r>
      <w:r>
        <w:rPr/>
        <w:t xml:space="preserve">: Emphasizes digital health solutions and elderly-focused healthcare access</w:t>
      </w:r>
    </w:p>
    <w:p>
      <w:pPr>
        <w:numPr>
          <w:ilvl w:val="0"/>
          <w:numId w:val="142"/>
        </w:numPr>
        <w:spacing w:lineRule="auto"/>
      </w:pPr>
      <w:r>
        <w:rPr>
          <w:b/>
        </w:rPr>
        <w:t xml:space="preserve">"Society 5.0" Digital Transformation</w:t>
      </w:r>
      <w:r>
        <w:rPr/>
        <w:t xml:space="preserve">: Government initiative promoting technology integration across sectors, including elderly care</w:t>
      </w:r>
    </w:p>
    <w:p>
      <w:pPr>
        <w:spacing w:after="210" w:lineRule="auto"/>
      </w:pPr>
      <w:r>
        <w:rPr>
          <w:b/>
        </w:rPr>
        <w:t xml:space="preserve">Subsidy and Support Programs:</w:t>
      </w:r>
    </w:p>
    <w:p>
      <w:pPr>
        <w:numPr>
          <w:ilvl w:val="0"/>
          <w:numId w:val="143"/>
        </w:numPr>
        <w:spacing w:lineRule="auto"/>
      </w:pPr>
      <w:r>
        <w:rPr/>
        <w:t xml:space="preserve">Digital health device subsidies and integration into healthcare reimbursement</w:t>
      </w:r>
    </w:p>
    <w:p>
      <w:pPr>
        <w:numPr>
          <w:ilvl w:val="0"/>
          <w:numId w:val="143"/>
        </w:numPr>
        <w:spacing w:lineRule="auto"/>
      </w:pPr>
      <w:r>
        <w:rPr/>
        <w:t xml:space="preserve">Robotics and assistive technology research and development funding</w:t>
      </w:r>
    </w:p>
    <w:p>
      <w:pPr>
        <w:numPr>
          <w:ilvl w:val="0"/>
          <w:numId w:val="143"/>
        </w:numPr>
        <w:spacing w:lineRule="auto"/>
      </w:pPr>
      <w:r>
        <w:rPr/>
        <w:t xml:space="preserve">Home modification grants for elderly living safety</w:t>
      </w:r>
    </w:p>
    <w:p>
      <w:pPr>
        <w:numPr>
          <w:ilvl w:val="0"/>
          <w:numId w:val="143"/>
        </w:numPr>
        <w:spacing w:lineRule="auto"/>
      </w:pPr>
      <w:r>
        <w:rPr/>
        <w:t xml:space="preserve">Active aging promotion programs and sports/fitness subsidies</w:t>
      </w:r>
    </w:p>
    <w:p>
      <w:pPr>
        <w:spacing w:line="271" w:before="240" w:lineRule="auto"/>
      </w:pPr>
      <w:bookmarkStart w:id="89" w:name="cultural_and_social_policy_context"/>
      <w:r>
        <w:rPr>
          <w:b/>
          <w:sz w:val="28"/>
        </w:rPr>
        <w:t xml:space="preserve">Cultural and Social Policy Context</w:t>
      </w:r>
      <w:bookmarkEnd w:id="89"/>
    </w:p>
    <w:p>
      <w:pPr>
        <w:spacing w:after="210" w:lineRule="auto"/>
      </w:pPr>
      <w:r>
        <w:rPr>
          <w:b/>
        </w:rPr>
        <w:t xml:space="preserve">Active Aging Promotion:</w:t>
      </w:r>
    </w:p>
    <w:p>
      <w:pPr>
        <w:numPr>
          <w:ilvl w:val="0"/>
          <w:numId w:val="144"/>
        </w:numPr>
        <w:spacing w:lineRule="auto"/>
      </w:pPr>
      <w:r>
        <w:rPr/>
        <w:t xml:space="preserve">Government and corporate emphasis on continued workforce participation among healthy elderly</w:t>
      </w:r>
    </w:p>
    <w:p>
      <w:pPr>
        <w:numPr>
          <w:ilvl w:val="0"/>
          <w:numId w:val="144"/>
        </w:numPr>
        <w:spacing w:lineRule="auto"/>
      </w:pPr>
      <w:r>
        <w:rPr/>
        <w:t xml:space="preserve">Tax incentives for employment income vs. pension income</w:t>
      </w:r>
    </w:p>
    <w:p>
      <w:pPr>
        <w:numPr>
          <w:ilvl w:val="0"/>
          <w:numId w:val="144"/>
        </w:numPr>
        <w:spacing w:lineRule="auto"/>
      </w:pPr>
      <w:r>
        <w:rPr/>
        <w:t xml:space="preserve">Social expectation of productivity and contribution beyond traditional retirement</w:t>
      </w:r>
    </w:p>
    <w:p>
      <w:pPr>
        <w:spacing w:after="210" w:lineRule="auto"/>
      </w:pPr>
      <w:r>
        <w:rPr>
          <w:b/>
        </w:rPr>
        <w:t xml:space="preserve">Family Support Decline and Institutional Care Acceptance:</w:t>
      </w:r>
    </w:p>
    <w:p>
      <w:pPr>
        <w:numPr>
          <w:ilvl w:val="0"/>
          <w:numId w:val="145"/>
        </w:numPr>
        <w:spacing w:lineRule="auto"/>
      </w:pPr>
      <w:r>
        <w:rPr/>
        <w:t xml:space="preserve">Shift in cultural acceptance of professional elderly care (moving away from family-based obligation)</w:t>
      </w:r>
    </w:p>
    <w:p>
      <w:pPr>
        <w:numPr>
          <w:ilvl w:val="0"/>
          <w:numId w:val="145"/>
        </w:numPr>
        <w:spacing w:lineRule="auto"/>
      </w:pPr>
      <w:r>
        <w:rPr/>
        <w:t xml:space="preserve">Government support for institutional care expansion to compensate for declining multi-generational living</w:t>
      </w:r>
    </w:p>
    <w:p>
      <w:pPr>
        <w:numPr>
          <w:ilvl w:val="0"/>
          <w:numId w:val="145"/>
        </w:numPr>
        <w:spacing w:lineRule="auto"/>
      </w:pPr>
      <w:r>
        <w:rPr/>
        <w:t xml:space="preserve">Integration of professional care into public health and social insurance systems</w:t>
      </w:r>
    </w:p>
    <w:p>
      <w:pPr>
        <w:spacing w:after="210" w:lineRule="auto"/>
      </w:pPr>
      <w:r>
        <w:rPr>
          <w:b/>
        </w:rPr>
        <w:t xml:space="preserve">Digital Divide and Inclusion:</w:t>
      </w:r>
    </w:p>
    <w:p>
      <w:pPr>
        <w:numPr>
          <w:ilvl w:val="0"/>
          <w:numId w:val="146"/>
        </w:numPr>
        <w:spacing w:lineRule="auto"/>
      </w:pPr>
      <w:r>
        <w:rPr/>
        <w:t xml:space="preserve">Government programs supporting digital literacy among elderly (online banking, health information access)</w:t>
      </w:r>
    </w:p>
    <w:p>
      <w:pPr>
        <w:numPr>
          <w:ilvl w:val="0"/>
          <w:numId w:val="146"/>
        </w:numPr>
        <w:spacing w:lineRule="auto"/>
      </w:pPr>
      <w:r>
        <w:rPr/>
        <w:t xml:space="preserve">Regulations requiring elderly-friendly design in digital financial services and healthcare platforms</w:t>
      </w:r>
    </w:p>
    <w:p>
      <w:pPr>
        <w:numPr>
          <w:ilvl w:val="0"/>
          <w:numId w:val="146"/>
        </w:numPr>
        <w:spacing w:lineRule="auto"/>
      </w:pPr>
      <w:r>
        <w:rPr/>
        <w:t xml:space="preserve">Public broadcasting (NHK) programming and services tailored for elderly consumption</w:t>
      </w:r>
    </w:p>
    <w:p>
      <w:pPr>
        <w:spacing w:line="271" w:before="240" w:lineRule="auto"/>
      </w:pPr>
      <w:bookmarkStart w:id="90" w:name="bm_6_3_key_limitations_and_assumptions"/>
      <w:r>
        <w:rPr>
          <w:b/>
          <w:sz w:val="33"/>
        </w:rPr>
        <w:t xml:space="preserve">6.3 Key Limitations and Assumptions</w:t>
      </w:r>
      <w:bookmarkEnd w:id="90"/>
    </w:p>
    <w:p>
      <w:pPr>
        <w:spacing w:after="210" w:lineRule="auto"/>
      </w:pPr>
      <w:r>
        <w:rPr>
          <w:b/>
        </w:rPr>
        <w:t xml:space="preserve">Data Limitations:</w:t>
      </w:r>
    </w:p>
    <w:p>
      <w:pPr>
        <w:numPr>
          <w:ilvl w:val="0"/>
          <w:numId w:val="147"/>
        </w:numPr>
        <w:spacing w:lineRule="auto"/>
      </w:pPr>
      <w:r>
        <w:rPr/>
        <w:t xml:space="preserve">Consumption surveys often underreport actual spending due to recall bias</w:t>
      </w:r>
    </w:p>
    <w:p>
      <w:pPr>
        <w:numPr>
          <w:ilvl w:val="0"/>
          <w:numId w:val="147"/>
        </w:numPr>
        <w:spacing w:lineRule="auto"/>
      </w:pPr>
      <w:r>
        <w:rPr/>
        <w:t xml:space="preserve">Institutional care market data fragmented; private sector estimates contain uncertainty</w:t>
      </w:r>
    </w:p>
    <w:p>
      <w:pPr>
        <w:numPr>
          <w:ilvl w:val="0"/>
          <w:numId w:val="147"/>
        </w:numPr>
        <w:spacing w:lineRule="auto"/>
      </w:pPr>
      <w:r>
        <w:rPr/>
        <w:t xml:space="preserve">Emerging categories (digital health, assistive robotics) lack historical data; projections contain higher uncertainty</w:t>
      </w:r>
    </w:p>
    <w:p>
      <w:pPr>
        <w:numPr>
          <w:ilvl w:val="0"/>
          <w:numId w:val="147"/>
        </w:numPr>
        <w:spacing w:lineRule="auto"/>
      </w:pPr>
      <w:r>
        <w:rPr/>
        <w:t xml:space="preserve">Regional variations in consumption patterns not fully captured in national aggregate data</w:t>
      </w:r>
    </w:p>
    <w:p>
      <w:pPr>
        <w:spacing w:after="210" w:lineRule="auto"/>
      </w:pPr>
      <w:r>
        <w:rPr>
          <w:b/>
        </w:rPr>
        <w:t xml:space="preserve">Critical Assumptions:</w:t>
      </w:r>
    </w:p>
    <w:p>
      <w:pPr>
        <w:numPr>
          <w:ilvl w:val="0"/>
          <w:numId w:val="148"/>
        </w:numPr>
        <w:spacing w:lineRule="auto"/>
      </w:pPr>
      <w:r>
        <w:rPr>
          <w:b/>
        </w:rPr>
        <w:t xml:space="preserve">Pension sustainability</w:t>
      </w:r>
      <w:r>
        <w:rPr/>
        <w:t xml:space="preserve">: Assumes continuation of current LTCI and health insurance systems with incremental reforms; major system overhaul would significantly alter projections</w:t>
      </w:r>
    </w:p>
    <w:p>
      <w:pPr>
        <w:numPr>
          <w:ilvl w:val="0"/>
          <w:numId w:val="148"/>
        </w:numPr>
        <w:spacing w:lineRule="auto"/>
      </w:pPr>
      <w:r>
        <w:rPr>
          <w:b/>
        </w:rPr>
        <w:t xml:space="preserve">Caregiver availability</w:t>
      </w:r>
      <w:r>
        <w:rPr/>
        <w:t xml:space="preserve">: Assumes policy and technology interventions maintain acceptable care quality despite labor shortage</w:t>
      </w:r>
    </w:p>
    <w:p>
      <w:pPr>
        <w:numPr>
          <w:ilvl w:val="0"/>
          <w:numId w:val="148"/>
        </w:numPr>
        <w:spacing w:lineRule="auto"/>
      </w:pPr>
      <w:r>
        <w:rPr>
          <w:b/>
        </w:rPr>
        <w:t xml:space="preserve">Digital adoption rates</w:t>
      </w:r>
      <w:r>
        <w:rPr/>
        <w:t xml:space="preserve">: Assumes continued acceleration of digital adoption among aging cohorts; slower adoption would reduce tech market growth</w:t>
      </w:r>
    </w:p>
    <w:p>
      <w:pPr>
        <w:numPr>
          <w:ilvl w:val="0"/>
          <w:numId w:val="148"/>
        </w:numPr>
        <w:spacing w:lineRule="auto"/>
      </w:pPr>
      <w:r>
        <w:rPr>
          <w:b/>
        </w:rPr>
        <w:t xml:space="preserve">Economic growth</w:t>
      </w:r>
      <w:r>
        <w:rPr/>
        <w:t xml:space="preserve">: Assumes baseline Japan GDP growth of 1-2% annually; recession would depress spending</w:t>
      </w:r>
    </w:p>
    <w:p>
      <w:pPr>
        <w:numPr>
          <w:ilvl w:val="0"/>
          <w:numId w:val="148"/>
        </w:numPr>
        <w:spacing w:lineRule="auto"/>
      </w:pPr>
      <w:r>
        <w:rPr>
          <w:b/>
        </w:rPr>
        <w:t xml:space="preserve">Intergenerational support</w:t>
      </w:r>
      <w:r>
        <w:rPr/>
        <w:t xml:space="preserve">: Assumes continued (though declining) family financial support; increased elderly reliance could shift consumption patterns</w:t>
      </w:r>
    </w:p>
    <w:p>
      <w:pPr>
        <w:numPr>
          <w:ilvl w:val="0"/>
          <w:numId w:val="148"/>
        </w:numPr>
        <w:spacing w:lineRule="auto"/>
      </w:pPr>
      <w:r>
        <w:rPr>
          <w:b/>
        </w:rPr>
        <w:t xml:space="preserve">Policy stability</w:t>
      </w:r>
      <w:r>
        <w:rPr/>
        <w:t xml:space="preserve">: Assumes no major geopolitical shocks or healthcare crises affecting demographic and economic projections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1" w:name="conclusion"/>
      <w:r>
        <w:rPr>
          <w:b/>
          <w:sz w:val="42"/>
        </w:rPr>
        <w:t xml:space="preserve">Conclusion</w:t>
      </w:r>
      <w:bookmarkEnd w:id="91"/>
    </w:p>
    <w:p>
      <w:pPr>
        <w:spacing w:after="210" w:lineRule="auto"/>
      </w:pPr>
      <w:r>
        <w:rPr/>
        <w:t xml:space="preserve">Japan's elderly population represents a transformative demographic and economic challenge with significant market opportunities from 2020 through 2050. The comprehensive analysis reveals:</w:t>
      </w:r>
    </w:p>
    <w:p>
      <w:pPr>
        <w:spacing w:after="210" w:lineRule="auto"/>
      </w:pPr>
      <w:r>
        <w:rPr>
          <w:b/>
        </w:rPr>
        <w:t xml:space="preserve">Demographic Imperatives:</w:t>
      </w:r>
    </w:p>
    <w:p>
      <w:pPr>
        <w:numPr>
          <w:ilvl w:val="0"/>
          <w:numId w:val="149"/>
        </w:numPr>
        <w:spacing w:lineRule="auto"/>
      </w:pPr>
      <w:r>
        <w:rPr/>
        <w:t xml:space="preserve">Elderly population (65+) peaks at 39.35 million in 2042-2043, then declines modestly to 37.9 million by 2050</w:t>
      </w:r>
    </w:p>
    <w:p>
      <w:pPr>
        <w:numPr>
          <w:ilvl w:val="0"/>
          <w:numId w:val="149"/>
        </w:numPr>
        <w:spacing w:lineRule="auto"/>
      </w:pPr>
      <w:r>
        <w:rPr/>
        <w:t xml:space="preserve">Composition shift accelerates: 85+ population doubles from 6.2 million (2020) to 13.2 million (2050)</w:t>
      </w:r>
    </w:p>
    <w:p>
      <w:pPr>
        <w:numPr>
          <w:ilvl w:val="0"/>
          <w:numId w:val="149"/>
        </w:numPr>
        <w:spacing w:lineRule="auto"/>
      </w:pPr>
      <w:r>
        <w:rPr/>
        <w:t xml:space="preserve">Single-person households increase 52.6%, with significant implications for outsourced care and services</w:t>
      </w:r>
    </w:p>
    <w:p>
      <w:pPr>
        <w:numPr>
          <w:ilvl w:val="0"/>
          <w:numId w:val="149"/>
        </w:numPr>
        <w:spacing w:lineRule="auto"/>
      </w:pPr>
      <w:r>
        <w:rPr/>
        <w:t xml:space="preserve">4.48 million elderly without close relatives by 2050, requiring institutional and technology-enabled solutions</w:t>
      </w:r>
    </w:p>
    <w:p>
      <w:pPr>
        <w:spacing w:after="210" w:lineRule="auto"/>
      </w:pPr>
      <w:r>
        <w:rPr>
          <w:b/>
        </w:rPr>
        <w:t xml:space="preserve">Market Opportunity Synthesis:</w:t>
      </w:r>
    </w:p>
    <w:p>
      <w:pPr>
        <w:numPr>
          <w:ilvl w:val="0"/>
          <w:numId w:val="150"/>
        </w:numPr>
        <w:spacing w:lineRule="auto"/>
      </w:pPr>
      <w:r>
        <w:rPr>
          <w:rFonts w:eastAsia="Georgia" w:cs="Georgia" w:ascii="Georgia" w:hAnsi="Georgia"/>
        </w:rPr>
        <w:t xml:space="preserve">Total elderly market estimated at ¥77 trillion (2020), expanding to ¥153 trillion (2050)—a 98.7% cumulative growth over 30 years</w:t>
      </w:r>
    </w:p>
    <w:p>
      <w:pPr>
        <w:numPr>
          <w:ilvl w:val="0"/>
          <w:numId w:val="150"/>
        </w:numPr>
        <w:spacing w:lineRule="auto"/>
      </w:pPr>
      <w:r>
        <w:rPr>
          <w:rFonts w:eastAsia="Georgia" w:cs="Georgia" w:ascii="Georgia" w:hAnsi="Georgia"/>
        </w:rPr>
        <w:t xml:space="preserve">Cumulative market opportunity 2020-2050: ¥3,500-3,700 trillion (USD 25-27 trillion)</w:t>
      </w:r>
    </w:p>
    <w:p>
      <w:pPr>
        <w:numPr>
          <w:ilvl w:val="0"/>
          <w:numId w:val="150"/>
        </w:numPr>
        <w:spacing w:lineRule="auto"/>
      </w:pPr>
      <w:r>
        <w:rPr/>
        <w:t xml:space="preserve">Healthcare and long-term care dominate market (55-58% of total), with sustained growth driven by age-related disease burden and care needs</w:t>
      </w:r>
    </w:p>
    <w:p>
      <w:pPr>
        <w:spacing w:after="210" w:lineRule="auto"/>
      </w:pPr>
      <w:r>
        <w:rPr>
          <w:b/>
        </w:rPr>
        <w:t xml:space="preserve">Strategic Growth Vectors:</w:t>
      </w:r>
    </w:p>
    <w:p>
      <w:pPr>
        <w:numPr>
          <w:ilvl w:val="0"/>
          <w:numId w:val="151"/>
        </w:numPr>
        <w:spacing w:lineRule="auto"/>
      </w:pPr>
      <w:r>
        <w:rPr>
          <w:b/>
        </w:rPr>
        <w:t xml:space="preserve">Healthcare and Digital Health</w:t>
      </w:r>
      <w:r>
        <w:rPr>
          <w:rFonts w:eastAsia="Georgia" w:cs="Georgia" w:ascii="Georgia" w:hAnsi="Georgia"/>
        </w:rPr>
        <w:t xml:space="preserve">: Growing from ¥42T (2020) to ¥82T (2050); digital health segment expanding 19%+ CAGR through 2033</w:t>
      </w:r>
    </w:p>
    <w:p>
      <w:pPr>
        <w:numPr>
          <w:ilvl w:val="0"/>
          <w:numId w:val="151"/>
        </w:numPr>
        <w:spacing w:lineRule="auto"/>
      </w:pPr>
      <w:r>
        <w:rPr>
          <w:b/>
        </w:rPr>
        <w:t xml:space="preserve">Long-Term Care</w:t>
      </w:r>
      <w:r>
        <w:rPr>
          <w:rFonts w:eastAsia="Georgia" w:cs="Georgia" w:ascii="Georgia" w:hAnsi="Georgia"/>
        </w:rPr>
        <w:t xml:space="preserve">: Growing from ¥14.5T (2020) to ¥32T (2050); household fragmentation and relative-free population growth driving 4.2%+ CAGR</w:t>
      </w:r>
    </w:p>
    <w:p>
      <w:pPr>
        <w:numPr>
          <w:ilvl w:val="0"/>
          <w:numId w:val="151"/>
        </w:numPr>
        <w:spacing w:lineRule="auto"/>
      </w:pPr>
      <w:r>
        <w:rPr>
          <w:b/>
        </w:rPr>
        <w:t xml:space="preserve">Technology and Assistive Solutions</w:t>
      </w:r>
      <w:r>
        <w:rPr>
          <w:rFonts w:eastAsia="Georgia" w:cs="Georgia" w:ascii="Georgia" w:hAnsi="Georgia"/>
        </w:rPr>
        <w:t xml:space="preserve">: Emerging from ¥0.8T (2020) to ¥6.5T (2050); 12-15% CAGR represents highest-growth sector</w:t>
      </w:r>
    </w:p>
    <w:p>
      <w:pPr>
        <w:numPr>
          <w:ilvl w:val="0"/>
          <w:numId w:val="151"/>
        </w:numPr>
        <w:spacing w:lineRule="auto"/>
      </w:pPr>
      <w:r>
        <w:rPr>
          <w:b/>
        </w:rPr>
        <w:t xml:space="preserve">Leisure and Experiential Spending</w:t>
      </w:r>
      <w:r>
        <w:rPr>
          <w:rFonts w:eastAsia="Georgia" w:cs="Georgia" w:ascii="Georgia" w:hAnsi="Georgia"/>
        </w:rPr>
        <w:t xml:space="preserve">: Modest expansion from ¥5T (2020) to ¥8.5T (2050); growth driven by active elderly and digital entertainment adoption</w:t>
      </w:r>
    </w:p>
    <w:p>
      <w:pPr>
        <w:spacing w:after="210" w:lineRule="auto"/>
      </w:pPr>
      <w:r>
        <w:rPr>
          <w:b/>
        </w:rPr>
        <w:t xml:space="preserve">Critical Success Factors:</w:t>
      </w:r>
    </w:p>
    <w:p>
      <w:pPr>
        <w:numPr>
          <w:ilvl w:val="0"/>
          <w:numId w:val="152"/>
        </w:numPr>
        <w:spacing w:lineRule="auto"/>
      </w:pPr>
      <w:r>
        <w:rPr/>
        <w:t xml:space="preserve">Policy sustainability: LTCI and health insurance system reforms essential to maintain system solvency and elderly access to services</w:t>
      </w:r>
    </w:p>
    <w:p>
      <w:pPr>
        <w:numPr>
          <w:ilvl w:val="0"/>
          <w:numId w:val="152"/>
        </w:numPr>
        <w:spacing w:lineRule="auto"/>
      </w:pPr>
      <w:r>
        <w:rPr/>
        <w:t xml:space="preserve">Technology integration: Digital health, robotics, and AI solutions critical to addressing caregiver shortage and improving care efficiency</w:t>
      </w:r>
    </w:p>
    <w:p>
      <w:pPr>
        <w:numPr>
          <w:ilvl w:val="0"/>
          <w:numId w:val="152"/>
        </w:numPr>
        <w:spacing w:lineRule="auto"/>
      </w:pPr>
      <w:r>
        <w:rPr/>
        <w:t xml:space="preserve">Market segmentation: Growing disparity between affluent active elderly and struggling fixed-income elderly requires differentiated product/service strategies</w:t>
      </w:r>
    </w:p>
    <w:p>
      <w:pPr>
        <w:numPr>
          <w:ilvl w:val="0"/>
          <w:numId w:val="152"/>
        </w:numPr>
        <w:spacing w:lineRule="auto"/>
      </w:pPr>
      <w:r>
        <w:rPr/>
        <w:t xml:space="preserve">Intergenerational sustainability: Continued investment in prevention, healthy aging, and workforce participation essential to balance fiscal burden</w:t>
      </w:r>
    </w:p>
    <w:p>
      <w:pPr>
        <w:spacing w:after="210" w:lineRule="auto"/>
      </w:pPr>
      <w:r>
        <w:rPr/>
        <w:t xml:space="preserve">The Japanese elderly market from 2020 to 2050 represents both a demographic challenge and an economic opportunity of unprecedented scale, requiring integrated policy, corporate, and technological responses to sustainably address aging society needs while capturing significant market value creation opportunities.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2" w:name="references"/>
      <w:r>
        <w:rPr>
          <w:b/>
          <w:sz w:val="42"/>
        </w:rPr>
        <w:t xml:space="preserve">References</w:t>
      </w:r>
      <w:bookmarkEnd w:id="92"/>
    </w:p>
    <w:p>
      <w:pPr>
        <w:spacing w:after="210" w:lineRule="auto"/>
      </w:pPr>
      <w:r>
        <w:rPr/>
        <w:t xml:space="preserve">[1] National Institute of Population and Social Security Research (IPSS). (2023). Population Projections for Japan (2023 revision): 2021 to 2070. Retrieved from </w:t>
      </w:r>
      <w:hyperlink r:id="rId5">
        <w:r>
          <w:rPr>
            <w:color w:val="4472C4"/>
          </w:rPr>
          <w:t xml:space="preserve">https://www.ipss.go.jp/</w:t>
        </w:r>
      </w:hyperlink>
    </w:p>
    <w:p>
      <w:pPr>
        <w:spacing w:after="210" w:lineRule="auto"/>
      </w:pPr>
      <w:r>
        <w:rPr/>
        <w:t xml:space="preserve">[2] Nexdigm. (2024). Japan Functional Beverages Market Outlook to 2030. Market Research Report.</w:t>
      </w:r>
    </w:p>
    <w:p>
      <w:pPr>
        <w:spacing w:after="210" w:lineRule="auto"/>
      </w:pPr>
      <w:r>
        <w:rPr/>
        <w:t xml:space="preserve">[3] IPSS. (2023). Population projections overview. Percentage of elderly population projected 38.7% by 2070.</w:t>
      </w:r>
    </w:p>
    <w:p>
      <w:pPr>
        <w:spacing w:after="210" w:lineRule="auto"/>
      </w:pPr>
      <w:r>
        <w:rPr/>
        <w:t xml:space="preserve">[4] </w:t>
      </w:r>
      <w:hyperlink r:id="rId6">
        <w:r>
          <w:rPr>
            <w:color w:val="4472C4"/>
          </w:rPr>
          <w:t xml:space="preserve">Nippon.com</w:t>
        </w:r>
      </w:hyperlink>
      <w:r>
        <w:rPr/>
        <w:t xml:space="preserve">. (2024, November 25). Single Elderly to Be 20% of Japanese Households by 2050. Retrieved from </w:t>
      </w:r>
      <w:hyperlink r:id="rId7">
        <w:r>
          <w:rPr>
            <w:color w:val="4472C4"/>
          </w:rPr>
          <w:t xml:space="preserve">https://www.nippon.com/en/japan-data/h02201/</w:t>
        </w:r>
      </w:hyperlink>
    </w:p>
    <w:p>
      <w:pPr>
        <w:spacing w:after="210" w:lineRule="auto"/>
      </w:pPr>
      <w:r>
        <w:rPr/>
        <w:t xml:space="preserve">[5] Japan Health Insurance Association. (2024). Health Insurance Subsidy and Medical Expenditure Data. Cited in "Japan's Aging Crisis Pushes Health Insurance Premiums to Record Highs," Plan4Health, October 2025.</w:t>
      </w:r>
    </w:p>
    <w:p>
      <w:pPr>
        <w:spacing w:after="210" w:lineRule="auto"/>
      </w:pPr>
      <w:r>
        <w:rPr/>
        <w:t xml:space="preserve">[6] Japan Research Institute. (2025, May). Elderly with No Close Relatives Projections to 2050. Retrieved from </w:t>
      </w:r>
      <w:hyperlink r:id="rId8">
        <w:r>
          <w:rPr>
            <w:color w:val="4472C4"/>
          </w:rPr>
          <w:t xml:space="preserve">https://english.kyodonews.net/</w:t>
        </w:r>
      </w:hyperlink>
    </w:p>
    <w:p>
      <w:pPr>
        <w:spacing w:after="210" w:lineRule="auto"/>
      </w:pPr>
      <w:r>
        <w:rPr/>
        <w:t xml:space="preserve">[7] </w:t>
      </w:r>
      <w:hyperlink r:id="rId9">
        <w:r>
          <w:rPr>
            <w:color w:val="4472C4"/>
          </w:rPr>
          <w:t xml:space="preserve">Nippon.com</w:t>
        </w:r>
      </w:hyperlink>
      <w:r>
        <w:rPr/>
        <w:t xml:space="preserve">. (2023, June 30). Consumption Patterns of Japan's Elderly. Retrieved from </w:t>
      </w:r>
      <w:hyperlink r:id="rId10">
        <w:r>
          <w:rPr>
            <w:color w:val="4472C4"/>
          </w:rPr>
          <w:t xml:space="preserve">https://www.nippon.com/en/in-depth/a04901/</w:t>
        </w:r>
      </w:hyperlink>
    </w:p>
    <w:p>
      <w:pPr>
        <w:spacing w:after="210" w:lineRule="auto"/>
      </w:pPr>
      <w:r>
        <w:rPr/>
        <w:t xml:space="preserve">[8] LinkedIn. (2025, December 6). Japan Elderly Clothing Market Growth Forecast. Market analysis report.</w:t>
      </w:r>
    </w:p>
    <w:p>
      <w:pPr>
        <w:spacing w:after="210" w:lineRule="auto"/>
      </w:pPr>
      <w:r>
        <w:rPr/>
        <w:t xml:space="preserve">[9] IMARC Group. (2025, February 28). Japan Functional Food for Elderly Market 2033. Market Research Report.</w:t>
      </w:r>
    </w:p>
    <w:p>
      <w:pPr>
        <w:spacing w:after="210" w:lineRule="auto"/>
      </w:pPr>
      <w:r>
        <w:rPr/>
        <w:t xml:space="preserve">[10] LinkedIn. (2025, May 23). Japan Commercialized Institutional Elderly Care Services Market. Market Research Report citing USD 150 billion (2024) projection to USD 250 billion (2033).</w:t>
      </w:r>
    </w:p>
    <w:p>
      <w:pPr>
        <w:spacing w:after="210" w:lineRule="auto"/>
      </w:pPr>
      <w:r>
        <w:rPr/>
        <w:t xml:space="preserve">[11] DataM Intelligence. (2025, March 10). Japan Digital Health Market 2025-2033. Market Research Report projecting USD 10.96 billion (2024) to USD 51.42 billion (2033).</w:t>
      </w:r>
    </w:p>
    <w:p>
      <w:pPr>
        <w:spacing w:after="210" w:lineRule="auto"/>
      </w:pPr>
      <w:r>
        <w:rPr/>
        <w:t xml:space="preserve">[12] PMC/PubMed Central. (2020, August 23). Long-Term Care System in Japan. Policy review citing historical LTCI expenditure trajectory and sustainability concerns.</w:t>
      </w:r>
    </w:p>
    <w:p>
      <w:pPr>
        <w:spacing w:after="210" w:lineRule="auto"/>
      </w:pPr>
      <w:r>
        <w:rPr/>
        <w:t xml:space="preserve">[13] Grand View Research. (2022, December 15). Japan Long-term Care Market Size &amp; Outlook, 2024-2030. Market Research Report.</w:t>
      </w:r>
    </w:p>
    <w:p>
      <w:pPr>
        <w:spacing w:after="210" w:lineRule="auto"/>
      </w:pPr>
      <w:r>
        <w:rPr/>
        <w:t xml:space="preserve">[14] </w:t>
      </w:r>
      <w:hyperlink r:id="rId11">
        <w:r>
          <w:rPr>
            <w:color w:val="4472C4"/>
          </w:rPr>
          <w:t xml:space="preserve">Nippon.com</w:t>
        </w:r>
      </w:hyperlink>
      <w:r>
        <w:rPr/>
        <w:t xml:space="preserve">. (2025, August 11). Japanese People Increasingly Value Leisure Over Work. Survey results on leisure spending patterns and activities.</w:t>
      </w:r>
    </w:p>
    <w:p>
      <w:pPr>
        <w:spacing w:after="210" w:lineRule="auto"/>
      </w:pPr>
      <w:r>
        <w:rPr/>
        <w:t xml:space="preserve">[15] NIRA. (2024). Actual Income and Assets of Elderly Households and Future Policy Considerations. Policy research report on elderly financial status and inequality trends.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5">
    <w:multiLevelType w:val="hybridMultilevel"/>
    <w:lvl w:ilvl="0">
      <w:start w:val="1"/>
      <w:numFmt w:val="decimal"/>
      <w:lvlText w:val="%1."/>
      <w:lvlJc w:val="left"/>
      <w:pPr>
        <w:tabs>
          <w:tab w:val="num" w:pos="1080"/>
        </w:tabs>
        <w:ind w:left="720" w:hanging="360"/>
      </w:pPr>
    </w:lvl>
  </w:abstractNum>
  <w:abstractNum w:abstractNumId="1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2">
    <w:multiLevelType w:val="hybridMultilevel"/>
    <w:lvl w:ilvl="0">
      <w:start w:val="1"/>
      <w:numFmt w:val="decimal"/>
      <w:lvlText w:val="%1."/>
      <w:lvlJc w:val="left"/>
      <w:pPr>
        <w:tabs>
          <w:tab w:val="num" w:pos="1080"/>
        </w:tabs>
        <w:ind w:left="720" w:hanging="360"/>
      </w:pPr>
    </w:lvl>
  </w:abstractNum>
  <w:abstractNum w:abstractNumId="1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7">
    <w:multiLevelType w:val="hybridMultilevel"/>
    <w:lvl w:ilvl="0">
      <w:start w:val="1"/>
      <w:numFmt w:val="decimal"/>
      <w:lvlText w:val="%1."/>
      <w:lvlJc w:val="left"/>
      <w:pPr>
        <w:tabs>
          <w:tab w:val="num" w:pos="1080"/>
        </w:tabs>
        <w:ind w:left="720" w:hanging="360"/>
      </w:pPr>
    </w:lvl>
  </w:abstractNum>
  <w:abstractNum w:abstractNumId="148">
    <w:multiLevelType w:val="hybridMultilevel"/>
    <w:lvl w:ilvl="0">
      <w:start w:val="1"/>
      <w:numFmt w:val="decimal"/>
      <w:lvlText w:val="%1."/>
      <w:lvlJc w:val="left"/>
      <w:pPr>
        <w:tabs>
          <w:tab w:val="num" w:pos="1080"/>
        </w:tabs>
        <w:ind w:left="720" w:hanging="360"/>
      </w:pPr>
    </w:lvl>
  </w:abstractNum>
  <w:abstractNum w:abstractNumId="1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1">
    <w:multiLevelType w:val="hybridMultilevel"/>
    <w:lvl w:ilvl="0">
      <w:start w:val="1"/>
      <w:numFmt w:val="decimal"/>
      <w:lvlText w:val="%1."/>
      <w:lvlJc w:val="left"/>
      <w:pPr>
        <w:tabs>
          <w:tab w:val="num" w:pos="1080"/>
        </w:tabs>
        <w:ind w:left="720" w:hanging="360"/>
      </w:pPr>
    </w:lvl>
  </w:abstractNum>
  <w:abstractNum w:abstractNumId="15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ipss.go.jp/" TargetMode="External"/><Relationship Id="rId6" Type="http://schemas.openxmlformats.org/officeDocument/2006/relationships/hyperlink" Target="http://Nippon.com" TargetMode="External"/><Relationship Id="rId7" Type="http://schemas.openxmlformats.org/officeDocument/2006/relationships/hyperlink" Target="https://www.nippon.com/en/japan-data/h02201/" TargetMode="External"/><Relationship Id="rId8" Type="http://schemas.openxmlformats.org/officeDocument/2006/relationships/hyperlink" Target="https://english.kyodonews.net/" TargetMode="External"/><Relationship Id="rId9" Type="http://schemas.openxmlformats.org/officeDocument/2006/relationships/hyperlink" Target="http://Nippon.com" TargetMode="External"/><Relationship Id="rId10" Type="http://schemas.openxmlformats.org/officeDocument/2006/relationships/hyperlink" Target="https://www.nippon.com/en/in-depth/a04901/" TargetMode="External"/><Relationship Id="rId11" Type="http://schemas.openxmlformats.org/officeDocument/2006/relationships/hyperlink" Target="http://Nippon.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2025-12-28T16:41:57.360Z</dcterms:created>
  <dcterms:modified xsi:type="dcterms:W3CDTF">2025-12-28T16:41:57.360Z</dcterms:modified>
</cp:coreProperties>
</file>