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CB88C">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26651C99">
      <w:pPr>
        <w:spacing w:before="157" w:after="157" w:line="270" w:lineRule="auto"/>
        <w:jc w:val="left"/>
      </w:pPr>
      <w:bookmarkStart w:id="0" w:name="market_analysis_report"/>
      <w:r>
        <w:rPr>
          <w:rFonts w:ascii="Georgia" w:hAnsi="Georgia" w:eastAsia="Georgia" w:cs="Georgia"/>
          <w:b/>
          <w:color w:val="000000"/>
          <w:sz w:val="39"/>
        </w:rPr>
        <w:t>Market Analysis Report</w:t>
      </w:r>
      <w:bookmarkEnd w:id="0"/>
    </w:p>
    <w:p w14:paraId="0D96AA1A">
      <w:pPr>
        <w:spacing w:before="315" w:after="105" w:line="360" w:lineRule="auto"/>
        <w:ind w:left="-30"/>
        <w:jc w:val="left"/>
      </w:pPr>
      <w:bookmarkStart w:id="1" w:name="japan_s_elderly_population_and_co_3676a0"/>
      <w:r>
        <w:rPr>
          <w:rFonts w:ascii="Georgia" w:hAnsi="Georgia" w:eastAsia="Georgia" w:cs="Georgia"/>
          <w:b/>
          <w:color w:val="000000"/>
          <w:sz w:val="24"/>
        </w:rPr>
        <w:t>Japan’s Elderly Population and Consumption Potential (2020–2050)</w:t>
      </w:r>
      <w:bookmarkEnd w:id="1"/>
    </w:p>
    <w:p w14:paraId="51A0B986">
      <w:pPr>
        <w:spacing w:before="315" w:after="105" w:line="360" w:lineRule="auto"/>
        <w:ind w:left="-30"/>
        <w:jc w:val="left"/>
      </w:pPr>
      <w:bookmarkStart w:id="2" w:name="bm_1_introduction_and_scope"/>
      <w:r>
        <w:rPr>
          <w:rFonts w:ascii="Georgia" w:hAnsi="Georgia" w:eastAsia="Georgia" w:cs="Georgia"/>
          <w:b/>
          <w:color w:val="000000"/>
          <w:sz w:val="24"/>
        </w:rPr>
        <w:t>1. Introduction and Scope</w:t>
      </w:r>
      <w:bookmarkEnd w:id="2"/>
    </w:p>
    <w:p w14:paraId="1C5967DB">
      <w:pPr>
        <w:spacing w:after="210" w:line="360" w:lineRule="auto"/>
      </w:pPr>
      <w:r>
        <w:rPr>
          <w:rFonts w:ascii="Georgia" w:hAnsi="Georgia" w:eastAsia="Georgia" w:cs="Georgia"/>
          <w:color w:val="000000"/>
        </w:rPr>
        <w:t>This report provides an overview of Japan’s elderly population trends from 2020 to 2050 and assesses the consumption potential of older consumers, with a focus on clothing, food, housing, and transportation, as well as healthcare and leisure. It uses official Japanese statistics and reputable research (e.g., IPSS, Cabinet Office, FIES, Cabinet Offic</w:t>
      </w:r>
      <w:bookmarkStart w:id="184" w:name="_GoBack"/>
      <w:bookmarkEnd w:id="184"/>
      <w:r>
        <w:rPr>
          <w:rFonts w:ascii="Georgia" w:hAnsi="Georgia" w:eastAsia="Georgia" w:cs="Georgia"/>
          <w:color w:val="000000"/>
        </w:rPr>
        <w:t>e economic reports, and international organizations) and intentionally keeps forecasts and market sizing at a general, indicative level rather than relying on complex models.</w:t>
      </w:r>
      <w:bookmarkStart w:id="3" w:name="fnref1"/>
      <w:bookmarkEnd w:id="3"/>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bookmarkStart w:id="4" w:name="fnref2"/>
      <w:bookmarkEnd w:id="4"/>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bookmarkStart w:id="5" w:name="fnref3"/>
      <w:bookmarkEnd w:id="5"/>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6" w:name="fnref4"/>
      <w:bookmarkEnd w:id="6"/>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p>
    <w:p w14:paraId="481EC60F">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0EF1F460">
      <w:pPr>
        <w:spacing w:before="315" w:after="105" w:line="360" w:lineRule="auto"/>
        <w:ind w:left="-30"/>
        <w:jc w:val="left"/>
      </w:pPr>
      <w:bookmarkStart w:id="7" w:name="bm_2_demographic_outlook_2020_2050"/>
      <w:r>
        <w:rPr>
          <w:rFonts w:ascii="Georgia" w:hAnsi="Georgia" w:eastAsia="Georgia" w:cs="Georgia"/>
          <w:b/>
          <w:color w:val="000000"/>
          <w:sz w:val="24"/>
        </w:rPr>
        <w:t>2. Demographic Outlook 2020–2050</w:t>
      </w:r>
      <w:bookmarkEnd w:id="7"/>
    </w:p>
    <w:p w14:paraId="2898C81B">
      <w:pPr>
        <w:spacing w:before="315" w:after="105" w:line="360" w:lineRule="auto"/>
        <w:ind w:left="-30"/>
        <w:jc w:val="left"/>
      </w:pPr>
      <w:bookmarkStart w:id="8" w:name="bm_2_1_overall_ageing_trend"/>
      <w:r>
        <w:rPr>
          <w:rFonts w:ascii="Georgia" w:hAnsi="Georgia" w:eastAsia="Georgia" w:cs="Georgia"/>
          <w:b/>
          <w:color w:val="000000"/>
          <w:sz w:val="24"/>
        </w:rPr>
        <w:t>2.1 Overall ageing trend</w:t>
      </w:r>
      <w:bookmarkEnd w:id="8"/>
    </w:p>
    <w:p w14:paraId="053B93F0">
      <w:pPr>
        <w:spacing w:after="210" w:line="360" w:lineRule="auto"/>
      </w:pPr>
      <w:r>
        <w:rPr>
          <w:rFonts w:ascii="Georgia" w:hAnsi="Georgia" w:eastAsia="Georgia" w:cs="Georgia"/>
          <w:color w:val="000000"/>
        </w:rPr>
        <w:t>Japan is already the world’s most aged society, with people aged 65 and over accounting for around 28–29% of the population in 2020. Cabinet Office data show that in 2020 the 65+ population was about 36.0 million (28.6% of the total), and those 75+ were about 18.5 million (14.7%).</w:t>
      </w:r>
      <w:bookmarkStart w:id="9" w:name="fnref3_1"/>
      <w:bookmarkEnd w:id="9"/>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10" w:name="fnref5"/>
      <w:bookmarkEnd w:id="10"/>
      <w:r>
        <w:fldChar w:fldCharType="begin"/>
      </w:r>
      <w:r>
        <w:instrText xml:space="preserve"> HYPERLINK \l "fn5" \h </w:instrText>
      </w:r>
      <w:r>
        <w:fldChar w:fldCharType="separate"/>
      </w:r>
      <w:r>
        <w:rPr>
          <w:rFonts w:ascii="helvetica neue" w:hAnsi="helvetica neue" w:eastAsia="helvetica neue" w:cs="helvetica neue"/>
          <w:color w:val="000000"/>
          <w:u w:val="single"/>
          <w:vertAlign w:val="superscript"/>
        </w:rPr>
        <w:t>[5]</w:t>
      </w:r>
      <w:r>
        <w:rPr>
          <w:rFonts w:ascii="helvetica neue" w:hAnsi="helvetica neue" w:eastAsia="helvetica neue" w:cs="helvetica neue"/>
          <w:color w:val="000000"/>
          <w:u w:val="single"/>
          <w:vertAlign w:val="superscript"/>
        </w:rPr>
        <w:fldChar w:fldCharType="end"/>
      </w:r>
      <w:bookmarkStart w:id="11" w:name="fnref1_1"/>
      <w:bookmarkEnd w:id="11"/>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p>
    <w:p w14:paraId="77CC75F9">
      <w:pPr>
        <w:spacing w:after="210" w:line="360" w:lineRule="auto"/>
      </w:pPr>
      <w:r>
        <w:rPr>
          <w:rFonts w:ascii="Georgia" w:hAnsi="Georgia" w:eastAsia="Georgia" w:cs="Georgia"/>
          <w:color w:val="000000"/>
        </w:rPr>
        <w:t>Population projections by the National Institute of Population and Social Security Research (IPSS) indicate that the share of people aged 65+ will continue rising, reaching roughly the mid‑30% range by 2050 under the medium scenario (around one person in 2.8 being 65 or older). Over the same period, Japan’s total population is projected to shrink from roughly 126 million in 2020 to around 100–105 million by 2050, depending on the scenario.</w:t>
      </w:r>
      <w:bookmarkStart w:id="12" w:name="fnref6"/>
      <w:bookmarkEnd w:id="12"/>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bookmarkStart w:id="13" w:name="fnref5_1"/>
      <w:bookmarkEnd w:id="13"/>
      <w:r>
        <w:fldChar w:fldCharType="begin"/>
      </w:r>
      <w:r>
        <w:instrText xml:space="preserve"> HYPERLINK \l "fn5" \h </w:instrText>
      </w:r>
      <w:r>
        <w:fldChar w:fldCharType="separate"/>
      </w:r>
      <w:r>
        <w:rPr>
          <w:rFonts w:ascii="helvetica neue" w:hAnsi="helvetica neue" w:eastAsia="helvetica neue" w:cs="helvetica neue"/>
          <w:color w:val="000000"/>
          <w:u w:val="single"/>
          <w:vertAlign w:val="superscript"/>
        </w:rPr>
        <w:t>[5]</w:t>
      </w:r>
      <w:r>
        <w:rPr>
          <w:rFonts w:ascii="helvetica neue" w:hAnsi="helvetica neue" w:eastAsia="helvetica neue" w:cs="helvetica neue"/>
          <w:color w:val="000000"/>
          <w:u w:val="single"/>
          <w:vertAlign w:val="superscript"/>
        </w:rPr>
        <w:fldChar w:fldCharType="end"/>
      </w:r>
      <w:bookmarkStart w:id="14" w:name="fnref7"/>
      <w:bookmarkEnd w:id="14"/>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bookmarkStart w:id="15" w:name="fnref3_2"/>
      <w:bookmarkEnd w:id="15"/>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p>
    <w:p w14:paraId="695AD90A">
      <w:pPr>
        <w:spacing w:before="315" w:after="105" w:line="360" w:lineRule="auto"/>
        <w:ind w:left="-30"/>
        <w:jc w:val="left"/>
      </w:pPr>
      <w:bookmarkStart w:id="16" w:name="bm_2_2_age_group_breakdown_65_and_75"/>
      <w:r>
        <w:rPr>
          <w:rFonts w:ascii="Georgia" w:hAnsi="Georgia" w:eastAsia="Georgia" w:cs="Georgia"/>
          <w:b/>
          <w:color w:val="000000"/>
          <w:sz w:val="24"/>
        </w:rPr>
        <w:t>2.2 Age‑group breakdown (65+ and 75+)</w:t>
      </w:r>
      <w:bookmarkEnd w:id="16"/>
    </w:p>
    <w:p w14:paraId="7662ACB7">
      <w:pPr>
        <w:numPr>
          <w:ilvl w:val="0"/>
          <w:numId w:val="1"/>
        </w:numPr>
        <w:spacing w:before="105" w:after="105" w:line="360" w:lineRule="auto"/>
      </w:pPr>
      <w:r>
        <w:rPr>
          <w:rFonts w:ascii="Georgia" w:hAnsi="Georgia" w:eastAsia="Georgia" w:cs="Georgia"/>
          <w:color w:val="000000"/>
          <w:sz w:val="21"/>
        </w:rPr>
        <w:t>The 65+ population is projected to remain around the mid‑30 million level, but its share of a shrinking total population will rise from about 28–29% in 2020 to the mid‑30% range by 2050.</w:t>
      </w:r>
      <w:bookmarkStart w:id="17" w:name="fnref7_1"/>
      <w:bookmarkEnd w:id="17"/>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bookmarkStart w:id="18" w:name="fnref1_2"/>
      <w:bookmarkEnd w:id="18"/>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19" w:name="fnref3_3"/>
      <w:bookmarkEnd w:id="19"/>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p>
    <w:p w14:paraId="57B9100F">
      <w:pPr>
        <w:numPr>
          <w:ilvl w:val="0"/>
          <w:numId w:val="1"/>
        </w:numPr>
        <w:spacing w:before="105" w:after="105" w:line="360" w:lineRule="auto"/>
      </w:pPr>
      <w:r>
        <w:rPr>
          <w:rFonts w:ascii="Georgia" w:hAnsi="Georgia" w:eastAsia="Georgia" w:cs="Georgia"/>
          <w:color w:val="000000"/>
          <w:sz w:val="21"/>
        </w:rPr>
        <w:t>The 75+ population accounted for 14.7% of the total in 2020 and is expected to exceed 20% in most prefectures by 2050, with some regions seeing even higher shares.</w:t>
      </w:r>
      <w:bookmarkStart w:id="20" w:name="fnref6_1"/>
      <w:bookmarkEnd w:id="20"/>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21" w:name="fnref1_3"/>
      <w:bookmarkEnd w:id="21"/>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p>
    <w:p w14:paraId="64118083">
      <w:pPr>
        <w:spacing w:after="210" w:line="360" w:lineRule="auto"/>
      </w:pPr>
      <w:r>
        <w:rPr>
          <w:rFonts w:ascii="Georgia" w:hAnsi="Georgia" w:eastAsia="Georgia" w:cs="Georgia"/>
          <w:color w:val="000000"/>
        </w:rPr>
        <w:t>A rough, illustrative summary is given below (numbers rounded; based on Cabinet Office ageing reports, IPSS projections, and press summaries of the latest estimates):</w:t>
      </w:r>
      <w:bookmarkStart w:id="22" w:name="fnref1_4"/>
      <w:bookmarkEnd w:id="22"/>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bookmarkStart w:id="23" w:name="fnref3_4"/>
      <w:bookmarkEnd w:id="23"/>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24" w:name="fnref7_2"/>
      <w:bookmarkEnd w:id="24"/>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bookmarkStart w:id="25" w:name="fnref6_2"/>
      <w:bookmarkEnd w:id="25"/>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p>
    <w:p w14:paraId="6C4F24E4">
      <w:pPr>
        <w:spacing w:before="315" w:after="105" w:line="360" w:lineRule="auto"/>
        <w:ind w:left="-30"/>
        <w:jc w:val="left"/>
      </w:pPr>
      <w:bookmarkStart w:id="26" w:name="table_1_approximate_outlook_for_j_11a50d"/>
      <w:r>
        <w:rPr>
          <w:rFonts w:ascii="Georgia" w:hAnsi="Georgia" w:eastAsia="Georgia" w:cs="Georgia"/>
          <w:b/>
          <w:color w:val="000000"/>
          <w:sz w:val="24"/>
        </w:rPr>
        <w:t>Table 1. Approximate outlook for Japan’s elderly population</w:t>
      </w:r>
      <w:bookmarkEnd w:id="26"/>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22"/>
        <w:gridCol w:w="3273"/>
        <w:gridCol w:w="2556"/>
        <w:gridCol w:w="3184"/>
      </w:tblGrid>
      <w:tr w14:paraId="1EBAD64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B6E4D8A">
            <w:pPr>
              <w:spacing w:after="0" w:line="360" w:lineRule="auto"/>
            </w:pPr>
            <w:r>
              <w:rPr>
                <w:rFonts w:ascii="helvetica neue" w:hAnsi="helvetica neue" w:eastAsia="helvetica neue" w:cs="helvetica neue"/>
                <w:color w:val="000000"/>
                <w:sz w:val="17"/>
              </w:rPr>
              <w:t>Year</w:t>
            </w:r>
          </w:p>
        </w:tc>
        <w:tc>
          <w:tcPr>
            <w:tcBorders>
              <w:top w:val="single" w:color="000000" w:sz="0" w:space="0"/>
              <w:bottom w:val="single" w:color="000000" w:sz="0" w:space="0"/>
              <w:right w:val="single" w:color="000000" w:sz="0" w:space="0"/>
            </w:tcBorders>
          </w:tcPr>
          <w:p w14:paraId="1C9BC08A">
            <w:pPr>
              <w:spacing w:after="0" w:line="360" w:lineRule="auto"/>
            </w:pPr>
            <w:r>
              <w:rPr>
                <w:rFonts w:ascii="helvetica neue" w:hAnsi="helvetica neue" w:eastAsia="helvetica neue" w:cs="helvetica neue"/>
                <w:color w:val="000000"/>
                <w:sz w:val="17"/>
              </w:rPr>
              <w:t>Total population (approx., million)</w:t>
            </w:r>
          </w:p>
        </w:tc>
        <w:tc>
          <w:tcPr>
            <w:tcBorders>
              <w:top w:val="single" w:color="000000" w:sz="0" w:space="0"/>
              <w:bottom w:val="single" w:color="000000" w:sz="0" w:space="0"/>
              <w:right w:val="single" w:color="000000" w:sz="0" w:space="0"/>
            </w:tcBorders>
          </w:tcPr>
          <w:p w14:paraId="5C222EC6">
            <w:pPr>
              <w:spacing w:after="0" w:line="360" w:lineRule="auto"/>
            </w:pPr>
            <w:r>
              <w:rPr>
                <w:rFonts w:ascii="helvetica neue" w:hAnsi="helvetica neue" w:eastAsia="helvetica neue" w:cs="helvetica neue"/>
                <w:color w:val="000000"/>
                <w:sz w:val="17"/>
              </w:rPr>
              <w:t>65+ share of total (%)</w:t>
            </w:r>
          </w:p>
        </w:tc>
        <w:tc>
          <w:tcPr>
            <w:tcBorders>
              <w:top w:val="single" w:color="000000" w:sz="0" w:space="0"/>
              <w:bottom w:val="single" w:color="000000" w:sz="0" w:space="0"/>
            </w:tcBorders>
          </w:tcPr>
          <w:p w14:paraId="105AE186">
            <w:pPr>
              <w:spacing w:after="0" w:line="360" w:lineRule="auto"/>
            </w:pPr>
            <w:r>
              <w:rPr>
                <w:rFonts w:ascii="helvetica neue" w:hAnsi="helvetica neue" w:eastAsia="helvetica neue" w:cs="helvetica neue"/>
                <w:color w:val="000000"/>
                <w:sz w:val="17"/>
              </w:rPr>
              <w:t>65+ population (approx., million)</w:t>
            </w:r>
          </w:p>
        </w:tc>
      </w:tr>
      <w:tr w14:paraId="263250F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8E4ED1C">
            <w:pPr>
              <w:spacing w:after="0" w:line="360" w:lineRule="auto"/>
            </w:pPr>
            <w:r>
              <w:rPr>
                <w:rFonts w:ascii="helvetica neue" w:hAnsi="helvetica neue" w:eastAsia="helvetica neue" w:cs="helvetica neue"/>
                <w:color w:val="000000"/>
                <w:sz w:val="17"/>
              </w:rPr>
              <w:t>2020</w:t>
            </w:r>
          </w:p>
        </w:tc>
        <w:tc>
          <w:tcPr>
            <w:tcBorders>
              <w:top w:val="single" w:color="000000" w:sz="0" w:space="0"/>
              <w:bottom w:val="single" w:color="000000" w:sz="0" w:space="0"/>
              <w:right w:val="single" w:color="000000" w:sz="0" w:space="0"/>
            </w:tcBorders>
          </w:tcPr>
          <w:p w14:paraId="7BDE4E11">
            <w:pPr>
              <w:spacing w:after="0" w:line="360" w:lineRule="auto"/>
            </w:pPr>
            <w:r>
              <w:rPr>
                <w:rFonts w:ascii="helvetica neue" w:hAnsi="helvetica neue" w:eastAsia="helvetica neue" w:cs="helvetica neue"/>
                <w:color w:val="000000"/>
                <w:sz w:val="17"/>
              </w:rPr>
              <w:t>~126</w:t>
            </w:r>
          </w:p>
        </w:tc>
        <w:tc>
          <w:tcPr>
            <w:tcBorders>
              <w:top w:val="single" w:color="000000" w:sz="0" w:space="0"/>
              <w:bottom w:val="single" w:color="000000" w:sz="0" w:space="0"/>
              <w:right w:val="single" w:color="000000" w:sz="0" w:space="0"/>
            </w:tcBorders>
          </w:tcPr>
          <w:p w14:paraId="1251BB9B">
            <w:pPr>
              <w:spacing w:after="0" w:line="360" w:lineRule="auto"/>
            </w:pPr>
            <w:r>
              <w:rPr>
                <w:rFonts w:ascii="helvetica neue" w:hAnsi="helvetica neue" w:eastAsia="helvetica neue" w:cs="helvetica neue"/>
                <w:color w:val="000000"/>
                <w:sz w:val="17"/>
              </w:rPr>
              <w:t>28.6</w:t>
            </w:r>
          </w:p>
        </w:tc>
        <w:tc>
          <w:tcPr>
            <w:tcBorders>
              <w:top w:val="single" w:color="000000" w:sz="0" w:space="0"/>
              <w:bottom w:val="single" w:color="000000" w:sz="0" w:space="0"/>
            </w:tcBorders>
          </w:tcPr>
          <w:p w14:paraId="2C9954BE">
            <w:pPr>
              <w:spacing w:after="0" w:line="360" w:lineRule="auto"/>
            </w:pPr>
            <w:r>
              <w:rPr>
                <w:rFonts w:ascii="helvetica neue" w:hAnsi="helvetica neue" w:eastAsia="helvetica neue" w:cs="helvetica neue"/>
                <w:color w:val="000000"/>
                <w:sz w:val="17"/>
              </w:rPr>
              <w:t>~36</w:t>
            </w:r>
          </w:p>
        </w:tc>
      </w:tr>
      <w:tr w14:paraId="03B445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EABD035">
            <w:pPr>
              <w:spacing w:after="0" w:line="360" w:lineRule="auto"/>
            </w:pPr>
            <w:r>
              <w:rPr>
                <w:rFonts w:ascii="helvetica neue" w:hAnsi="helvetica neue" w:eastAsia="helvetica neue" w:cs="helvetica neue"/>
                <w:color w:val="000000"/>
                <w:sz w:val="17"/>
              </w:rPr>
              <w:t>2030</w:t>
            </w:r>
          </w:p>
        </w:tc>
        <w:tc>
          <w:tcPr>
            <w:tcBorders>
              <w:top w:val="single" w:color="000000" w:sz="0" w:space="0"/>
              <w:bottom w:val="single" w:color="000000" w:sz="0" w:space="0"/>
              <w:right w:val="single" w:color="000000" w:sz="0" w:space="0"/>
            </w:tcBorders>
          </w:tcPr>
          <w:p w14:paraId="250728D7">
            <w:pPr>
              <w:spacing w:after="0" w:line="360" w:lineRule="auto"/>
            </w:pPr>
            <w:r>
              <w:rPr>
                <w:rFonts w:ascii="helvetica neue" w:hAnsi="helvetica neue" w:eastAsia="helvetica neue" w:cs="helvetica neue"/>
                <w:color w:val="000000"/>
                <w:sz w:val="17"/>
              </w:rPr>
              <w:t>~120</w:t>
            </w:r>
          </w:p>
        </w:tc>
        <w:tc>
          <w:tcPr>
            <w:tcBorders>
              <w:top w:val="single" w:color="000000" w:sz="0" w:space="0"/>
              <w:bottom w:val="single" w:color="000000" w:sz="0" w:space="0"/>
              <w:right w:val="single" w:color="000000" w:sz="0" w:space="0"/>
            </w:tcBorders>
          </w:tcPr>
          <w:p w14:paraId="161B282F">
            <w:pPr>
              <w:spacing w:after="0" w:line="360" w:lineRule="auto"/>
            </w:pPr>
            <w:r>
              <w:rPr>
                <w:rFonts w:ascii="helvetica neue" w:hAnsi="helvetica neue" w:eastAsia="helvetica neue" w:cs="helvetica neue"/>
                <w:color w:val="000000"/>
                <w:sz w:val="17"/>
              </w:rPr>
              <w:t>low 30s</w:t>
            </w:r>
          </w:p>
        </w:tc>
        <w:tc>
          <w:tcPr>
            <w:tcBorders>
              <w:top w:val="single" w:color="000000" w:sz="0" w:space="0"/>
              <w:bottom w:val="single" w:color="000000" w:sz="0" w:space="0"/>
            </w:tcBorders>
          </w:tcPr>
          <w:p w14:paraId="30286CAD">
            <w:pPr>
              <w:spacing w:after="0" w:line="360" w:lineRule="auto"/>
            </w:pPr>
            <w:r>
              <w:rPr>
                <w:rFonts w:ascii="helvetica neue" w:hAnsi="helvetica neue" w:eastAsia="helvetica neue" w:cs="helvetica neue"/>
                <w:color w:val="000000"/>
                <w:sz w:val="17"/>
              </w:rPr>
              <w:t>~37–38</w:t>
            </w:r>
          </w:p>
        </w:tc>
      </w:tr>
      <w:tr w14:paraId="404E88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68ABE15">
            <w:pPr>
              <w:spacing w:after="0" w:line="360" w:lineRule="auto"/>
            </w:pPr>
            <w:r>
              <w:rPr>
                <w:rFonts w:ascii="helvetica neue" w:hAnsi="helvetica neue" w:eastAsia="helvetica neue" w:cs="helvetica neue"/>
                <w:color w:val="000000"/>
                <w:sz w:val="17"/>
              </w:rPr>
              <w:t>2040</w:t>
            </w:r>
          </w:p>
        </w:tc>
        <w:tc>
          <w:tcPr>
            <w:tcBorders>
              <w:top w:val="single" w:color="000000" w:sz="0" w:space="0"/>
              <w:bottom w:val="single" w:color="000000" w:sz="0" w:space="0"/>
              <w:right w:val="single" w:color="000000" w:sz="0" w:space="0"/>
            </w:tcBorders>
          </w:tcPr>
          <w:p w14:paraId="2B3FCD5A">
            <w:pPr>
              <w:spacing w:after="0" w:line="360" w:lineRule="auto"/>
            </w:pPr>
            <w:r>
              <w:rPr>
                <w:rFonts w:ascii="helvetica neue" w:hAnsi="helvetica neue" w:eastAsia="helvetica neue" w:cs="helvetica neue"/>
                <w:color w:val="000000"/>
                <w:sz w:val="17"/>
              </w:rPr>
              <w:t>~110</w:t>
            </w:r>
          </w:p>
        </w:tc>
        <w:tc>
          <w:tcPr>
            <w:tcBorders>
              <w:top w:val="single" w:color="000000" w:sz="0" w:space="0"/>
              <w:bottom w:val="single" w:color="000000" w:sz="0" w:space="0"/>
              <w:right w:val="single" w:color="000000" w:sz="0" w:space="0"/>
            </w:tcBorders>
          </w:tcPr>
          <w:p w14:paraId="73F07D53">
            <w:pPr>
              <w:spacing w:after="0" w:line="360" w:lineRule="auto"/>
            </w:pPr>
            <w:r>
              <w:rPr>
                <w:rFonts w:ascii="helvetica neue" w:hAnsi="helvetica neue" w:eastAsia="helvetica neue" w:cs="helvetica neue"/>
                <w:color w:val="000000"/>
                <w:sz w:val="17"/>
              </w:rPr>
              <w:t>mid 30s (around 34–35)</w:t>
            </w:r>
          </w:p>
        </w:tc>
        <w:tc>
          <w:tcPr>
            <w:tcBorders>
              <w:top w:val="single" w:color="000000" w:sz="0" w:space="0"/>
              <w:bottom w:val="single" w:color="000000" w:sz="0" w:space="0"/>
            </w:tcBorders>
          </w:tcPr>
          <w:p w14:paraId="23D899D6">
            <w:pPr>
              <w:spacing w:after="0" w:line="360" w:lineRule="auto"/>
            </w:pPr>
            <w:r>
              <w:rPr>
                <w:rFonts w:ascii="helvetica neue" w:hAnsi="helvetica neue" w:eastAsia="helvetica neue" w:cs="helvetica neue"/>
                <w:color w:val="000000"/>
                <w:sz w:val="17"/>
              </w:rPr>
              <w:t>~37</w:t>
            </w:r>
          </w:p>
        </w:tc>
      </w:tr>
      <w:tr w14:paraId="74DB5D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922FA19">
            <w:pPr>
              <w:spacing w:after="0" w:line="360" w:lineRule="auto"/>
            </w:pPr>
            <w:r>
              <w:rPr>
                <w:rFonts w:ascii="helvetica neue" w:hAnsi="helvetica neue" w:eastAsia="helvetica neue" w:cs="helvetica neue"/>
                <w:color w:val="000000"/>
                <w:sz w:val="17"/>
              </w:rPr>
              <w:t>2050</w:t>
            </w:r>
          </w:p>
        </w:tc>
        <w:tc>
          <w:tcPr>
            <w:tcBorders>
              <w:top w:val="single" w:color="000000" w:sz="0" w:space="0"/>
              <w:bottom w:val="single" w:color="000000" w:sz="0" w:space="0"/>
              <w:right w:val="single" w:color="000000" w:sz="0" w:space="0"/>
            </w:tcBorders>
          </w:tcPr>
          <w:p w14:paraId="62C9E7A6">
            <w:pPr>
              <w:spacing w:after="0" w:line="360" w:lineRule="auto"/>
            </w:pPr>
            <w:r>
              <w:rPr>
                <w:rFonts w:ascii="helvetica neue" w:hAnsi="helvetica neue" w:eastAsia="helvetica neue" w:cs="helvetica neue"/>
                <w:color w:val="000000"/>
                <w:sz w:val="17"/>
              </w:rPr>
              <w:t>~100–105</w:t>
            </w:r>
          </w:p>
        </w:tc>
        <w:tc>
          <w:tcPr>
            <w:tcBorders>
              <w:top w:val="single" w:color="000000" w:sz="0" w:space="0"/>
              <w:bottom w:val="single" w:color="000000" w:sz="0" w:space="0"/>
              <w:right w:val="single" w:color="000000" w:sz="0" w:space="0"/>
            </w:tcBorders>
          </w:tcPr>
          <w:p w14:paraId="59A8E38D">
            <w:pPr>
              <w:spacing w:after="0" w:line="360" w:lineRule="auto"/>
            </w:pPr>
            <w:r>
              <w:rPr>
                <w:rFonts w:ascii="helvetica neue" w:hAnsi="helvetica neue" w:eastAsia="helvetica neue" w:cs="helvetica neue"/>
                <w:color w:val="000000"/>
                <w:sz w:val="17"/>
              </w:rPr>
              <w:t>mid 30s (around 35–36)</w:t>
            </w:r>
          </w:p>
        </w:tc>
        <w:tc>
          <w:tcPr>
            <w:tcBorders>
              <w:top w:val="single" w:color="000000" w:sz="0" w:space="0"/>
              <w:bottom w:val="single" w:color="000000" w:sz="0" w:space="0"/>
            </w:tcBorders>
          </w:tcPr>
          <w:p w14:paraId="2CDD4345">
            <w:pPr>
              <w:spacing w:after="0" w:line="360" w:lineRule="auto"/>
            </w:pPr>
            <w:r>
              <w:rPr>
                <w:rFonts w:ascii="helvetica neue" w:hAnsi="helvetica neue" w:eastAsia="helvetica neue" w:cs="helvetica neue"/>
                <w:color w:val="000000"/>
                <w:sz w:val="17"/>
              </w:rPr>
              <w:t>~36–38</w:t>
            </w:r>
          </w:p>
        </w:tc>
      </w:tr>
    </w:tbl>
    <w:p w14:paraId="1107903C"/>
    <w:p w14:paraId="135D2A01">
      <w:pPr>
        <w:spacing w:after="210" w:line="360" w:lineRule="auto"/>
      </w:pPr>
      <w:r>
        <w:rPr>
          <w:rFonts w:ascii="Georgia" w:hAnsi="Georgia" w:eastAsia="Georgia" w:cs="Georgia"/>
          <w:i/>
          <w:color w:val="000000"/>
        </w:rPr>
        <w:t>Note: Values are rounded and indicative, harmonizing different official projection vintages; the main message is that the elderly headcount plateaus while their population share continues to rise due to overall shrinkage.</w:t>
      </w:r>
      <w:bookmarkStart w:id="27" w:name="fnref5_2"/>
      <w:bookmarkEnd w:id="27"/>
      <w:r>
        <w:fldChar w:fldCharType="begin"/>
      </w:r>
      <w:r>
        <w:instrText xml:space="preserve"> HYPERLINK \l "fn5" \h </w:instrText>
      </w:r>
      <w:r>
        <w:fldChar w:fldCharType="separate"/>
      </w:r>
      <w:r>
        <w:rPr>
          <w:rFonts w:ascii="helvetica neue" w:hAnsi="helvetica neue" w:eastAsia="helvetica neue" w:cs="helvetica neue"/>
          <w:color w:val="000000"/>
          <w:u w:val="single"/>
          <w:vertAlign w:val="superscript"/>
        </w:rPr>
        <w:t>[5]</w:t>
      </w:r>
      <w:r>
        <w:rPr>
          <w:rFonts w:ascii="helvetica neue" w:hAnsi="helvetica neue" w:eastAsia="helvetica neue" w:cs="helvetica neue"/>
          <w:color w:val="000000"/>
          <w:u w:val="single"/>
          <w:vertAlign w:val="superscript"/>
        </w:rPr>
        <w:fldChar w:fldCharType="end"/>
      </w:r>
      <w:bookmarkStart w:id="28" w:name="fnref3_5"/>
      <w:bookmarkEnd w:id="28"/>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29" w:name="fnref7_3"/>
      <w:bookmarkEnd w:id="29"/>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bookmarkStart w:id="30" w:name="fnref1_5"/>
      <w:bookmarkEnd w:id="30"/>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p>
    <w:p w14:paraId="3EF71BD4">
      <w:pPr>
        <w:spacing w:after="210" w:line="360" w:lineRule="auto"/>
      </w:pPr>
      <w:r>
        <w:rPr>
          <w:rFonts w:ascii="Georgia" w:hAnsi="Georgia" w:eastAsia="Georgia" w:cs="Georgia"/>
          <w:color w:val="000000"/>
        </w:rPr>
        <w:t>In addition, the share of single‑person households among the elderly is projected to increase significantly, with single elderly households (65+) expected to exceed 10.8 million and more than 20% of all households by 2050, which has direct implications for consumption patterns (e.g., demand for services, compact housing, and delivery).</w:t>
      </w:r>
      <w:bookmarkStart w:id="31" w:name="fnref8"/>
      <w:bookmarkEnd w:id="31"/>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p>
    <w:p w14:paraId="0B814348">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44AA4B97">
      <w:pPr>
        <w:spacing w:before="315" w:after="105" w:line="360" w:lineRule="auto"/>
        <w:ind w:left="-30"/>
        <w:jc w:val="left"/>
      </w:pPr>
      <w:bookmarkStart w:id="32" w:name="bm_3_current_consumption_structur_7e0da6"/>
      <w:r>
        <w:rPr>
          <w:rFonts w:ascii="Georgia" w:hAnsi="Georgia" w:eastAsia="Georgia" w:cs="Georgia"/>
          <w:b/>
          <w:color w:val="000000"/>
          <w:sz w:val="24"/>
        </w:rPr>
        <w:t>3. Current Consumption Structure of Elderly Households</w:t>
      </w:r>
      <w:bookmarkEnd w:id="32"/>
    </w:p>
    <w:p w14:paraId="4DC0F72E">
      <w:pPr>
        <w:spacing w:after="210" w:line="360" w:lineRule="auto"/>
      </w:pPr>
      <w:r>
        <w:rPr>
          <w:rFonts w:ascii="Georgia" w:hAnsi="Georgia" w:eastAsia="Georgia" w:cs="Georgia"/>
          <w:color w:val="000000"/>
        </w:rPr>
        <w:t>Japan’s Family Income and Expenditure Survey (FIES) and various market reports show that consumption patterns differ systematically by age, with older households typically spending more on basic living expenses, healthcare, and leisure, and relatively less on education and child‑related items.</w:t>
      </w:r>
      <w:bookmarkStart w:id="33" w:name="fnref9"/>
      <w:bookmarkEnd w:id="33"/>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bookmarkStart w:id="34" w:name="fnref10"/>
      <w:bookmarkEnd w:id="34"/>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35" w:name="fnref4_1"/>
      <w:bookmarkEnd w:id="35"/>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p>
    <w:p w14:paraId="659365CE">
      <w:pPr>
        <w:spacing w:before="315" w:after="105" w:line="360" w:lineRule="auto"/>
        <w:ind w:left="-30"/>
        <w:jc w:val="left"/>
      </w:pPr>
      <w:bookmarkStart w:id="36" w:name="bm_3_1_food"/>
      <w:r>
        <w:rPr>
          <w:rFonts w:ascii="Georgia" w:hAnsi="Georgia" w:eastAsia="Georgia" w:cs="Georgia"/>
          <w:b/>
          <w:color w:val="000000"/>
          <w:sz w:val="24"/>
        </w:rPr>
        <w:t>3.1 Food</w:t>
      </w:r>
      <w:bookmarkEnd w:id="36"/>
    </w:p>
    <w:p w14:paraId="11BAFB66">
      <w:pPr>
        <w:spacing w:after="210" w:line="360" w:lineRule="auto"/>
      </w:pPr>
      <w:r>
        <w:rPr>
          <w:rFonts w:ascii="Georgia" w:hAnsi="Georgia" w:eastAsia="Georgia" w:cs="Georgia"/>
          <w:color w:val="000000"/>
        </w:rPr>
        <w:t>Government and market reports confirm that food is the single largest component of household expenditure across age groups, and this remains true for elderly households. Long‑term FIES‑based research shows that nominal food spending peaked in the early 1990s and has declined since, partly due to smaller household sizes, but food remains the largest category in level terms. Elderly consumers place high value on freshness, safety and convenience, leading to strong demand for prepared meals, small‑package products, and frequent local shopping.</w:t>
      </w:r>
      <w:bookmarkStart w:id="37" w:name="fnref10_1"/>
      <w:bookmarkEnd w:id="37"/>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38" w:name="fnref11"/>
      <w:bookmarkEnd w:id="38"/>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39" w:name="fnref4_2"/>
      <w:bookmarkEnd w:id="39"/>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40" w:name="fnref9_1"/>
      <w:bookmarkEnd w:id="40"/>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p>
    <w:p w14:paraId="5877836B">
      <w:pPr>
        <w:spacing w:before="315" w:after="105" w:line="360" w:lineRule="auto"/>
        <w:ind w:left="-30"/>
        <w:jc w:val="left"/>
      </w:pPr>
      <w:bookmarkStart w:id="41" w:name="bm_3_2_clothing"/>
      <w:r>
        <w:rPr>
          <w:rFonts w:ascii="Georgia" w:hAnsi="Georgia" w:eastAsia="Georgia" w:cs="Georgia"/>
          <w:b/>
          <w:color w:val="000000"/>
          <w:sz w:val="24"/>
        </w:rPr>
        <w:t>3.2 Clothing</w:t>
      </w:r>
      <w:bookmarkEnd w:id="41"/>
    </w:p>
    <w:p w14:paraId="5AB315A0">
      <w:pPr>
        <w:spacing w:after="210" w:line="360" w:lineRule="auto"/>
      </w:pPr>
      <w:r>
        <w:rPr>
          <w:rFonts w:ascii="Georgia" w:hAnsi="Georgia" w:eastAsia="Georgia" w:cs="Georgia"/>
          <w:color w:val="000000"/>
        </w:rPr>
        <w:t>Empirical work using FIES microdata finds that spending on clothing and footwear has trended down over decades, both in absolute terms and as a share of total consumption, especially among older age groups. Seniors show relatively lower overall expenditure on fashion than younger adults, but maintain steady demand for comfortable, functional clothing (easy‑care, weather‑appropriate, adaptive designs), and winter clothing remains important given health concerns.</w:t>
      </w:r>
      <w:bookmarkStart w:id="42" w:name="fnref9_2"/>
      <w:bookmarkEnd w:id="42"/>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bookmarkStart w:id="43" w:name="fnref10_2"/>
      <w:bookmarkEnd w:id="43"/>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p>
    <w:p w14:paraId="025FFEDC">
      <w:pPr>
        <w:spacing w:before="315" w:after="105" w:line="360" w:lineRule="auto"/>
        <w:ind w:left="-30"/>
        <w:jc w:val="left"/>
      </w:pPr>
      <w:bookmarkStart w:id="44" w:name="bm_3_3_housing_and_utilities"/>
      <w:r>
        <w:rPr>
          <w:rFonts w:ascii="Georgia" w:hAnsi="Georgia" w:eastAsia="Georgia" w:cs="Georgia"/>
          <w:b/>
          <w:color w:val="000000"/>
          <w:sz w:val="24"/>
        </w:rPr>
        <w:t>3.3 Housing and utilities</w:t>
      </w:r>
      <w:bookmarkEnd w:id="44"/>
    </w:p>
    <w:p w14:paraId="56173B2E">
      <w:pPr>
        <w:spacing w:after="210" w:line="360" w:lineRule="auto"/>
      </w:pPr>
      <w:r>
        <w:rPr>
          <w:rFonts w:ascii="Georgia" w:hAnsi="Georgia" w:eastAsia="Georgia" w:cs="Georgia"/>
          <w:color w:val="000000"/>
        </w:rPr>
        <w:t>Housing expenditure (including rent, mortgage, and maintenance) is relatively stable over time but accounts for a smaller share of older households’ budgets than for younger, as many seniors have already paid off mortgages. However, older households spend relatively more on utilities (fuel, light, water charges) and home maintenance, reflecting time spent at home and the importance of a safe, barrier‑free living environment.</w:t>
      </w:r>
      <w:bookmarkStart w:id="45" w:name="fnref4_3"/>
      <w:bookmarkEnd w:id="45"/>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46" w:name="fnref10_3"/>
      <w:bookmarkEnd w:id="46"/>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47" w:name="fnref9_3"/>
      <w:bookmarkEnd w:id="47"/>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p>
    <w:p w14:paraId="39B209F7">
      <w:pPr>
        <w:spacing w:before="315" w:after="105" w:line="360" w:lineRule="auto"/>
        <w:ind w:left="-30"/>
        <w:jc w:val="left"/>
      </w:pPr>
      <w:bookmarkStart w:id="48" w:name="bm_3_4_transportation_and_communication"/>
      <w:r>
        <w:rPr>
          <w:rFonts w:ascii="Georgia" w:hAnsi="Georgia" w:eastAsia="Georgia" w:cs="Georgia"/>
          <w:b/>
          <w:color w:val="000000"/>
          <w:sz w:val="24"/>
        </w:rPr>
        <w:t>3.4 Transportation and communication</w:t>
      </w:r>
      <w:bookmarkEnd w:id="48"/>
    </w:p>
    <w:p w14:paraId="6EBAA051">
      <w:pPr>
        <w:spacing w:after="210" w:line="360" w:lineRule="auto"/>
      </w:pPr>
      <w:r>
        <w:rPr>
          <w:rFonts w:ascii="Georgia" w:hAnsi="Georgia" w:eastAsia="Georgia" w:cs="Georgia"/>
          <w:color w:val="000000"/>
        </w:rPr>
        <w:t>Long‑run analyses show that expenditure on transportation and communication has increased as a share of consumption, including among older age groups. For seniors, this includes public transportation, private cars (in suburban and rural areas), and growing use of communication tools such as mobile phones and internet services, especially as digital inclusion policies and user‑friendly devices expand.</w:t>
      </w:r>
      <w:bookmarkStart w:id="49" w:name="fnref12"/>
      <w:bookmarkEnd w:id="49"/>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50" w:name="fnref10_4"/>
      <w:bookmarkEnd w:id="50"/>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51" w:name="fnref9_4"/>
      <w:bookmarkEnd w:id="51"/>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p>
    <w:p w14:paraId="156D6B07">
      <w:pPr>
        <w:spacing w:before="315" w:after="105" w:line="360" w:lineRule="auto"/>
        <w:ind w:left="-30"/>
        <w:jc w:val="left"/>
      </w:pPr>
      <w:bookmarkStart w:id="52" w:name="bm_3_5_other_key_categories_healt_57c406"/>
      <w:r>
        <w:rPr>
          <w:rFonts w:ascii="Georgia" w:hAnsi="Georgia" w:eastAsia="Georgia" w:cs="Georgia"/>
          <w:b/>
          <w:color w:val="000000"/>
          <w:sz w:val="24"/>
        </w:rPr>
        <w:t>3.5 Other key categories: healthcare and leisure</w:t>
      </w:r>
      <w:bookmarkEnd w:id="52"/>
    </w:p>
    <w:p w14:paraId="2BE61477">
      <w:pPr>
        <w:numPr>
          <w:ilvl w:val="0"/>
          <w:numId w:val="2"/>
        </w:numPr>
        <w:spacing w:before="105" w:after="105" w:line="360" w:lineRule="auto"/>
      </w:pPr>
      <w:r>
        <w:rPr>
          <w:rFonts w:ascii="Georgia" w:hAnsi="Georgia" w:eastAsia="Georgia" w:cs="Georgia"/>
          <w:b/>
          <w:color w:val="000000"/>
          <w:sz w:val="21"/>
        </w:rPr>
        <w:t>Healthcare and nursing care</w:t>
      </w:r>
      <w:r>
        <w:rPr>
          <w:rFonts w:ascii="Georgia" w:hAnsi="Georgia" w:eastAsia="Georgia" w:cs="Georgia"/>
          <w:color w:val="000000"/>
          <w:sz w:val="21"/>
        </w:rPr>
        <w:t>: Health‑related spending (medical care, pharmaceuticals, nursing services) rises sharply with age and constitutes a major expenditure category for older households. Japan’s health and wellness market is described as rapidly growing, driven largely by the ageing population and rising medical costs.</w:t>
      </w:r>
      <w:bookmarkStart w:id="53" w:name="fnref13"/>
      <w:bookmarkEnd w:id="53"/>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54" w:name="fnref10_5"/>
      <w:bookmarkEnd w:id="54"/>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55" w:name="fnref9_5"/>
      <w:bookmarkEnd w:id="55"/>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p>
    <w:p w14:paraId="09AC86FF">
      <w:pPr>
        <w:numPr>
          <w:ilvl w:val="0"/>
          <w:numId w:val="2"/>
        </w:numPr>
        <w:spacing w:before="105" w:after="105" w:line="360" w:lineRule="auto"/>
      </w:pPr>
      <w:r>
        <w:rPr>
          <w:rFonts w:ascii="Georgia" w:hAnsi="Georgia" w:eastAsia="Georgia" w:cs="Georgia"/>
          <w:b/>
          <w:color w:val="000000"/>
          <w:sz w:val="21"/>
        </w:rPr>
        <w:t>Leisure and hobbies</w:t>
      </w:r>
      <w:r>
        <w:rPr>
          <w:rFonts w:ascii="Georgia" w:hAnsi="Georgia" w:eastAsia="Georgia" w:cs="Georgia"/>
          <w:color w:val="000000"/>
          <w:sz w:val="21"/>
        </w:rPr>
        <w:t>: Seniors in Japan are relatively active and spend on hobbies (gardening, culture, self‑development, travel), creating demand for leisure goods, education, and tourism products tailored to older customers.</w:t>
      </w:r>
      <w:bookmarkStart w:id="56" w:name="fnref14"/>
      <w:bookmarkEnd w:id="56"/>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bookmarkStart w:id="57" w:name="fnref10_6"/>
      <w:bookmarkEnd w:id="57"/>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p>
    <w:p w14:paraId="02001B9E">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68778CAE">
      <w:pPr>
        <w:spacing w:before="315" w:after="105" w:line="360" w:lineRule="auto"/>
        <w:ind w:left="-30"/>
        <w:jc w:val="left"/>
      </w:pPr>
      <w:bookmarkStart w:id="58" w:name="bm_4_elderly_consumption_potentia_a9e152"/>
      <w:r>
        <w:rPr>
          <w:rFonts w:ascii="Georgia" w:hAnsi="Georgia" w:eastAsia="Georgia" w:cs="Georgia"/>
          <w:b/>
          <w:color w:val="000000"/>
          <w:sz w:val="24"/>
        </w:rPr>
        <w:t>4. Elderly Consumption Potential and Rough Market Size</w:t>
      </w:r>
      <w:bookmarkEnd w:id="58"/>
    </w:p>
    <w:p w14:paraId="588D6124">
      <w:pPr>
        <w:spacing w:before="315" w:after="105" w:line="360" w:lineRule="auto"/>
        <w:ind w:left="-30"/>
        <w:jc w:val="left"/>
      </w:pPr>
      <w:bookmarkStart w:id="59" w:name="bm_4_1_the_longevity_economy_as_a_8b1b2d"/>
      <w:r>
        <w:rPr>
          <w:rFonts w:ascii="Georgia" w:hAnsi="Georgia" w:eastAsia="Georgia" w:cs="Georgia"/>
          <w:b/>
          <w:color w:val="000000"/>
          <w:sz w:val="24"/>
        </w:rPr>
        <w:t>4.1 The “longevity economy” as a benchmark</w:t>
      </w:r>
      <w:bookmarkEnd w:id="59"/>
    </w:p>
    <w:p w14:paraId="36F1FB9A">
      <w:pPr>
        <w:spacing w:after="210" w:line="360" w:lineRule="auto"/>
      </w:pPr>
      <w:r>
        <w:rPr>
          <w:rFonts w:ascii="Georgia" w:hAnsi="Georgia" w:eastAsia="Georgia" w:cs="Georgia"/>
          <w:color w:val="000000"/>
        </w:rPr>
        <w:t>Recent analyses of Japan’s “longevity economy” estimate that the elderly‑related market (healthcare, nursing care, and lifestyle industries serving seniors) was about 96 trillion yen in 2023, projected to grow to roughly 115 trillion yen by 2040. According to this breakdown, around 29 trillion yen comes from healthcare, 11.7 trillion yen from nursing care, and about 55.7 trillion yen from lifestyle‑related industries (which include many clothing, food, housing‑related, and transport‑adjacent goods and services).</w:t>
      </w:r>
      <w:bookmarkStart w:id="60" w:name="fnref15"/>
      <w:bookmarkEnd w:id="60"/>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bookmarkStart w:id="61" w:name="fnref16"/>
      <w:bookmarkEnd w:id="61"/>
      <w:r>
        <w:fldChar w:fldCharType="begin"/>
      </w:r>
      <w:r>
        <w:instrText xml:space="preserve"> HYPERLINK \l "fn16" \h </w:instrText>
      </w:r>
      <w:r>
        <w:fldChar w:fldCharType="separate"/>
      </w:r>
      <w:r>
        <w:rPr>
          <w:rFonts w:ascii="helvetica neue" w:hAnsi="helvetica neue" w:eastAsia="helvetica neue" w:cs="helvetica neue"/>
          <w:color w:val="000000"/>
          <w:u w:val="single"/>
          <w:vertAlign w:val="superscript"/>
        </w:rPr>
        <w:t>[16]</w:t>
      </w:r>
      <w:r>
        <w:rPr>
          <w:rFonts w:ascii="helvetica neue" w:hAnsi="helvetica neue" w:eastAsia="helvetica neue" w:cs="helvetica neue"/>
          <w:color w:val="000000"/>
          <w:u w:val="single"/>
          <w:vertAlign w:val="superscript"/>
        </w:rPr>
        <w:fldChar w:fldCharType="end"/>
      </w:r>
    </w:p>
    <w:p w14:paraId="22836987">
      <w:pPr>
        <w:spacing w:after="210" w:line="360" w:lineRule="auto"/>
      </w:pPr>
      <w:r>
        <w:rPr>
          <w:rFonts w:ascii="Georgia" w:hAnsi="Georgia" w:eastAsia="Georgia" w:cs="Georgia"/>
          <w:color w:val="000000"/>
        </w:rPr>
        <w:t>Demographically, the share of people aged 65+ is estimated to be about 29.3% in 2024 and is projected to reach about 34.8% in 2040 and 36.3% in 2045, indicating a strong structural tailwind for elderly‑related consumption even as total population declines.</w:t>
      </w:r>
      <w:bookmarkStart w:id="62" w:name="fnref17"/>
      <w:bookmarkEnd w:id="62"/>
      <w:r>
        <w:fldChar w:fldCharType="begin"/>
      </w:r>
      <w:r>
        <w:instrText xml:space="preserve"> HYPERLINK \l "fn17" \h </w:instrText>
      </w:r>
      <w:r>
        <w:fldChar w:fldCharType="separate"/>
      </w:r>
      <w:r>
        <w:rPr>
          <w:rFonts w:ascii="helvetica neue" w:hAnsi="helvetica neue" w:eastAsia="helvetica neue" w:cs="helvetica neue"/>
          <w:color w:val="000000"/>
          <w:u w:val="single"/>
          <w:vertAlign w:val="superscript"/>
        </w:rPr>
        <w:t>[17]</w:t>
      </w:r>
      <w:r>
        <w:rPr>
          <w:rFonts w:ascii="helvetica neue" w:hAnsi="helvetica neue" w:eastAsia="helvetica neue" w:cs="helvetica neue"/>
          <w:color w:val="000000"/>
          <w:u w:val="single"/>
          <w:vertAlign w:val="superscript"/>
        </w:rPr>
        <w:fldChar w:fldCharType="end"/>
      </w:r>
      <w:bookmarkStart w:id="63" w:name="fnref16_1"/>
      <w:bookmarkEnd w:id="63"/>
      <w:r>
        <w:fldChar w:fldCharType="begin"/>
      </w:r>
      <w:r>
        <w:instrText xml:space="preserve"> HYPERLINK \l "fn16" \h </w:instrText>
      </w:r>
      <w:r>
        <w:fldChar w:fldCharType="separate"/>
      </w:r>
      <w:r>
        <w:rPr>
          <w:rFonts w:ascii="helvetica neue" w:hAnsi="helvetica neue" w:eastAsia="helvetica neue" w:cs="helvetica neue"/>
          <w:color w:val="000000"/>
          <w:u w:val="single"/>
          <w:vertAlign w:val="superscript"/>
        </w:rPr>
        <w:t>[16]</w:t>
      </w:r>
      <w:r>
        <w:rPr>
          <w:rFonts w:ascii="helvetica neue" w:hAnsi="helvetica neue" w:eastAsia="helvetica neue" w:cs="helvetica neue"/>
          <w:color w:val="000000"/>
          <w:u w:val="single"/>
          <w:vertAlign w:val="superscript"/>
        </w:rPr>
        <w:fldChar w:fldCharType="end"/>
      </w:r>
    </w:p>
    <w:p w14:paraId="3D833136">
      <w:pPr>
        <w:spacing w:before="315" w:after="105" w:line="360" w:lineRule="auto"/>
        <w:ind w:left="-30"/>
        <w:jc w:val="left"/>
      </w:pPr>
      <w:bookmarkStart w:id="64" w:name="bm_4_2_simple_linkage_between_pop_84ac30"/>
      <w:r>
        <w:rPr>
          <w:rFonts w:ascii="Georgia" w:hAnsi="Georgia" w:eastAsia="Georgia" w:cs="Georgia"/>
          <w:b/>
          <w:color w:val="000000"/>
          <w:sz w:val="24"/>
        </w:rPr>
        <w:t>4.2 Simple linkage between population and market size</w:t>
      </w:r>
      <w:bookmarkEnd w:id="64"/>
    </w:p>
    <w:p w14:paraId="52AE8533">
      <w:pPr>
        <w:spacing w:after="210" w:line="360" w:lineRule="auto"/>
      </w:pPr>
      <w:r>
        <w:rPr>
          <w:rFonts w:ascii="Georgia" w:hAnsi="Georgia" w:eastAsia="Georgia" w:cs="Georgia"/>
          <w:color w:val="000000"/>
        </w:rPr>
        <w:t>Using the 2023 longevity economy estimate (96 trillion yen) and an elderly population of about 36.25 million people aged 65+ (roughly 29–30% of the population), the implied spending associated with seniors averages in the range of 2.5–3.0 million yen per elderly person per year across all categories covered.</w:t>
      </w:r>
      <w:bookmarkStart w:id="65" w:name="fnref16_2"/>
      <w:bookmarkEnd w:id="65"/>
      <w:r>
        <w:fldChar w:fldCharType="begin"/>
      </w:r>
      <w:r>
        <w:instrText xml:space="preserve"> HYPERLINK \l "fn16" \h </w:instrText>
      </w:r>
      <w:r>
        <w:fldChar w:fldCharType="separate"/>
      </w:r>
      <w:r>
        <w:rPr>
          <w:rFonts w:ascii="helvetica neue" w:hAnsi="helvetica neue" w:eastAsia="helvetica neue" w:cs="helvetica neue"/>
          <w:color w:val="000000"/>
          <w:u w:val="single"/>
          <w:vertAlign w:val="superscript"/>
        </w:rPr>
        <w:t>[16]</w:t>
      </w:r>
      <w:r>
        <w:rPr>
          <w:rFonts w:ascii="helvetica neue" w:hAnsi="helvetica neue" w:eastAsia="helvetica neue" w:cs="helvetica neue"/>
          <w:color w:val="000000"/>
          <w:u w:val="single"/>
          <w:vertAlign w:val="superscript"/>
        </w:rPr>
        <w:fldChar w:fldCharType="end"/>
      </w:r>
      <w:bookmarkStart w:id="66" w:name="fnref15_1"/>
      <w:bookmarkEnd w:id="66"/>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bookmarkStart w:id="67" w:name="fnref17_1"/>
      <w:bookmarkEnd w:id="67"/>
      <w:r>
        <w:fldChar w:fldCharType="begin"/>
      </w:r>
      <w:r>
        <w:instrText xml:space="preserve"> HYPERLINK \l "fn17" \h </w:instrText>
      </w:r>
      <w:r>
        <w:fldChar w:fldCharType="separate"/>
      </w:r>
      <w:r>
        <w:rPr>
          <w:rFonts w:ascii="helvetica neue" w:hAnsi="helvetica neue" w:eastAsia="helvetica neue" w:cs="helvetica neue"/>
          <w:color w:val="000000"/>
          <w:u w:val="single"/>
          <w:vertAlign w:val="superscript"/>
        </w:rPr>
        <w:t>[17]</w:t>
      </w:r>
      <w:r>
        <w:rPr>
          <w:rFonts w:ascii="helvetica neue" w:hAnsi="helvetica neue" w:eastAsia="helvetica neue" w:cs="helvetica neue"/>
          <w:color w:val="000000"/>
          <w:u w:val="single"/>
          <w:vertAlign w:val="superscript"/>
        </w:rPr>
        <w:fldChar w:fldCharType="end"/>
      </w:r>
    </w:p>
    <w:p w14:paraId="78FA1FBA">
      <w:pPr>
        <w:spacing w:after="210" w:line="360" w:lineRule="auto"/>
      </w:pPr>
      <w:r>
        <w:rPr>
          <w:rFonts w:ascii="Georgia" w:hAnsi="Georgia" w:eastAsia="Georgia" w:cs="Georgia"/>
          <w:color w:val="000000"/>
        </w:rPr>
        <w:t>If the elderly population remains around 36–38 million in 2030–2050 while per‑capita real consumption stabilizes or rises slightly, it is reasonable to view a 90–110 trillion yen per‑year “silver market” as a plausible order of magnitude through the 2030s and 2040s, even considering demographic headwinds. Within this total, clothing, food, housing, and transportation together account for a substantial share, as these are core components of senior household budgets.</w:t>
      </w:r>
      <w:bookmarkStart w:id="68" w:name="fnref15_2"/>
      <w:bookmarkEnd w:id="68"/>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bookmarkStart w:id="69" w:name="fnref3_6"/>
      <w:bookmarkEnd w:id="69"/>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70" w:name="fnref10_7"/>
      <w:bookmarkEnd w:id="70"/>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71" w:name="fnref4_4"/>
      <w:bookmarkEnd w:id="71"/>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72" w:name="fnref16_3"/>
      <w:bookmarkEnd w:id="72"/>
      <w:r>
        <w:fldChar w:fldCharType="begin"/>
      </w:r>
      <w:r>
        <w:instrText xml:space="preserve"> HYPERLINK \l "fn16" \h </w:instrText>
      </w:r>
      <w:r>
        <w:fldChar w:fldCharType="separate"/>
      </w:r>
      <w:r>
        <w:rPr>
          <w:rFonts w:ascii="helvetica neue" w:hAnsi="helvetica neue" w:eastAsia="helvetica neue" w:cs="helvetica neue"/>
          <w:color w:val="000000"/>
          <w:u w:val="single"/>
          <w:vertAlign w:val="superscript"/>
        </w:rPr>
        <w:t>[16]</w:t>
      </w:r>
      <w:r>
        <w:rPr>
          <w:rFonts w:ascii="helvetica neue" w:hAnsi="helvetica neue" w:eastAsia="helvetica neue" w:cs="helvetica neue"/>
          <w:color w:val="000000"/>
          <w:u w:val="single"/>
          <w:vertAlign w:val="superscript"/>
        </w:rPr>
        <w:fldChar w:fldCharType="end"/>
      </w:r>
      <w:bookmarkStart w:id="73" w:name="fnref9_6"/>
      <w:bookmarkEnd w:id="73"/>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p>
    <w:p w14:paraId="63826718">
      <w:pPr>
        <w:spacing w:after="210" w:line="360" w:lineRule="auto"/>
      </w:pPr>
      <w:r>
        <w:rPr>
          <w:rFonts w:ascii="Georgia" w:hAnsi="Georgia" w:eastAsia="Georgia" w:cs="Georgia"/>
          <w:color w:val="000000"/>
        </w:rPr>
        <w:t>These figures are deliberately rough, intended to give a scale rather than a precise forecast; they assume that elderly consumption remains a relatively stable share of the broader longevity economy and that major policy shocks do not drastically suppress spending.</w:t>
      </w:r>
    </w:p>
    <w:p w14:paraId="28937013">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10A47E46">
      <w:pPr>
        <w:spacing w:before="315" w:after="105" w:line="360" w:lineRule="auto"/>
        <w:ind w:left="-30"/>
        <w:jc w:val="left"/>
      </w:pPr>
      <w:bookmarkStart w:id="74" w:name="bm_5_segment_overview_clothing_fo_173036"/>
      <w:r>
        <w:rPr>
          <w:rFonts w:ascii="Georgia" w:hAnsi="Georgia" w:eastAsia="Georgia" w:cs="Georgia"/>
          <w:b/>
          <w:color w:val="000000"/>
          <w:sz w:val="24"/>
        </w:rPr>
        <w:t>5. Segment Overview: Clothing, Food, Housing, Transportation</w:t>
      </w:r>
      <w:bookmarkEnd w:id="74"/>
    </w:p>
    <w:p w14:paraId="6BE8A7E6">
      <w:pPr>
        <w:spacing w:before="315" w:after="105" w:line="360" w:lineRule="auto"/>
        <w:ind w:left="-30"/>
        <w:jc w:val="left"/>
      </w:pPr>
      <w:bookmarkStart w:id="75" w:name="bm_5_1_clothing"/>
      <w:r>
        <w:rPr>
          <w:rFonts w:ascii="Georgia" w:hAnsi="Georgia" w:eastAsia="Georgia" w:cs="Georgia"/>
          <w:b/>
          <w:color w:val="000000"/>
          <w:sz w:val="24"/>
        </w:rPr>
        <w:t>5.1 Clothing</w:t>
      </w:r>
      <w:bookmarkEnd w:id="75"/>
    </w:p>
    <w:p w14:paraId="1A055B8E">
      <w:pPr>
        <w:numPr>
          <w:ilvl w:val="0"/>
          <w:numId w:val="3"/>
        </w:numPr>
        <w:spacing w:before="105" w:after="105" w:line="360" w:lineRule="auto"/>
      </w:pPr>
      <w:r>
        <w:rPr>
          <w:rFonts w:ascii="Georgia" w:hAnsi="Georgia" w:eastAsia="Georgia" w:cs="Georgia"/>
          <w:color w:val="000000"/>
          <w:sz w:val="21"/>
        </w:rPr>
        <w:t>Current data: Expenditure on clothing and footwear has decreased over decades, but older households still represent a sizeable, stable market, particularly for products emphasizing comfort, safety (non‑slip shoes), easy dressing, and seasonality.</w:t>
      </w:r>
      <w:bookmarkStart w:id="76" w:name="fnref9_7"/>
      <w:bookmarkEnd w:id="76"/>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p>
    <w:p w14:paraId="79CB68AD">
      <w:pPr>
        <w:numPr>
          <w:ilvl w:val="0"/>
          <w:numId w:val="3"/>
        </w:numPr>
        <w:spacing w:before="105" w:after="105" w:line="360" w:lineRule="auto"/>
      </w:pPr>
      <w:r>
        <w:rPr>
          <w:rFonts w:ascii="Georgia" w:hAnsi="Georgia" w:eastAsia="Georgia" w:cs="Georgia"/>
          <w:color w:val="000000"/>
          <w:sz w:val="21"/>
        </w:rPr>
        <w:t>Trend: The shift from fashion‑oriented to function‑oriented clothing is likely to continue, with growth niches in adaptive clothing, thermal wear, and easy‑care garments for home and care facilities.</w:t>
      </w:r>
      <w:bookmarkStart w:id="77" w:name="fnref12_1"/>
      <w:bookmarkEnd w:id="77"/>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78" w:name="fnref9_8"/>
      <w:bookmarkEnd w:id="78"/>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p>
    <w:p w14:paraId="75B7468A">
      <w:pPr>
        <w:numPr>
          <w:ilvl w:val="0"/>
          <w:numId w:val="3"/>
        </w:numPr>
        <w:spacing w:before="105" w:after="105" w:line="360" w:lineRule="auto"/>
      </w:pPr>
      <w:r>
        <w:rPr>
          <w:rFonts w:ascii="Georgia" w:hAnsi="Georgia" w:eastAsia="Georgia" w:cs="Georgia"/>
          <w:color w:val="000000"/>
          <w:sz w:val="21"/>
        </w:rPr>
        <w:t>Rough potential: If lifestyle‑related industries serving seniors total roughly 55.7 trillion yen in 2023, clothing is one of several large sub‑categories within this bucket; even a modest share (for example, several trillion yen annually) represents a meaningful market, though precise disaggregation is not publicly specified.</w:t>
      </w:r>
      <w:bookmarkStart w:id="79" w:name="fnref16_4"/>
      <w:bookmarkEnd w:id="79"/>
      <w:r>
        <w:fldChar w:fldCharType="begin"/>
      </w:r>
      <w:r>
        <w:instrText xml:space="preserve"> HYPERLINK \l "fn16" \h </w:instrText>
      </w:r>
      <w:r>
        <w:fldChar w:fldCharType="separate"/>
      </w:r>
      <w:r>
        <w:rPr>
          <w:rFonts w:ascii="helvetica neue" w:hAnsi="helvetica neue" w:eastAsia="helvetica neue" w:cs="helvetica neue"/>
          <w:color w:val="000000"/>
          <w:sz w:val="21"/>
          <w:u w:val="single"/>
          <w:vertAlign w:val="superscript"/>
        </w:rPr>
        <w:t>[16]</w:t>
      </w:r>
      <w:r>
        <w:rPr>
          <w:rFonts w:ascii="helvetica neue" w:hAnsi="helvetica neue" w:eastAsia="helvetica neue" w:cs="helvetica neue"/>
          <w:color w:val="000000"/>
          <w:sz w:val="21"/>
          <w:u w:val="single"/>
          <w:vertAlign w:val="superscript"/>
        </w:rPr>
        <w:fldChar w:fldCharType="end"/>
      </w:r>
    </w:p>
    <w:p w14:paraId="06206E68">
      <w:pPr>
        <w:spacing w:before="315" w:after="105" w:line="360" w:lineRule="auto"/>
        <w:ind w:left="-30"/>
        <w:jc w:val="left"/>
      </w:pPr>
      <w:bookmarkStart w:id="80" w:name="bm_5_2_food"/>
      <w:r>
        <w:rPr>
          <w:rFonts w:ascii="Georgia" w:hAnsi="Georgia" w:eastAsia="Georgia" w:cs="Georgia"/>
          <w:b/>
          <w:color w:val="000000"/>
          <w:sz w:val="24"/>
        </w:rPr>
        <w:t>5.2 Food</w:t>
      </w:r>
      <w:bookmarkEnd w:id="80"/>
    </w:p>
    <w:p w14:paraId="5FD3FB87">
      <w:pPr>
        <w:numPr>
          <w:ilvl w:val="0"/>
          <w:numId w:val="4"/>
        </w:numPr>
        <w:spacing w:before="105" w:after="105" w:line="360" w:lineRule="auto"/>
      </w:pPr>
      <w:r>
        <w:rPr>
          <w:rFonts w:ascii="Georgia" w:hAnsi="Georgia" w:eastAsia="Georgia" w:cs="Georgia"/>
          <w:color w:val="000000"/>
          <w:sz w:val="21"/>
        </w:rPr>
        <w:t>Current data: Food is the largest component of household expenditure, including for elderly households. Aging increases demand for easy‑to‑chew, healthy, small‑portion and ready‑to‑eat foods, as well as services like home‑delivered meals.</w:t>
      </w:r>
      <w:bookmarkStart w:id="81" w:name="fnref13_1"/>
      <w:bookmarkEnd w:id="81"/>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82" w:name="fnref10_8"/>
      <w:bookmarkEnd w:id="82"/>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83" w:name="fnref4_5"/>
      <w:bookmarkEnd w:id="83"/>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p>
    <w:p w14:paraId="00A6CE5A">
      <w:pPr>
        <w:numPr>
          <w:ilvl w:val="0"/>
          <w:numId w:val="4"/>
        </w:numPr>
        <w:spacing w:before="105" w:after="105" w:line="360" w:lineRule="auto"/>
      </w:pPr>
      <w:r>
        <w:rPr>
          <w:rFonts w:ascii="Georgia" w:hAnsi="Georgia" w:eastAsia="Georgia" w:cs="Georgia"/>
          <w:color w:val="000000"/>
          <w:sz w:val="21"/>
        </w:rPr>
        <w:t>Trend: While total food expenditure per household has declined in the long run, health‑oriented and convenience‑oriented segments (functional foods, low‑salt products, meal kits) are expanding in response to seniors’ needs and health consciousness.</w:t>
      </w:r>
      <w:bookmarkStart w:id="84" w:name="fnref14_1"/>
      <w:bookmarkEnd w:id="84"/>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bookmarkStart w:id="85" w:name="fnref13_2"/>
      <w:bookmarkEnd w:id="85"/>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86" w:name="fnref9_9"/>
      <w:bookmarkEnd w:id="86"/>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p>
    <w:p w14:paraId="5D63DAD7">
      <w:pPr>
        <w:numPr>
          <w:ilvl w:val="0"/>
          <w:numId w:val="4"/>
        </w:numPr>
        <w:spacing w:before="105" w:after="105" w:line="360" w:lineRule="auto"/>
      </w:pPr>
      <w:r>
        <w:rPr>
          <w:rFonts w:ascii="Georgia" w:hAnsi="Georgia" w:eastAsia="Georgia" w:cs="Georgia"/>
          <w:color w:val="000000"/>
          <w:sz w:val="21"/>
        </w:rPr>
        <w:t>Rough potential: Given that food represents the biggest share of elderly consumption, it likely accounts for a substantial portion of the 55.7 trillion yen “lifestyle” component of the longevity economy, suggesting a senior food market in the tens of trillions of yen annually when including both retail and services.</w:t>
      </w:r>
      <w:bookmarkStart w:id="87" w:name="fnref10_9"/>
      <w:bookmarkEnd w:id="87"/>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88" w:name="fnref16_5"/>
      <w:bookmarkEnd w:id="88"/>
      <w:r>
        <w:fldChar w:fldCharType="begin"/>
      </w:r>
      <w:r>
        <w:instrText xml:space="preserve"> HYPERLINK \l "fn16" \h </w:instrText>
      </w:r>
      <w:r>
        <w:fldChar w:fldCharType="separate"/>
      </w:r>
      <w:r>
        <w:rPr>
          <w:rFonts w:ascii="helvetica neue" w:hAnsi="helvetica neue" w:eastAsia="helvetica neue" w:cs="helvetica neue"/>
          <w:color w:val="000000"/>
          <w:sz w:val="21"/>
          <w:u w:val="single"/>
          <w:vertAlign w:val="superscript"/>
        </w:rPr>
        <w:t>[16]</w:t>
      </w:r>
      <w:r>
        <w:rPr>
          <w:rFonts w:ascii="helvetica neue" w:hAnsi="helvetica neue" w:eastAsia="helvetica neue" w:cs="helvetica neue"/>
          <w:color w:val="000000"/>
          <w:sz w:val="21"/>
          <w:u w:val="single"/>
          <w:vertAlign w:val="superscript"/>
        </w:rPr>
        <w:fldChar w:fldCharType="end"/>
      </w:r>
    </w:p>
    <w:p w14:paraId="16E1158E">
      <w:pPr>
        <w:spacing w:before="315" w:after="105" w:line="360" w:lineRule="auto"/>
        <w:ind w:left="-30"/>
        <w:jc w:val="left"/>
      </w:pPr>
      <w:bookmarkStart w:id="89" w:name="bm_5_3_housing"/>
      <w:r>
        <w:rPr>
          <w:rFonts w:ascii="Georgia" w:hAnsi="Georgia" w:eastAsia="Georgia" w:cs="Georgia"/>
          <w:b/>
          <w:color w:val="000000"/>
          <w:sz w:val="24"/>
        </w:rPr>
        <w:t>5.3 Housing</w:t>
      </w:r>
      <w:bookmarkEnd w:id="89"/>
    </w:p>
    <w:p w14:paraId="60BF07D5">
      <w:pPr>
        <w:numPr>
          <w:ilvl w:val="0"/>
          <w:numId w:val="5"/>
        </w:numPr>
        <w:spacing w:before="105" w:after="105" w:line="360" w:lineRule="auto"/>
      </w:pPr>
      <w:r>
        <w:rPr>
          <w:rFonts w:ascii="Georgia" w:hAnsi="Georgia" w:eastAsia="Georgia" w:cs="Georgia"/>
          <w:color w:val="000000"/>
          <w:sz w:val="21"/>
        </w:rPr>
        <w:t>Current data: Housing expenditure (rent, mortgage, maintenance) is relatively stable in aggregate but varies by age; seniors more often own homes outright but must invest in maintenance, energy efficiency, and barrier‑free renovations.</w:t>
      </w:r>
      <w:bookmarkStart w:id="90" w:name="fnref10_10"/>
      <w:bookmarkEnd w:id="90"/>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p>
    <w:p w14:paraId="110712D4">
      <w:pPr>
        <w:numPr>
          <w:ilvl w:val="0"/>
          <w:numId w:val="5"/>
        </w:numPr>
        <w:spacing w:before="105" w:after="105" w:line="360" w:lineRule="auto"/>
      </w:pPr>
      <w:r>
        <w:rPr>
          <w:rFonts w:ascii="Georgia" w:hAnsi="Georgia" w:eastAsia="Georgia" w:cs="Georgia"/>
          <w:color w:val="000000"/>
          <w:sz w:val="21"/>
        </w:rPr>
        <w:t>Trend: With the rise of single elderly households and “aging in place” policies, demand is increasing for compact, accessible housing, retrofitting (grab bars, step‑free bathrooms), and senior‑friendly service apartments.</w:t>
      </w:r>
      <w:bookmarkStart w:id="91" w:name="fnref18"/>
      <w:bookmarkEnd w:id="91"/>
      <w:r>
        <w:fldChar w:fldCharType="begin"/>
      </w:r>
      <w:r>
        <w:instrText xml:space="preserve"> HYPERLINK \l "fn18" \h </w:instrText>
      </w:r>
      <w:r>
        <w:fldChar w:fldCharType="separate"/>
      </w:r>
      <w:r>
        <w:rPr>
          <w:rFonts w:ascii="helvetica neue" w:hAnsi="helvetica neue" w:eastAsia="helvetica neue" w:cs="helvetica neue"/>
          <w:color w:val="000000"/>
          <w:sz w:val="21"/>
          <w:u w:val="single"/>
          <w:vertAlign w:val="superscript"/>
        </w:rPr>
        <w:t>[18]</w:t>
      </w:r>
      <w:r>
        <w:rPr>
          <w:rFonts w:ascii="helvetica neue" w:hAnsi="helvetica neue" w:eastAsia="helvetica neue" w:cs="helvetica neue"/>
          <w:color w:val="000000"/>
          <w:sz w:val="21"/>
          <w:u w:val="single"/>
          <w:vertAlign w:val="superscript"/>
        </w:rPr>
        <w:fldChar w:fldCharType="end"/>
      </w:r>
      <w:bookmarkStart w:id="92" w:name="fnref8_1"/>
      <w:bookmarkEnd w:id="92"/>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bookmarkStart w:id="93" w:name="fnref14_2"/>
      <w:bookmarkEnd w:id="93"/>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p>
    <w:p w14:paraId="2CE884FF">
      <w:pPr>
        <w:numPr>
          <w:ilvl w:val="0"/>
          <w:numId w:val="5"/>
        </w:numPr>
        <w:spacing w:before="105" w:after="105" w:line="360" w:lineRule="auto"/>
      </w:pPr>
      <w:r>
        <w:rPr>
          <w:rFonts w:ascii="Georgia" w:hAnsi="Georgia" w:eastAsia="Georgia" w:cs="Georgia"/>
          <w:color w:val="000000"/>
          <w:sz w:val="21"/>
        </w:rPr>
        <w:t>Rough potential: Lifestyle‑related industries in the longevity economy (55.7 trillion yen in 2023) include housing‑related goods and services; combined with public support for home renovation and long‑term care infrastructure, this suggests a multi‑trillion‑yen annual market in housing adaptations and related services for seniors.</w:t>
      </w:r>
      <w:bookmarkStart w:id="94" w:name="fnref18_1"/>
      <w:bookmarkEnd w:id="94"/>
      <w:r>
        <w:fldChar w:fldCharType="begin"/>
      </w:r>
      <w:r>
        <w:instrText xml:space="preserve"> HYPERLINK \l "fn18" \h </w:instrText>
      </w:r>
      <w:r>
        <w:fldChar w:fldCharType="separate"/>
      </w:r>
      <w:r>
        <w:rPr>
          <w:rFonts w:ascii="helvetica neue" w:hAnsi="helvetica neue" w:eastAsia="helvetica neue" w:cs="helvetica neue"/>
          <w:color w:val="000000"/>
          <w:sz w:val="21"/>
          <w:u w:val="single"/>
          <w:vertAlign w:val="superscript"/>
        </w:rPr>
        <w:t>[18]</w:t>
      </w:r>
      <w:r>
        <w:rPr>
          <w:rFonts w:ascii="helvetica neue" w:hAnsi="helvetica neue" w:eastAsia="helvetica neue" w:cs="helvetica neue"/>
          <w:color w:val="000000"/>
          <w:sz w:val="21"/>
          <w:u w:val="single"/>
          <w:vertAlign w:val="superscript"/>
        </w:rPr>
        <w:fldChar w:fldCharType="end"/>
      </w:r>
      <w:bookmarkStart w:id="95" w:name="fnref16_6"/>
      <w:bookmarkEnd w:id="95"/>
      <w:r>
        <w:fldChar w:fldCharType="begin"/>
      </w:r>
      <w:r>
        <w:instrText xml:space="preserve"> HYPERLINK \l "fn16" \h </w:instrText>
      </w:r>
      <w:r>
        <w:fldChar w:fldCharType="separate"/>
      </w:r>
      <w:r>
        <w:rPr>
          <w:rFonts w:ascii="helvetica neue" w:hAnsi="helvetica neue" w:eastAsia="helvetica neue" w:cs="helvetica neue"/>
          <w:color w:val="000000"/>
          <w:sz w:val="21"/>
          <w:u w:val="single"/>
          <w:vertAlign w:val="superscript"/>
        </w:rPr>
        <w:t>[16]</w:t>
      </w:r>
      <w:r>
        <w:rPr>
          <w:rFonts w:ascii="helvetica neue" w:hAnsi="helvetica neue" w:eastAsia="helvetica neue" w:cs="helvetica neue"/>
          <w:color w:val="000000"/>
          <w:sz w:val="21"/>
          <w:u w:val="single"/>
          <w:vertAlign w:val="superscript"/>
        </w:rPr>
        <w:fldChar w:fldCharType="end"/>
      </w:r>
    </w:p>
    <w:p w14:paraId="4E4D7CC5">
      <w:pPr>
        <w:spacing w:before="315" w:after="105" w:line="360" w:lineRule="auto"/>
        <w:ind w:left="-30"/>
        <w:jc w:val="left"/>
      </w:pPr>
      <w:bookmarkStart w:id="96" w:name="bm_5_4_transportation"/>
      <w:r>
        <w:rPr>
          <w:rFonts w:ascii="Georgia" w:hAnsi="Georgia" w:eastAsia="Georgia" w:cs="Georgia"/>
          <w:b/>
          <w:color w:val="000000"/>
          <w:sz w:val="24"/>
        </w:rPr>
        <w:t>5.4 Transportation</w:t>
      </w:r>
      <w:bookmarkEnd w:id="96"/>
    </w:p>
    <w:p w14:paraId="1596AB38">
      <w:pPr>
        <w:numPr>
          <w:ilvl w:val="0"/>
          <w:numId w:val="6"/>
        </w:numPr>
        <w:spacing w:before="105" w:after="105" w:line="360" w:lineRule="auto"/>
      </w:pPr>
      <w:r>
        <w:rPr>
          <w:rFonts w:ascii="Georgia" w:hAnsi="Georgia" w:eastAsia="Georgia" w:cs="Georgia"/>
          <w:color w:val="000000"/>
          <w:sz w:val="21"/>
        </w:rPr>
        <w:t>Current data: Transportation and communication expenditures have risen over time, with older consumers using a mix of public transport, private cars, and increasingly, digital communication tools.</w:t>
      </w:r>
      <w:bookmarkStart w:id="97" w:name="fnref9_10"/>
      <w:bookmarkEnd w:id="97"/>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bookmarkStart w:id="98" w:name="fnref10_11"/>
      <w:bookmarkEnd w:id="98"/>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p>
    <w:p w14:paraId="1160F689">
      <w:pPr>
        <w:numPr>
          <w:ilvl w:val="0"/>
          <w:numId w:val="6"/>
        </w:numPr>
        <w:spacing w:before="105" w:after="105" w:line="360" w:lineRule="auto"/>
      </w:pPr>
      <w:r>
        <w:rPr>
          <w:rFonts w:ascii="Georgia" w:hAnsi="Georgia" w:eastAsia="Georgia" w:cs="Georgia"/>
          <w:color w:val="000000"/>
          <w:sz w:val="21"/>
        </w:rPr>
        <w:t>Trend: As driving by very old seniors becomes a concern, policy and market responses include improved public transit access, on‑demand mobility services, and support for “last‑mile” solutions in suburban and rural areas. At the same time, communication technologies (smartphones, tablets, remote services) become more embedded in daily life.</w:t>
      </w:r>
      <w:bookmarkStart w:id="99" w:name="fnref19"/>
      <w:bookmarkEnd w:id="99"/>
      <w:r>
        <w:fldChar w:fldCharType="begin"/>
      </w:r>
      <w:r>
        <w:instrText xml:space="preserve"> HYPERLINK \l "fn19" \h </w:instrText>
      </w:r>
      <w:r>
        <w:fldChar w:fldCharType="separate"/>
      </w:r>
      <w:r>
        <w:rPr>
          <w:rFonts w:ascii="helvetica neue" w:hAnsi="helvetica neue" w:eastAsia="helvetica neue" w:cs="helvetica neue"/>
          <w:color w:val="000000"/>
          <w:sz w:val="21"/>
          <w:u w:val="single"/>
          <w:vertAlign w:val="superscript"/>
        </w:rPr>
        <w:t>[19]</w:t>
      </w:r>
      <w:r>
        <w:rPr>
          <w:rFonts w:ascii="helvetica neue" w:hAnsi="helvetica neue" w:eastAsia="helvetica neue" w:cs="helvetica neue"/>
          <w:color w:val="000000"/>
          <w:sz w:val="21"/>
          <w:u w:val="single"/>
          <w:vertAlign w:val="superscript"/>
        </w:rPr>
        <w:fldChar w:fldCharType="end"/>
      </w:r>
      <w:bookmarkStart w:id="100" w:name="fnref18_2"/>
      <w:bookmarkEnd w:id="100"/>
      <w:r>
        <w:fldChar w:fldCharType="begin"/>
      </w:r>
      <w:r>
        <w:instrText xml:space="preserve"> HYPERLINK \l "fn18" \h </w:instrText>
      </w:r>
      <w:r>
        <w:fldChar w:fldCharType="separate"/>
      </w:r>
      <w:r>
        <w:rPr>
          <w:rFonts w:ascii="helvetica neue" w:hAnsi="helvetica neue" w:eastAsia="helvetica neue" w:cs="helvetica neue"/>
          <w:color w:val="000000"/>
          <w:sz w:val="21"/>
          <w:u w:val="single"/>
          <w:vertAlign w:val="superscript"/>
        </w:rPr>
        <w:t>[18]</w:t>
      </w:r>
      <w:r>
        <w:rPr>
          <w:rFonts w:ascii="helvetica neue" w:hAnsi="helvetica neue" w:eastAsia="helvetica neue" w:cs="helvetica neue"/>
          <w:color w:val="000000"/>
          <w:sz w:val="21"/>
          <w:u w:val="single"/>
          <w:vertAlign w:val="superscript"/>
        </w:rPr>
        <w:fldChar w:fldCharType="end"/>
      </w:r>
    </w:p>
    <w:p w14:paraId="5D2228D4">
      <w:pPr>
        <w:numPr>
          <w:ilvl w:val="0"/>
          <w:numId w:val="6"/>
        </w:numPr>
        <w:spacing w:before="105" w:after="105" w:line="360" w:lineRule="auto"/>
      </w:pPr>
      <w:r>
        <w:rPr>
          <w:rFonts w:ascii="Georgia" w:hAnsi="Georgia" w:eastAsia="Georgia" w:cs="Georgia"/>
          <w:color w:val="000000"/>
          <w:sz w:val="21"/>
        </w:rPr>
        <w:t>Rough potential: Transport and communication are the second‑largest spending group after food in many household surveys; for seniors this suggests a sizable market for mobility services, communication contracts, and related equipment within the broader lifestyle segment of the longevity economy.</w:t>
      </w:r>
      <w:bookmarkStart w:id="101" w:name="fnref16_7"/>
      <w:bookmarkEnd w:id="101"/>
      <w:r>
        <w:fldChar w:fldCharType="begin"/>
      </w:r>
      <w:r>
        <w:instrText xml:space="preserve"> HYPERLINK \l "fn16" \h </w:instrText>
      </w:r>
      <w:r>
        <w:fldChar w:fldCharType="separate"/>
      </w:r>
      <w:r>
        <w:rPr>
          <w:rFonts w:ascii="helvetica neue" w:hAnsi="helvetica neue" w:eastAsia="helvetica neue" w:cs="helvetica neue"/>
          <w:color w:val="000000"/>
          <w:sz w:val="21"/>
          <w:u w:val="single"/>
          <w:vertAlign w:val="superscript"/>
        </w:rPr>
        <w:t>[16]</w:t>
      </w:r>
      <w:r>
        <w:rPr>
          <w:rFonts w:ascii="helvetica neue" w:hAnsi="helvetica neue" w:eastAsia="helvetica neue" w:cs="helvetica neue"/>
          <w:color w:val="000000"/>
          <w:sz w:val="21"/>
          <w:u w:val="single"/>
          <w:vertAlign w:val="superscript"/>
        </w:rPr>
        <w:fldChar w:fldCharType="end"/>
      </w:r>
      <w:bookmarkStart w:id="102" w:name="fnref10_12"/>
      <w:bookmarkEnd w:id="102"/>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103" w:name="fnref9_11"/>
      <w:bookmarkEnd w:id="103"/>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p>
    <w:p w14:paraId="06A701A4">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1B05ED38">
      <w:pPr>
        <w:spacing w:before="315" w:after="105" w:line="360" w:lineRule="auto"/>
        <w:ind w:left="-30"/>
        <w:jc w:val="left"/>
      </w:pPr>
      <w:bookmarkStart w:id="104" w:name="bm_6_other_key_segments_healthcar_aa1d3f"/>
      <w:r>
        <w:rPr>
          <w:rFonts w:ascii="Georgia" w:hAnsi="Georgia" w:eastAsia="Georgia" w:cs="Georgia"/>
          <w:b/>
          <w:color w:val="000000"/>
          <w:sz w:val="24"/>
        </w:rPr>
        <w:t>6. Other Key Segments: Healthcare, Nursing Care, and Leisure</w:t>
      </w:r>
      <w:bookmarkEnd w:id="104"/>
    </w:p>
    <w:p w14:paraId="4CFB6CB0">
      <w:pPr>
        <w:spacing w:before="315" w:after="105" w:line="360" w:lineRule="auto"/>
        <w:ind w:left="-30"/>
        <w:jc w:val="left"/>
      </w:pPr>
      <w:bookmarkStart w:id="105" w:name="bm_6_1_healthcare_and_nursing_care"/>
      <w:r>
        <w:rPr>
          <w:rFonts w:ascii="Georgia" w:hAnsi="Georgia" w:eastAsia="Georgia" w:cs="Georgia"/>
          <w:b/>
          <w:color w:val="000000"/>
          <w:sz w:val="24"/>
        </w:rPr>
        <w:t>6.1 Healthcare and nursing care</w:t>
      </w:r>
      <w:bookmarkEnd w:id="105"/>
    </w:p>
    <w:p w14:paraId="162A0519">
      <w:pPr>
        <w:spacing w:after="210" w:line="360" w:lineRule="auto"/>
      </w:pPr>
      <w:r>
        <w:rPr>
          <w:rFonts w:ascii="Georgia" w:hAnsi="Georgia" w:eastAsia="Georgia" w:cs="Georgia"/>
          <w:color w:val="000000"/>
        </w:rPr>
        <w:t>Japan’s healthcare and nursing care markets are growing rapidly due to aging and rising medical costs. In 2023, the elderly healthcare market was estimated at about 29 trillion yen, and nursing care at about 11.7 trillion yen, together forming roughly 40 trillion yen of the longevity economy. Policy priorities to reduce medical and nursing expenditure burdens encourage preventive health, telemedicine, and home care models, all of which rely on a combination of medical and consumer spending.</w:t>
      </w:r>
      <w:bookmarkStart w:id="106" w:name="fnref13_3"/>
      <w:bookmarkEnd w:id="106"/>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bookmarkStart w:id="107" w:name="fnref18_3"/>
      <w:bookmarkEnd w:id="107"/>
      <w:r>
        <w:fldChar w:fldCharType="begin"/>
      </w:r>
      <w:r>
        <w:instrText xml:space="preserve"> HYPERLINK \l "fn18" \h </w:instrText>
      </w:r>
      <w:r>
        <w:fldChar w:fldCharType="separate"/>
      </w:r>
      <w:r>
        <w:rPr>
          <w:rFonts w:ascii="helvetica neue" w:hAnsi="helvetica neue" w:eastAsia="helvetica neue" w:cs="helvetica neue"/>
          <w:color w:val="000000"/>
          <w:u w:val="single"/>
          <w:vertAlign w:val="superscript"/>
        </w:rPr>
        <w:t>[18]</w:t>
      </w:r>
      <w:r>
        <w:rPr>
          <w:rFonts w:ascii="helvetica neue" w:hAnsi="helvetica neue" w:eastAsia="helvetica neue" w:cs="helvetica neue"/>
          <w:color w:val="000000"/>
          <w:u w:val="single"/>
          <w:vertAlign w:val="superscript"/>
        </w:rPr>
        <w:fldChar w:fldCharType="end"/>
      </w:r>
      <w:bookmarkStart w:id="108" w:name="fnref16_8"/>
      <w:bookmarkEnd w:id="108"/>
      <w:r>
        <w:fldChar w:fldCharType="begin"/>
      </w:r>
      <w:r>
        <w:instrText xml:space="preserve"> HYPERLINK \l "fn16" \h </w:instrText>
      </w:r>
      <w:r>
        <w:fldChar w:fldCharType="separate"/>
      </w:r>
      <w:r>
        <w:rPr>
          <w:rFonts w:ascii="helvetica neue" w:hAnsi="helvetica neue" w:eastAsia="helvetica neue" w:cs="helvetica neue"/>
          <w:color w:val="000000"/>
          <w:u w:val="single"/>
          <w:vertAlign w:val="superscript"/>
        </w:rPr>
        <w:t>[16]</w:t>
      </w:r>
      <w:r>
        <w:rPr>
          <w:rFonts w:ascii="helvetica neue" w:hAnsi="helvetica neue" w:eastAsia="helvetica neue" w:cs="helvetica neue"/>
          <w:color w:val="000000"/>
          <w:u w:val="single"/>
          <w:vertAlign w:val="superscript"/>
        </w:rPr>
        <w:fldChar w:fldCharType="end"/>
      </w:r>
    </w:p>
    <w:p w14:paraId="1DCC9411">
      <w:pPr>
        <w:spacing w:before="315" w:after="105" w:line="360" w:lineRule="auto"/>
        <w:ind w:left="-30"/>
        <w:jc w:val="left"/>
      </w:pPr>
      <w:bookmarkStart w:id="109" w:name="bm_6_2_leisure_tourism_and_education"/>
      <w:r>
        <w:rPr>
          <w:rFonts w:ascii="Georgia" w:hAnsi="Georgia" w:eastAsia="Georgia" w:cs="Georgia"/>
          <w:b/>
          <w:color w:val="000000"/>
          <w:sz w:val="24"/>
        </w:rPr>
        <w:t>6.2 Leisure, tourism, and education</w:t>
      </w:r>
      <w:bookmarkEnd w:id="109"/>
    </w:p>
    <w:p w14:paraId="6DEEFD14">
      <w:pPr>
        <w:spacing w:after="210" w:line="360" w:lineRule="auto"/>
      </w:pPr>
      <w:r>
        <w:rPr>
          <w:rFonts w:ascii="Georgia" w:hAnsi="Georgia" w:eastAsia="Georgia" w:cs="Georgia"/>
          <w:color w:val="000000"/>
        </w:rPr>
        <w:t>Surveys and market reports indicate that seniors spend on hobbies, gardening, cultural activities, domestic travel, and continuing education, seeking to stay “genki” (energetic) and socially engaged. Leisure‑related consumption is supported by high health awareness and the desire for quality of life, with opportunities in wellness tourism, hobby goods, community clubs, and online content tailored to older adults.</w:t>
      </w:r>
      <w:bookmarkStart w:id="110" w:name="fnref14_3"/>
      <w:bookmarkEnd w:id="110"/>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bookmarkStart w:id="111" w:name="fnref12_2"/>
      <w:bookmarkEnd w:id="111"/>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112" w:name="fnref10_13"/>
      <w:bookmarkEnd w:id="112"/>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p>
    <w:p w14:paraId="0DBB3D10">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08637B0A">
      <w:pPr>
        <w:spacing w:before="315" w:after="105" w:line="360" w:lineRule="auto"/>
        <w:ind w:left="-30"/>
        <w:jc w:val="left"/>
      </w:pPr>
      <w:bookmarkStart w:id="113" w:name="bm_7_elderly_consumer_willingness_a5c164"/>
      <w:r>
        <w:rPr>
          <w:rFonts w:ascii="Georgia" w:hAnsi="Georgia" w:eastAsia="Georgia" w:cs="Georgia"/>
          <w:b/>
          <w:color w:val="000000"/>
          <w:sz w:val="24"/>
        </w:rPr>
        <w:t>7. Elderly Consumer Willingness: Income, Assets, and Health</w:t>
      </w:r>
      <w:bookmarkEnd w:id="113"/>
    </w:p>
    <w:p w14:paraId="2F0335FE">
      <w:pPr>
        <w:spacing w:before="315" w:after="105" w:line="360" w:lineRule="auto"/>
        <w:ind w:left="-30"/>
        <w:jc w:val="left"/>
      </w:pPr>
      <w:bookmarkStart w:id="114" w:name="bm_7_1_income_and_asset_structure"/>
      <w:r>
        <w:rPr>
          <w:rFonts w:ascii="Georgia" w:hAnsi="Georgia" w:eastAsia="Georgia" w:cs="Georgia"/>
          <w:b/>
          <w:color w:val="000000"/>
          <w:sz w:val="24"/>
        </w:rPr>
        <w:t>7.1 Income and asset structure</w:t>
      </w:r>
      <w:bookmarkEnd w:id="114"/>
    </w:p>
    <w:p w14:paraId="25A07916">
      <w:pPr>
        <w:spacing w:after="210" w:line="360" w:lineRule="auto"/>
      </w:pPr>
      <w:r>
        <w:rPr>
          <w:rFonts w:ascii="Georgia" w:hAnsi="Georgia" w:eastAsia="Georgia" w:cs="Georgia"/>
          <w:color w:val="000000"/>
        </w:rPr>
        <w:t>Research using FIES microdata and macro‑economic studies by institutions like the IMF shows that household consumption in Japan is strongly influenced by income and asset dynamics, and that aging tends to increase the role of assets in financing consumption. Older Japanese often have lower labor income but relatively high financial and housing assets, which can support consumption in retirement, though many remain cautious due to uncertainty about future health and long‑term care costs.</w:t>
      </w:r>
      <w:bookmarkStart w:id="115" w:name="fnref2_1"/>
      <w:bookmarkEnd w:id="115"/>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bookmarkStart w:id="116" w:name="fnref20"/>
      <w:bookmarkEnd w:id="116"/>
      <w:r>
        <w:fldChar w:fldCharType="begin"/>
      </w:r>
      <w:r>
        <w:instrText xml:space="preserve"> HYPERLINK \l "fn20" \h </w:instrText>
      </w:r>
      <w:r>
        <w:fldChar w:fldCharType="separate"/>
      </w:r>
      <w:r>
        <w:rPr>
          <w:rFonts w:ascii="helvetica neue" w:hAnsi="helvetica neue" w:eastAsia="helvetica neue" w:cs="helvetica neue"/>
          <w:color w:val="000000"/>
          <w:u w:val="single"/>
          <w:vertAlign w:val="superscript"/>
        </w:rPr>
        <w:t>[20]</w:t>
      </w:r>
      <w:r>
        <w:rPr>
          <w:rFonts w:ascii="helvetica neue" w:hAnsi="helvetica neue" w:eastAsia="helvetica neue" w:cs="helvetica neue"/>
          <w:color w:val="000000"/>
          <w:u w:val="single"/>
          <w:vertAlign w:val="superscript"/>
        </w:rPr>
        <w:fldChar w:fldCharType="end"/>
      </w:r>
      <w:bookmarkStart w:id="117" w:name="fnref9_12"/>
      <w:bookmarkEnd w:id="117"/>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p>
    <w:p w14:paraId="796B0B00">
      <w:pPr>
        <w:spacing w:before="315" w:after="105" w:line="360" w:lineRule="auto"/>
        <w:ind w:left="-30"/>
        <w:jc w:val="left"/>
      </w:pPr>
      <w:bookmarkStart w:id="118" w:name="bm_7_2_precautionary_saving_and_r_cc9d28"/>
      <w:r>
        <w:rPr>
          <w:rFonts w:ascii="Georgia" w:hAnsi="Georgia" w:eastAsia="Georgia" w:cs="Georgia"/>
          <w:b/>
          <w:color w:val="000000"/>
          <w:sz w:val="24"/>
        </w:rPr>
        <w:t>7.2 Precautionary saving and risk aversion</w:t>
      </w:r>
      <w:bookmarkEnd w:id="118"/>
    </w:p>
    <w:p w14:paraId="0C8A01F1">
      <w:pPr>
        <w:spacing w:after="210" w:line="360" w:lineRule="auto"/>
      </w:pPr>
      <w:r>
        <w:rPr>
          <w:rFonts w:ascii="Georgia" w:hAnsi="Georgia" w:eastAsia="Georgia" w:cs="Georgia"/>
          <w:color w:val="000000"/>
        </w:rPr>
        <w:t>Analyses of Japanese consumption behavior highlight long‑standing issues such as weak income growth, deflationary expectations, and concern about the future, which contribute to a relatively high propensity to save, particularly among older cohorts. Studies on willingness to pay for extended longevity suggest that while people place high value on additional healthy life years, they are also sensitive to out‑of‑pocket medical and care costs, which shapes spending choices.</w:t>
      </w:r>
      <w:bookmarkStart w:id="119" w:name="fnref11_1"/>
      <w:bookmarkEnd w:id="119"/>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120" w:name="fnref20_1"/>
      <w:bookmarkEnd w:id="120"/>
      <w:r>
        <w:fldChar w:fldCharType="begin"/>
      </w:r>
      <w:r>
        <w:instrText xml:space="preserve"> HYPERLINK \l "fn20" \h </w:instrText>
      </w:r>
      <w:r>
        <w:fldChar w:fldCharType="separate"/>
      </w:r>
      <w:r>
        <w:rPr>
          <w:rFonts w:ascii="helvetica neue" w:hAnsi="helvetica neue" w:eastAsia="helvetica neue" w:cs="helvetica neue"/>
          <w:color w:val="000000"/>
          <w:u w:val="single"/>
          <w:vertAlign w:val="superscript"/>
        </w:rPr>
        <w:t>[20]</w:t>
      </w:r>
      <w:r>
        <w:rPr>
          <w:rFonts w:ascii="helvetica neue" w:hAnsi="helvetica neue" w:eastAsia="helvetica neue" w:cs="helvetica neue"/>
          <w:color w:val="000000"/>
          <w:u w:val="single"/>
          <w:vertAlign w:val="superscript"/>
        </w:rPr>
        <w:fldChar w:fldCharType="end"/>
      </w:r>
      <w:bookmarkStart w:id="121" w:name="fnref2_2"/>
      <w:bookmarkEnd w:id="121"/>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bookmarkStart w:id="122" w:name="fnref13_4"/>
      <w:bookmarkEnd w:id="122"/>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p>
    <w:p w14:paraId="4BA3DFB7">
      <w:pPr>
        <w:spacing w:before="315" w:after="105" w:line="360" w:lineRule="auto"/>
        <w:ind w:left="-30"/>
        <w:jc w:val="left"/>
      </w:pPr>
      <w:bookmarkStart w:id="123" w:name="bm_7_3_health_status_and_function_d06642"/>
      <w:r>
        <w:rPr>
          <w:rFonts w:ascii="Georgia" w:hAnsi="Georgia" w:eastAsia="Georgia" w:cs="Georgia"/>
          <w:b/>
          <w:color w:val="000000"/>
          <w:sz w:val="24"/>
        </w:rPr>
        <w:t>7.3 Health status and functional ability</w:t>
      </w:r>
      <w:bookmarkEnd w:id="123"/>
    </w:p>
    <w:p w14:paraId="3D5FA7CF">
      <w:pPr>
        <w:spacing w:after="210" w:line="360" w:lineRule="auto"/>
      </w:pPr>
      <w:r>
        <w:rPr>
          <w:rFonts w:ascii="Georgia" w:hAnsi="Georgia" w:eastAsia="Georgia" w:cs="Georgia"/>
          <w:color w:val="000000"/>
        </w:rPr>
        <w:t>Health is consistently ranked as the most important factor in life by Japanese consumers, with a government survey reporting that over 97% of respondents see health as crucial. Good health and mobility increase willingness to spend on travel, leisure, and lifestyle goods, while deteriorating health shifts expenditure toward medical and nursing services and may constrain discretionary spending.</w:t>
      </w:r>
      <w:bookmarkStart w:id="124" w:name="fnref13_5"/>
      <w:bookmarkEnd w:id="124"/>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bookmarkStart w:id="125" w:name="fnref14_4"/>
      <w:bookmarkEnd w:id="125"/>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p>
    <w:p w14:paraId="7E30B1A0">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7C830A25">
      <w:pPr>
        <w:spacing w:before="315" w:after="105" w:line="360" w:lineRule="auto"/>
        <w:ind w:left="-30"/>
        <w:jc w:val="left"/>
      </w:pPr>
      <w:bookmarkStart w:id="126" w:name="bm_8_future_evolution_of_elderly_b4957a"/>
      <w:r>
        <w:rPr>
          <w:rFonts w:ascii="Georgia" w:hAnsi="Georgia" w:eastAsia="Georgia" w:cs="Georgia"/>
          <w:b/>
          <w:color w:val="000000"/>
          <w:sz w:val="24"/>
        </w:rPr>
        <w:t>8. Future Evolution of Elderly Consumption Habits</w:t>
      </w:r>
      <w:bookmarkEnd w:id="126"/>
    </w:p>
    <w:p w14:paraId="15339E98">
      <w:pPr>
        <w:spacing w:before="315" w:after="105" w:line="360" w:lineRule="auto"/>
        <w:ind w:left="-30"/>
        <w:jc w:val="left"/>
      </w:pPr>
      <w:bookmarkStart w:id="127" w:name="bm_8_1_technology_adoption_and_di_f22973"/>
      <w:r>
        <w:rPr>
          <w:rFonts w:ascii="Georgia" w:hAnsi="Georgia" w:eastAsia="Georgia" w:cs="Georgia"/>
          <w:b/>
          <w:color w:val="000000"/>
          <w:sz w:val="24"/>
        </w:rPr>
        <w:t>8.1 Technology adoption and digital services</w:t>
      </w:r>
      <w:bookmarkEnd w:id="127"/>
    </w:p>
    <w:p w14:paraId="5636EF72">
      <w:pPr>
        <w:spacing w:after="210" w:line="360" w:lineRule="auto"/>
      </w:pPr>
      <w:r>
        <w:rPr>
          <w:rFonts w:ascii="Georgia" w:hAnsi="Georgia" w:eastAsia="Georgia" w:cs="Georgia"/>
          <w:color w:val="000000"/>
        </w:rPr>
        <w:t>Reports on seniors in Japan emphasize rapid growth in telemedicine, remote monitoring, and smart‑home solutions, supported by government initiatives for “aging in place”. Marketing studies also note increasing adoption of smartphones, online shopping, and digital platforms among older consumers, provided that interfaces are simple and support is available.</w:t>
      </w:r>
      <w:bookmarkStart w:id="128" w:name="fnref12_3"/>
      <w:bookmarkEnd w:id="128"/>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129" w:name="fnref18_4"/>
      <w:bookmarkEnd w:id="129"/>
      <w:r>
        <w:fldChar w:fldCharType="begin"/>
      </w:r>
      <w:r>
        <w:instrText xml:space="preserve"> HYPERLINK \l "fn18" \h </w:instrText>
      </w:r>
      <w:r>
        <w:fldChar w:fldCharType="separate"/>
      </w:r>
      <w:r>
        <w:rPr>
          <w:rFonts w:ascii="helvetica neue" w:hAnsi="helvetica neue" w:eastAsia="helvetica neue" w:cs="helvetica neue"/>
          <w:color w:val="000000"/>
          <w:u w:val="single"/>
          <w:vertAlign w:val="superscript"/>
        </w:rPr>
        <w:t>[18]</w:t>
      </w:r>
      <w:r>
        <w:rPr>
          <w:rFonts w:ascii="helvetica neue" w:hAnsi="helvetica neue" w:eastAsia="helvetica neue" w:cs="helvetica neue"/>
          <w:color w:val="000000"/>
          <w:u w:val="single"/>
          <w:vertAlign w:val="superscript"/>
        </w:rPr>
        <w:fldChar w:fldCharType="end"/>
      </w:r>
      <w:bookmarkStart w:id="130" w:name="fnref14_5"/>
      <w:bookmarkEnd w:id="130"/>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bookmarkStart w:id="131" w:name="fnref13_6"/>
      <w:bookmarkEnd w:id="131"/>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p>
    <w:p w14:paraId="6E288DE7">
      <w:pPr>
        <w:spacing w:after="210" w:line="360" w:lineRule="auto"/>
      </w:pPr>
      <w:r>
        <w:rPr>
          <w:rFonts w:ascii="Georgia" w:hAnsi="Georgia" w:eastAsia="Georgia" w:cs="Georgia"/>
          <w:color w:val="000000"/>
        </w:rPr>
        <w:t>Likely impacts include:</w:t>
      </w:r>
    </w:p>
    <w:p w14:paraId="1EC32B50">
      <w:pPr>
        <w:numPr>
          <w:ilvl w:val="0"/>
          <w:numId w:val="7"/>
        </w:numPr>
        <w:spacing w:before="105" w:after="105" w:line="360" w:lineRule="auto"/>
      </w:pPr>
      <w:r>
        <w:rPr>
          <w:rFonts w:ascii="Georgia" w:hAnsi="Georgia" w:eastAsia="Georgia" w:cs="Georgia"/>
          <w:color w:val="000000"/>
          <w:sz w:val="21"/>
        </w:rPr>
        <w:t xml:space="preserve">Greater use of </w:t>
      </w:r>
      <w:r>
        <w:rPr>
          <w:rFonts w:ascii="Georgia" w:hAnsi="Georgia" w:eastAsia="Georgia" w:cs="Georgia"/>
          <w:b/>
          <w:color w:val="000000"/>
          <w:sz w:val="21"/>
        </w:rPr>
        <w:t>online and hybrid retail</w:t>
      </w:r>
      <w:r>
        <w:rPr>
          <w:rFonts w:ascii="Georgia" w:hAnsi="Georgia" w:eastAsia="Georgia" w:cs="Georgia"/>
          <w:color w:val="000000"/>
          <w:sz w:val="21"/>
        </w:rPr>
        <w:t xml:space="preserve"> (ordering groceries, clothing, and daily necessities online with home delivery).</w:t>
      </w:r>
    </w:p>
    <w:p w14:paraId="1A3A0365">
      <w:pPr>
        <w:numPr>
          <w:ilvl w:val="0"/>
          <w:numId w:val="7"/>
        </w:numPr>
        <w:spacing w:before="105" w:after="105" w:line="360" w:lineRule="auto"/>
      </w:pPr>
      <w:r>
        <w:rPr>
          <w:rFonts w:ascii="Georgia" w:hAnsi="Georgia" w:eastAsia="Georgia" w:cs="Georgia"/>
          <w:color w:val="000000"/>
          <w:sz w:val="21"/>
        </w:rPr>
        <w:t xml:space="preserve">Expansion of </w:t>
      </w:r>
      <w:r>
        <w:rPr>
          <w:rFonts w:ascii="Georgia" w:hAnsi="Georgia" w:eastAsia="Georgia" w:cs="Georgia"/>
          <w:b/>
          <w:color w:val="000000"/>
          <w:sz w:val="21"/>
        </w:rPr>
        <w:t>digital healthcare and wellness</w:t>
      </w:r>
      <w:r>
        <w:rPr>
          <w:rFonts w:ascii="Georgia" w:hAnsi="Georgia" w:eastAsia="Georgia" w:cs="Georgia"/>
          <w:color w:val="000000"/>
          <w:sz w:val="21"/>
        </w:rPr>
        <w:t xml:space="preserve"> (remote consultations, wearable health devices, online fitness and nutrition programs).</w:t>
      </w:r>
    </w:p>
    <w:p w14:paraId="68326F0F">
      <w:pPr>
        <w:numPr>
          <w:ilvl w:val="0"/>
          <w:numId w:val="7"/>
        </w:numPr>
        <w:spacing w:before="105" w:after="105" w:line="360" w:lineRule="auto"/>
      </w:pPr>
      <w:r>
        <w:rPr>
          <w:rFonts w:ascii="Georgia" w:hAnsi="Georgia" w:eastAsia="Georgia" w:cs="Georgia"/>
          <w:color w:val="000000"/>
          <w:sz w:val="21"/>
        </w:rPr>
        <w:t xml:space="preserve">Growth in </w:t>
      </w:r>
      <w:r>
        <w:rPr>
          <w:rFonts w:ascii="Georgia" w:hAnsi="Georgia" w:eastAsia="Georgia" w:cs="Georgia"/>
          <w:b/>
          <w:color w:val="000000"/>
          <w:sz w:val="21"/>
        </w:rPr>
        <w:t>online education and entertainment</w:t>
      </w:r>
      <w:r>
        <w:rPr>
          <w:rFonts w:ascii="Georgia" w:hAnsi="Georgia" w:eastAsia="Georgia" w:cs="Georgia"/>
          <w:color w:val="000000"/>
          <w:sz w:val="21"/>
        </w:rPr>
        <w:t>, including language learning, hobby classes, and streaming content targeted at seniors.</w:t>
      </w:r>
    </w:p>
    <w:p w14:paraId="434CA44F">
      <w:pPr>
        <w:spacing w:before="315" w:after="105" w:line="360" w:lineRule="auto"/>
        <w:ind w:left="-30"/>
        <w:jc w:val="left"/>
      </w:pPr>
      <w:bookmarkStart w:id="132" w:name="bm_8_2_societal_shifts_and_lifest_c14730"/>
      <w:r>
        <w:rPr>
          <w:rFonts w:ascii="Georgia" w:hAnsi="Georgia" w:eastAsia="Georgia" w:cs="Georgia"/>
          <w:b/>
          <w:color w:val="000000"/>
          <w:sz w:val="24"/>
        </w:rPr>
        <w:t>8.2 Societal shifts and lifestyle preferences</w:t>
      </w:r>
      <w:bookmarkEnd w:id="132"/>
    </w:p>
    <w:p w14:paraId="6519FFAF">
      <w:pPr>
        <w:spacing w:after="210" w:line="360" w:lineRule="auto"/>
      </w:pPr>
      <w:r>
        <w:rPr>
          <w:rFonts w:ascii="Georgia" w:hAnsi="Georgia" w:eastAsia="Georgia" w:cs="Georgia"/>
          <w:color w:val="000000"/>
        </w:rPr>
        <w:t>Policy emphasis on community‑based care and “aging in place” encourages seniors to stay in their homes and communities longer, increasing demand for local services, home modifications, and in‑home support. At the same time, the rise of single‑elderly households suggests demand for products and services that provide safety, social connection, and convenience—such as meal delivery, social platforms, and companionship services.</w:t>
      </w:r>
      <w:bookmarkStart w:id="133" w:name="fnref8_2"/>
      <w:bookmarkEnd w:id="133"/>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bookmarkStart w:id="134" w:name="fnref17_2"/>
      <w:bookmarkEnd w:id="134"/>
      <w:r>
        <w:fldChar w:fldCharType="begin"/>
      </w:r>
      <w:r>
        <w:instrText xml:space="preserve"> HYPERLINK \l "fn17" \h </w:instrText>
      </w:r>
      <w:r>
        <w:fldChar w:fldCharType="separate"/>
      </w:r>
      <w:r>
        <w:rPr>
          <w:rFonts w:ascii="helvetica neue" w:hAnsi="helvetica neue" w:eastAsia="helvetica neue" w:cs="helvetica neue"/>
          <w:color w:val="000000"/>
          <w:u w:val="single"/>
          <w:vertAlign w:val="superscript"/>
        </w:rPr>
        <w:t>[17]</w:t>
      </w:r>
      <w:r>
        <w:rPr>
          <w:rFonts w:ascii="helvetica neue" w:hAnsi="helvetica neue" w:eastAsia="helvetica neue" w:cs="helvetica neue"/>
          <w:color w:val="000000"/>
          <w:u w:val="single"/>
          <w:vertAlign w:val="superscript"/>
        </w:rPr>
        <w:fldChar w:fldCharType="end"/>
      </w:r>
      <w:bookmarkStart w:id="135" w:name="fnref18_5"/>
      <w:bookmarkEnd w:id="135"/>
      <w:r>
        <w:fldChar w:fldCharType="begin"/>
      </w:r>
      <w:r>
        <w:instrText xml:space="preserve"> HYPERLINK \l "fn18" \h </w:instrText>
      </w:r>
      <w:r>
        <w:fldChar w:fldCharType="separate"/>
      </w:r>
      <w:r>
        <w:rPr>
          <w:rFonts w:ascii="helvetica neue" w:hAnsi="helvetica neue" w:eastAsia="helvetica neue" w:cs="helvetica neue"/>
          <w:color w:val="000000"/>
          <w:u w:val="single"/>
          <w:vertAlign w:val="superscript"/>
        </w:rPr>
        <w:t>[18]</w:t>
      </w:r>
      <w:r>
        <w:rPr>
          <w:rFonts w:ascii="helvetica neue" w:hAnsi="helvetica neue" w:eastAsia="helvetica neue" w:cs="helvetica neue"/>
          <w:color w:val="000000"/>
          <w:u w:val="single"/>
          <w:vertAlign w:val="superscript"/>
        </w:rPr>
        <w:fldChar w:fldCharType="end"/>
      </w:r>
      <w:bookmarkStart w:id="136" w:name="fnref13_7"/>
      <w:bookmarkEnd w:id="136"/>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p>
    <w:p w14:paraId="17258F6E">
      <w:pPr>
        <w:spacing w:after="210" w:line="360" w:lineRule="auto"/>
      </w:pPr>
      <w:r>
        <w:rPr>
          <w:rFonts w:ascii="Georgia" w:hAnsi="Georgia" w:eastAsia="Georgia" w:cs="Georgia"/>
          <w:color w:val="000000"/>
        </w:rPr>
        <w:t>Business and policy reports point to an emerging “silver innovation” wave in Japan, in which healthcare, travel, housing, financial services, and technology sectors develop new offerings for seniors, turning demographic headwinds into a sizable “longevity economy”.</w:t>
      </w:r>
      <w:bookmarkStart w:id="137" w:name="fnref21"/>
      <w:bookmarkEnd w:id="137"/>
      <w:r>
        <w:fldChar w:fldCharType="begin"/>
      </w:r>
      <w:r>
        <w:instrText xml:space="preserve"> HYPERLINK \l "fn21" \h </w:instrText>
      </w:r>
      <w:r>
        <w:fldChar w:fldCharType="separate"/>
      </w:r>
      <w:r>
        <w:rPr>
          <w:rFonts w:ascii="helvetica neue" w:hAnsi="helvetica neue" w:eastAsia="helvetica neue" w:cs="helvetica neue"/>
          <w:color w:val="000000"/>
          <w:u w:val="single"/>
          <w:vertAlign w:val="superscript"/>
        </w:rPr>
        <w:t>[21]</w:t>
      </w:r>
      <w:r>
        <w:rPr>
          <w:rFonts w:ascii="helvetica neue" w:hAnsi="helvetica neue" w:eastAsia="helvetica neue" w:cs="helvetica neue"/>
          <w:color w:val="000000"/>
          <w:u w:val="single"/>
          <w:vertAlign w:val="superscript"/>
        </w:rPr>
        <w:fldChar w:fldCharType="end"/>
      </w:r>
      <w:bookmarkStart w:id="138" w:name="fnref18_6"/>
      <w:bookmarkEnd w:id="138"/>
      <w:r>
        <w:fldChar w:fldCharType="begin"/>
      </w:r>
      <w:r>
        <w:instrText xml:space="preserve"> HYPERLINK \l "fn18" \h </w:instrText>
      </w:r>
      <w:r>
        <w:fldChar w:fldCharType="separate"/>
      </w:r>
      <w:r>
        <w:rPr>
          <w:rFonts w:ascii="helvetica neue" w:hAnsi="helvetica neue" w:eastAsia="helvetica neue" w:cs="helvetica neue"/>
          <w:color w:val="000000"/>
          <w:u w:val="single"/>
          <w:vertAlign w:val="superscript"/>
        </w:rPr>
        <w:t>[18]</w:t>
      </w:r>
      <w:r>
        <w:rPr>
          <w:rFonts w:ascii="helvetica neue" w:hAnsi="helvetica neue" w:eastAsia="helvetica neue" w:cs="helvetica neue"/>
          <w:color w:val="000000"/>
          <w:u w:val="single"/>
          <w:vertAlign w:val="superscript"/>
        </w:rPr>
        <w:fldChar w:fldCharType="end"/>
      </w:r>
      <w:bookmarkStart w:id="139" w:name="fnref14_6"/>
      <w:bookmarkEnd w:id="139"/>
      <w:r>
        <w:fldChar w:fldCharType="begin"/>
      </w:r>
      <w:r>
        <w:instrText xml:space="preserve"> HYPERLINK \l "fn14" \h </w:instrText>
      </w:r>
      <w:r>
        <w:fldChar w:fldCharType="separate"/>
      </w:r>
      <w:r>
        <w:rPr>
          <w:rFonts w:ascii="helvetica neue" w:hAnsi="helvetica neue" w:eastAsia="helvetica neue" w:cs="helvetica neue"/>
          <w:color w:val="000000"/>
          <w:u w:val="single"/>
          <w:vertAlign w:val="superscript"/>
        </w:rPr>
        <w:t>[14]</w:t>
      </w:r>
      <w:r>
        <w:rPr>
          <w:rFonts w:ascii="helvetica neue" w:hAnsi="helvetica neue" w:eastAsia="helvetica neue" w:cs="helvetica neue"/>
          <w:color w:val="000000"/>
          <w:u w:val="single"/>
          <w:vertAlign w:val="superscript"/>
        </w:rPr>
        <w:fldChar w:fldCharType="end"/>
      </w:r>
    </w:p>
    <w:p w14:paraId="5B58791A">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53A6B946">
      <w:pPr>
        <w:spacing w:before="315" w:after="105" w:line="360" w:lineRule="auto"/>
        <w:ind w:left="-30"/>
        <w:jc w:val="left"/>
      </w:pPr>
      <w:bookmarkStart w:id="140" w:name="bm_9_summary_of_market_potential_4409a4"/>
      <w:r>
        <w:rPr>
          <w:rFonts w:ascii="Georgia" w:hAnsi="Georgia" w:eastAsia="Georgia" w:cs="Georgia"/>
          <w:b/>
          <w:color w:val="000000"/>
          <w:sz w:val="24"/>
        </w:rPr>
        <w:t>9. Summary of Market Potential (2020–2050)</w:t>
      </w:r>
      <w:bookmarkEnd w:id="140"/>
    </w:p>
    <w:p w14:paraId="109FE319">
      <w:pPr>
        <w:numPr>
          <w:ilvl w:val="0"/>
          <w:numId w:val="8"/>
        </w:numPr>
        <w:spacing w:before="105" w:after="105" w:line="360" w:lineRule="auto"/>
      </w:pPr>
      <w:r>
        <w:rPr>
          <w:rFonts w:ascii="Georgia" w:hAnsi="Georgia" w:eastAsia="Georgia" w:cs="Georgia"/>
          <w:b/>
          <w:color w:val="000000"/>
          <w:sz w:val="21"/>
        </w:rPr>
        <w:t>Population base</w:t>
      </w:r>
      <w:r>
        <w:rPr>
          <w:rFonts w:ascii="Georgia" w:hAnsi="Georgia" w:eastAsia="Georgia" w:cs="Georgia"/>
          <w:color w:val="000000"/>
          <w:sz w:val="21"/>
        </w:rPr>
        <w:t>: The elderly population (65+) will remain around the mid‑30 million range but grow from about 29% to the mid‑30% share of total population by 2050, with particularly rapid growth in the 75+ group and single‑elderly households.</w:t>
      </w:r>
      <w:bookmarkStart w:id="141" w:name="fnref3_7"/>
      <w:bookmarkEnd w:id="141"/>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142" w:name="fnref6_3"/>
      <w:bookmarkEnd w:id="142"/>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143" w:name="fnref1_6"/>
      <w:bookmarkEnd w:id="143"/>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144" w:name="fnref8_3"/>
      <w:bookmarkEnd w:id="144"/>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p>
    <w:p w14:paraId="6CB2544F">
      <w:pPr>
        <w:numPr>
          <w:ilvl w:val="0"/>
          <w:numId w:val="8"/>
        </w:numPr>
        <w:spacing w:before="105" w:after="105" w:line="360" w:lineRule="auto"/>
      </w:pPr>
      <w:r>
        <w:rPr>
          <w:rFonts w:ascii="Georgia" w:hAnsi="Georgia" w:eastAsia="Georgia" w:cs="Georgia"/>
          <w:b/>
          <w:color w:val="000000"/>
          <w:sz w:val="21"/>
        </w:rPr>
        <w:t>Market size</w:t>
      </w:r>
      <w:r>
        <w:rPr>
          <w:rFonts w:ascii="Georgia" w:hAnsi="Georgia" w:eastAsia="Georgia" w:cs="Georgia"/>
          <w:color w:val="000000"/>
          <w:sz w:val="21"/>
        </w:rPr>
        <w:t>: The longevity economy associated with seniors is already around 96 trillion yen (2023) and projected to reach about 115 trillion yen by 2040, roughly one‑third of Japan’s GDP‑scale economic activity. Given demographic stability in the elderly population and rising service intensity, a 90–110 trillion yen annual silver market through the 2030s–2040s is a reasonable order‑of‑magnitude expectation.</w:t>
      </w:r>
      <w:bookmarkStart w:id="145" w:name="fnref15_3"/>
      <w:bookmarkEnd w:id="145"/>
      <w:r>
        <w:fldChar w:fldCharType="begin"/>
      </w:r>
      <w:r>
        <w:instrText xml:space="preserve"> HYPERLINK \l "fn15" \h </w:instrText>
      </w:r>
      <w:r>
        <w:fldChar w:fldCharType="separate"/>
      </w:r>
      <w:r>
        <w:rPr>
          <w:rFonts w:ascii="helvetica neue" w:hAnsi="helvetica neue" w:eastAsia="helvetica neue" w:cs="helvetica neue"/>
          <w:color w:val="000000"/>
          <w:sz w:val="21"/>
          <w:u w:val="single"/>
          <w:vertAlign w:val="superscript"/>
        </w:rPr>
        <w:t>[15]</w:t>
      </w:r>
      <w:r>
        <w:rPr>
          <w:rFonts w:ascii="helvetica neue" w:hAnsi="helvetica neue" w:eastAsia="helvetica neue" w:cs="helvetica neue"/>
          <w:color w:val="000000"/>
          <w:sz w:val="21"/>
          <w:u w:val="single"/>
          <w:vertAlign w:val="superscript"/>
        </w:rPr>
        <w:fldChar w:fldCharType="end"/>
      </w:r>
      <w:bookmarkStart w:id="146" w:name="fnref16_9"/>
      <w:bookmarkEnd w:id="146"/>
      <w:r>
        <w:fldChar w:fldCharType="begin"/>
      </w:r>
      <w:r>
        <w:instrText xml:space="preserve"> HYPERLINK \l "fn16" \h </w:instrText>
      </w:r>
      <w:r>
        <w:fldChar w:fldCharType="separate"/>
      </w:r>
      <w:r>
        <w:rPr>
          <w:rFonts w:ascii="helvetica neue" w:hAnsi="helvetica neue" w:eastAsia="helvetica neue" w:cs="helvetica neue"/>
          <w:color w:val="000000"/>
          <w:sz w:val="21"/>
          <w:u w:val="single"/>
          <w:vertAlign w:val="superscript"/>
        </w:rPr>
        <w:t>[16]</w:t>
      </w:r>
      <w:r>
        <w:rPr>
          <w:rFonts w:ascii="helvetica neue" w:hAnsi="helvetica neue" w:eastAsia="helvetica neue" w:cs="helvetica neue"/>
          <w:color w:val="000000"/>
          <w:sz w:val="21"/>
          <w:u w:val="single"/>
          <w:vertAlign w:val="superscript"/>
        </w:rPr>
        <w:fldChar w:fldCharType="end"/>
      </w:r>
    </w:p>
    <w:p w14:paraId="29FDDE8F">
      <w:pPr>
        <w:numPr>
          <w:ilvl w:val="0"/>
          <w:numId w:val="8"/>
        </w:numPr>
        <w:spacing w:before="105" w:after="105" w:line="360" w:lineRule="auto"/>
      </w:pPr>
      <w:r>
        <w:rPr>
          <w:rFonts w:ascii="Georgia" w:hAnsi="Georgia" w:eastAsia="Georgia" w:cs="Georgia"/>
          <w:b/>
          <w:color w:val="000000"/>
          <w:sz w:val="21"/>
        </w:rPr>
        <w:t>Core categories</w:t>
      </w:r>
      <w:r>
        <w:rPr>
          <w:rFonts w:ascii="Georgia" w:hAnsi="Georgia" w:eastAsia="Georgia" w:cs="Georgia"/>
          <w:color w:val="000000"/>
          <w:sz w:val="21"/>
        </w:rPr>
        <w:t>: Clothing, food, housing, and transportation remain the backbone of elderly consumption, with food and transport/communication particularly large, while healthcare, nursing care, and leisure are the fastest‑growing segments.</w:t>
      </w:r>
      <w:bookmarkStart w:id="147" w:name="fnref10_14"/>
      <w:bookmarkEnd w:id="147"/>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148" w:name="fnref16_10"/>
      <w:bookmarkEnd w:id="148"/>
      <w:r>
        <w:fldChar w:fldCharType="begin"/>
      </w:r>
      <w:r>
        <w:instrText xml:space="preserve"> HYPERLINK \l "fn16" \h </w:instrText>
      </w:r>
      <w:r>
        <w:fldChar w:fldCharType="separate"/>
      </w:r>
      <w:r>
        <w:rPr>
          <w:rFonts w:ascii="helvetica neue" w:hAnsi="helvetica neue" w:eastAsia="helvetica neue" w:cs="helvetica neue"/>
          <w:color w:val="000000"/>
          <w:sz w:val="21"/>
          <w:u w:val="single"/>
          <w:vertAlign w:val="superscript"/>
        </w:rPr>
        <w:t>[16]</w:t>
      </w:r>
      <w:r>
        <w:rPr>
          <w:rFonts w:ascii="helvetica neue" w:hAnsi="helvetica neue" w:eastAsia="helvetica neue" w:cs="helvetica neue"/>
          <w:color w:val="000000"/>
          <w:sz w:val="21"/>
          <w:u w:val="single"/>
          <w:vertAlign w:val="superscript"/>
        </w:rPr>
        <w:fldChar w:fldCharType="end"/>
      </w:r>
      <w:bookmarkStart w:id="149" w:name="fnref13_8"/>
      <w:bookmarkEnd w:id="149"/>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150" w:name="fnref9_13"/>
      <w:bookmarkEnd w:id="150"/>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p>
    <w:p w14:paraId="05564858">
      <w:pPr>
        <w:numPr>
          <w:ilvl w:val="0"/>
          <w:numId w:val="8"/>
        </w:numPr>
        <w:spacing w:before="105" w:after="105" w:line="360" w:lineRule="auto"/>
      </w:pPr>
      <w:r>
        <w:rPr>
          <w:rFonts w:ascii="Georgia" w:hAnsi="Georgia" w:eastAsia="Georgia" w:cs="Georgia"/>
          <w:b/>
          <w:color w:val="000000"/>
          <w:sz w:val="21"/>
        </w:rPr>
        <w:t>Willingness and constraints</w:t>
      </w:r>
      <w:r>
        <w:rPr>
          <w:rFonts w:ascii="Georgia" w:hAnsi="Georgia" w:eastAsia="Georgia" w:cs="Georgia"/>
          <w:color w:val="000000"/>
          <w:sz w:val="21"/>
        </w:rPr>
        <w:t>: Consumption willingness is shaped by income, assets, and health status, with strong health awareness and precautionary attitudes leading seniors to value safe, high‑quality, and convenient products and services.</w:t>
      </w:r>
      <w:bookmarkStart w:id="151" w:name="fnref20_2"/>
      <w:bookmarkEnd w:id="151"/>
      <w:r>
        <w:fldChar w:fldCharType="begin"/>
      </w:r>
      <w:r>
        <w:instrText xml:space="preserve"> HYPERLINK \l "fn20" \h </w:instrText>
      </w:r>
      <w:r>
        <w:fldChar w:fldCharType="separate"/>
      </w:r>
      <w:r>
        <w:rPr>
          <w:rFonts w:ascii="helvetica neue" w:hAnsi="helvetica neue" w:eastAsia="helvetica neue" w:cs="helvetica neue"/>
          <w:color w:val="000000"/>
          <w:sz w:val="21"/>
          <w:u w:val="single"/>
          <w:vertAlign w:val="superscript"/>
        </w:rPr>
        <w:t>[20]</w:t>
      </w:r>
      <w:r>
        <w:rPr>
          <w:rFonts w:ascii="helvetica neue" w:hAnsi="helvetica neue" w:eastAsia="helvetica neue" w:cs="helvetica neue"/>
          <w:color w:val="000000"/>
          <w:sz w:val="21"/>
          <w:u w:val="single"/>
          <w:vertAlign w:val="superscript"/>
        </w:rPr>
        <w:fldChar w:fldCharType="end"/>
      </w:r>
      <w:bookmarkStart w:id="152" w:name="fnref2_3"/>
      <w:bookmarkEnd w:id="152"/>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153" w:name="fnref13_9"/>
      <w:bookmarkEnd w:id="153"/>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p>
    <w:p w14:paraId="4BC97154">
      <w:pPr>
        <w:numPr>
          <w:ilvl w:val="0"/>
          <w:numId w:val="8"/>
        </w:numPr>
        <w:spacing w:before="105" w:after="105" w:line="360" w:lineRule="auto"/>
      </w:pPr>
      <w:r>
        <w:rPr>
          <w:rFonts w:ascii="Georgia" w:hAnsi="Georgia" w:eastAsia="Georgia" w:cs="Georgia"/>
          <w:b/>
          <w:color w:val="000000"/>
          <w:sz w:val="21"/>
        </w:rPr>
        <w:t>Future changes</w:t>
      </w:r>
      <w:r>
        <w:rPr>
          <w:rFonts w:ascii="Georgia" w:hAnsi="Georgia" w:eastAsia="Georgia" w:cs="Georgia"/>
          <w:color w:val="000000"/>
          <w:sz w:val="21"/>
        </w:rPr>
        <w:t>: Technology, “aging in place” policies, and changing household structures will push more spending into digital services, home‑based care, smart housing, and experience‑oriented leisure, while basic needs in food, housing, and mobility remain robust. Businesses and policymakers who align with these trends are well‑placed to tap Japan’s large and evolving elderly consumer market.</w:t>
      </w:r>
      <w:bookmarkStart w:id="154" w:name="fnref18_7"/>
      <w:bookmarkEnd w:id="154"/>
      <w:r>
        <w:fldChar w:fldCharType="begin"/>
      </w:r>
      <w:r>
        <w:instrText xml:space="preserve"> HYPERLINK \l "fn18" \h </w:instrText>
      </w:r>
      <w:r>
        <w:fldChar w:fldCharType="separate"/>
      </w:r>
      <w:r>
        <w:rPr>
          <w:rFonts w:ascii="helvetica neue" w:hAnsi="helvetica neue" w:eastAsia="helvetica neue" w:cs="helvetica neue"/>
          <w:color w:val="000000"/>
          <w:sz w:val="21"/>
          <w:u w:val="single"/>
          <w:vertAlign w:val="superscript"/>
        </w:rPr>
        <w:t>[18]</w:t>
      </w:r>
      <w:r>
        <w:rPr>
          <w:rFonts w:ascii="helvetica neue" w:hAnsi="helvetica neue" w:eastAsia="helvetica neue" w:cs="helvetica neue"/>
          <w:color w:val="000000"/>
          <w:sz w:val="21"/>
          <w:u w:val="single"/>
          <w:vertAlign w:val="superscript"/>
        </w:rPr>
        <w:fldChar w:fldCharType="end"/>
      </w:r>
      <w:bookmarkStart w:id="155" w:name="fnref14_7"/>
      <w:bookmarkEnd w:id="155"/>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bookmarkStart w:id="156" w:name="fnref12_4"/>
      <w:bookmarkEnd w:id="156"/>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157" w:name="fnref13_10"/>
      <w:bookmarkEnd w:id="157"/>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p>
    <w:p w14:paraId="45F9D04D">
      <w:pPr>
        <w:spacing w:after="210" w:line="360" w:lineRule="auto"/>
      </w:pPr>
      <w:r>
        <w:rPr>
          <w:rFonts w:ascii="Georgia" w:hAnsi="Georgia" w:eastAsia="Georgia" w:cs="Georgia"/>
          <w:color w:val="000000"/>
        </w:rPr>
        <w:t>This completes a straightforward, descriptive overview of Japan’s elderly population and consumption potential from 2020 to 2050, suitable as a base document for further, more detailed segmentation and forecasting if required.</w:t>
      </w:r>
      <w:r>
        <w:rPr>
          <w:rFonts w:ascii="Georgia" w:hAnsi="Georgia" w:eastAsia="Georgia" w:cs="Georgia"/>
          <w:color w:val="000000"/>
        </w:rPr>
        <w:br w:type="textWrapping"/>
      </w:r>
    </w:p>
    <w:p w14:paraId="59EDF137">
      <w:pPr>
        <w:spacing w:line="360" w:lineRule="auto"/>
      </w:pPr>
      <w:r>
        <w:rPr>
          <w:rFonts w:ascii="Georgia" w:hAnsi="Georgia" w:eastAsia="Georgia" w:cs="Georgia"/>
          <w:color w:val="000000"/>
        </w:rPr>
        <w:t>⁂</w:t>
      </w:r>
    </w:p>
    <w:p w14:paraId="7B139FC0">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77E7EDAF">
      <w:pPr>
        <w:numPr>
          <w:ilvl w:val="0"/>
          <w:numId w:val="9"/>
        </w:numPr>
        <w:spacing w:after="210" w:line="360" w:lineRule="auto"/>
      </w:pPr>
      <w:bookmarkStart w:id="158" w:name="fn1"/>
      <w:bookmarkEnd w:id="158"/>
      <w:r>
        <w:fldChar w:fldCharType="begin"/>
      </w:r>
      <w:r>
        <w:instrText xml:space="preserve"> HYPERLINK "https://www8.cao.go.jp/kourei/english/annualreport/2020/pdf/2020.pdf" \h </w:instrText>
      </w:r>
      <w:r>
        <w:fldChar w:fldCharType="separate"/>
      </w:r>
      <w:r>
        <w:rPr>
          <w:rFonts w:ascii="helvetica neue" w:hAnsi="helvetica neue" w:eastAsia="helvetica neue" w:cs="helvetica neue"/>
          <w:color w:val="000000"/>
          <w:sz w:val="18"/>
          <w:u w:val="single"/>
        </w:rPr>
        <w:t>https://www8.cao.go.jp/kourei/english/annualreport/2020/pdf/2020.pdf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EE8EC1F">
      <w:pPr>
        <w:numPr>
          <w:ilvl w:val="0"/>
          <w:numId w:val="9"/>
        </w:numPr>
        <w:spacing w:after="210" w:line="360" w:lineRule="auto"/>
      </w:pPr>
      <w:bookmarkStart w:id="159" w:name="fn2"/>
      <w:bookmarkEnd w:id="159"/>
      <w:r>
        <w:fldChar w:fldCharType="begin"/>
      </w:r>
      <w:r>
        <w:instrText xml:space="preserve"> HYPERLINK "https://www.imf.org/-/media/files/publications/wp/wp1723.pdf" \h </w:instrText>
      </w:r>
      <w:r>
        <w:fldChar w:fldCharType="separate"/>
      </w:r>
      <w:r>
        <w:rPr>
          <w:rFonts w:ascii="helvetica neue" w:hAnsi="helvetica neue" w:eastAsia="helvetica neue" w:cs="helvetica neue"/>
          <w:color w:val="000000"/>
          <w:sz w:val="18"/>
          <w:u w:val="single"/>
        </w:rPr>
        <w:t>https://www.imf.org/-/media/files/publications/wp/wp1723.pdf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C900BB0">
      <w:pPr>
        <w:numPr>
          <w:ilvl w:val="0"/>
          <w:numId w:val="9"/>
        </w:numPr>
        <w:spacing w:after="210" w:line="360" w:lineRule="auto"/>
      </w:pPr>
      <w:bookmarkStart w:id="160" w:name="fn3"/>
      <w:bookmarkEnd w:id="160"/>
      <w:r>
        <w:fldChar w:fldCharType="begin"/>
      </w:r>
      <w:r>
        <w:instrText xml:space="preserve"> HYPERLINK "https://www.ipss.go.jp/pp-zenkoku/e/zenkoku_e2023/pp2023e_Summary.pdf" \h </w:instrText>
      </w:r>
      <w:r>
        <w:fldChar w:fldCharType="separate"/>
      </w:r>
      <w:r>
        <w:rPr>
          <w:rFonts w:ascii="helvetica neue" w:hAnsi="helvetica neue" w:eastAsia="helvetica neue" w:cs="helvetica neue"/>
          <w:color w:val="000000"/>
          <w:sz w:val="18"/>
          <w:u w:val="single"/>
        </w:rPr>
        <w:t>https://www.ipss.go.jp/pp-zenkoku/e/zenkoku_e2023/pp2023e_Summary.pdf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7E470D3">
      <w:pPr>
        <w:numPr>
          <w:ilvl w:val="0"/>
          <w:numId w:val="9"/>
        </w:numPr>
        <w:spacing w:after="210" w:line="360" w:lineRule="auto"/>
      </w:pPr>
      <w:bookmarkStart w:id="161" w:name="fn4"/>
      <w:bookmarkEnd w:id="161"/>
      <w:r>
        <w:fldChar w:fldCharType="begin"/>
      </w:r>
      <w:r>
        <w:instrText xml:space="preserve"> HYPERLINK "https://www.stat.go.jp/english/data/kakei/pdf/outline.pdf" \h </w:instrText>
      </w:r>
      <w:r>
        <w:fldChar w:fldCharType="separate"/>
      </w:r>
      <w:r>
        <w:rPr>
          <w:rFonts w:ascii="helvetica neue" w:hAnsi="helvetica neue" w:eastAsia="helvetica neue" w:cs="helvetica neue"/>
          <w:color w:val="000000"/>
          <w:sz w:val="18"/>
          <w:u w:val="single"/>
        </w:rPr>
        <w:t>https://www.stat.go.jp/english/data/kakei/pdf/outline.pdf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585C797F">
      <w:pPr>
        <w:numPr>
          <w:ilvl w:val="0"/>
          <w:numId w:val="9"/>
        </w:numPr>
        <w:spacing w:after="210" w:line="360" w:lineRule="auto"/>
      </w:pPr>
      <w:bookmarkStart w:id="162" w:name="fn5"/>
      <w:bookmarkEnd w:id="162"/>
      <w:r>
        <w:fldChar w:fldCharType="begin"/>
      </w:r>
      <w:r>
        <w:instrText xml:space="preserve"> HYPERLINK "https://en.wikipedia.org/wiki/Aging_of_Japan" \h </w:instrText>
      </w:r>
      <w:r>
        <w:fldChar w:fldCharType="separate"/>
      </w:r>
      <w:r>
        <w:rPr>
          <w:rFonts w:ascii="helvetica neue" w:hAnsi="helvetica neue" w:eastAsia="helvetica neue" w:cs="helvetica neue"/>
          <w:color w:val="000000"/>
          <w:sz w:val="18"/>
          <w:u w:val="single"/>
        </w:rPr>
        <w:t>https://en.wikipedia.org/wiki/Aging_of_Japan</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12CD9910">
      <w:pPr>
        <w:numPr>
          <w:ilvl w:val="0"/>
          <w:numId w:val="9"/>
        </w:numPr>
        <w:spacing w:after="210" w:line="360" w:lineRule="auto"/>
      </w:pPr>
      <w:bookmarkStart w:id="163" w:name="fn6"/>
      <w:bookmarkEnd w:id="163"/>
      <w:r>
        <w:fldChar w:fldCharType="begin"/>
      </w:r>
      <w:r>
        <w:instrText xml:space="preserve"> HYPERLINK "https://japannews.yomiuri.co.jp/society/general-news/20231223-157406/" \h </w:instrText>
      </w:r>
      <w:r>
        <w:fldChar w:fldCharType="separate"/>
      </w:r>
      <w:r>
        <w:rPr>
          <w:rFonts w:ascii="helvetica neue" w:hAnsi="helvetica neue" w:eastAsia="helvetica neue" w:cs="helvetica neue"/>
          <w:color w:val="000000"/>
          <w:sz w:val="18"/>
          <w:u w:val="single"/>
        </w:rPr>
        <w:t>https://japannews.yomiuri.co.jp/society/general-news/20231223-157406/</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14A736B3">
      <w:pPr>
        <w:numPr>
          <w:ilvl w:val="0"/>
          <w:numId w:val="9"/>
        </w:numPr>
        <w:spacing w:after="210" w:line="360" w:lineRule="auto"/>
      </w:pPr>
      <w:bookmarkStart w:id="164" w:name="fn7"/>
      <w:bookmarkEnd w:id="164"/>
      <w:r>
        <w:fldChar w:fldCharType="begin"/>
      </w:r>
      <w:r>
        <w:instrText xml:space="preserve"> HYPERLINK "https://www.ipss.go.jp/pp-newest/e/ppfj02/suikei_g_e.html" \h </w:instrText>
      </w:r>
      <w:r>
        <w:fldChar w:fldCharType="separate"/>
      </w:r>
      <w:r>
        <w:rPr>
          <w:rFonts w:ascii="helvetica neue" w:hAnsi="helvetica neue" w:eastAsia="helvetica neue" w:cs="helvetica neue"/>
          <w:color w:val="000000"/>
          <w:sz w:val="18"/>
          <w:u w:val="single"/>
        </w:rPr>
        <w:t>https://www.ipss.go.jp/pp-newest/e/ppfj02/suikei_g_e.html</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7ABC6C5">
      <w:pPr>
        <w:numPr>
          <w:ilvl w:val="0"/>
          <w:numId w:val="9"/>
        </w:numPr>
        <w:spacing w:after="210" w:line="360" w:lineRule="auto"/>
      </w:pPr>
      <w:bookmarkStart w:id="165" w:name="fn8"/>
      <w:bookmarkEnd w:id="165"/>
      <w:r>
        <w:fldChar w:fldCharType="begin"/>
      </w:r>
      <w:r>
        <w:instrText xml:space="preserve"> HYPERLINK "https://www.nippon.com/en/japan-data/h02201/" \h </w:instrText>
      </w:r>
      <w:r>
        <w:fldChar w:fldCharType="separate"/>
      </w:r>
      <w:r>
        <w:rPr>
          <w:rFonts w:ascii="helvetica neue" w:hAnsi="helvetica neue" w:eastAsia="helvetica neue" w:cs="helvetica neue"/>
          <w:color w:val="000000"/>
          <w:sz w:val="18"/>
          <w:u w:val="single"/>
        </w:rPr>
        <w:t>https://www.nippon.com/en/japan-data/h02201/</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76E3410">
      <w:pPr>
        <w:numPr>
          <w:ilvl w:val="0"/>
          <w:numId w:val="9"/>
        </w:numPr>
        <w:spacing w:after="210" w:line="360" w:lineRule="auto"/>
      </w:pPr>
      <w:bookmarkStart w:id="166" w:name="fn9"/>
      <w:bookmarkEnd w:id="166"/>
      <w:r>
        <w:fldChar w:fldCharType="begin"/>
      </w:r>
      <w:r>
        <w:instrText xml:space="preserve"> HYPERLINK "https://www.crepe.e.u-tokyo.ac.jp/results/2023/CREPEDP140.pdf" \h </w:instrText>
      </w:r>
      <w:r>
        <w:fldChar w:fldCharType="separate"/>
      </w:r>
      <w:r>
        <w:rPr>
          <w:rFonts w:ascii="helvetica neue" w:hAnsi="helvetica neue" w:eastAsia="helvetica neue" w:cs="helvetica neue"/>
          <w:color w:val="000000"/>
          <w:sz w:val="18"/>
          <w:u w:val="single"/>
        </w:rPr>
        <w:t>https://www.crepe.e.u-tokyo.ac.jp/results/2023/CREPEDP140.pdf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5E1033E9">
      <w:pPr>
        <w:numPr>
          <w:ilvl w:val="0"/>
          <w:numId w:val="9"/>
        </w:numPr>
        <w:spacing w:after="210" w:line="360" w:lineRule="auto"/>
      </w:pPr>
      <w:bookmarkStart w:id="167" w:name="fn10"/>
      <w:bookmarkEnd w:id="167"/>
      <w:r>
        <w:fldChar w:fldCharType="begin"/>
      </w:r>
      <w:r>
        <w:instrText xml:space="preserve"> HYPERLINK "https://www.asean.or.jp/main-site/wp-content/uploads/2024/03/Japan_consumer-_market.pdf" \h </w:instrText>
      </w:r>
      <w:r>
        <w:fldChar w:fldCharType="separate"/>
      </w:r>
      <w:r>
        <w:rPr>
          <w:rFonts w:ascii="helvetica neue" w:hAnsi="helvetica neue" w:eastAsia="helvetica neue" w:cs="helvetica neue"/>
          <w:color w:val="000000"/>
          <w:sz w:val="18"/>
          <w:u w:val="single"/>
        </w:rPr>
        <w:t>https://www.asean.or.jp/main-site/wp-content/uploads/2024/03/Japan_consumer-_market.pdf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32B32BF">
      <w:pPr>
        <w:numPr>
          <w:ilvl w:val="0"/>
          <w:numId w:val="9"/>
        </w:numPr>
        <w:spacing w:after="210" w:line="360" w:lineRule="auto"/>
      </w:pPr>
      <w:bookmarkStart w:id="168" w:name="fn11"/>
      <w:bookmarkEnd w:id="168"/>
      <w:r>
        <w:fldChar w:fldCharType="begin"/>
      </w:r>
      <w:r>
        <w:instrText xml:space="preserve"> HYPERLINK "https://www5.cao.go.jp/zenbun/wp-e/wp-je05/05-00302.html" \h </w:instrText>
      </w:r>
      <w:r>
        <w:fldChar w:fldCharType="separate"/>
      </w:r>
      <w:r>
        <w:rPr>
          <w:rFonts w:ascii="helvetica neue" w:hAnsi="helvetica neue" w:eastAsia="helvetica neue" w:cs="helvetica neue"/>
          <w:color w:val="000000"/>
          <w:sz w:val="18"/>
          <w:u w:val="single"/>
        </w:rPr>
        <w:t>https://www5.cao.go.jp/zenbun/wp-e/wp-je05/05-00302.html</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4D6D979">
      <w:pPr>
        <w:numPr>
          <w:ilvl w:val="0"/>
          <w:numId w:val="9"/>
        </w:numPr>
        <w:spacing w:after="210" w:line="360" w:lineRule="auto"/>
      </w:pPr>
      <w:bookmarkStart w:id="169" w:name="fn12"/>
      <w:bookmarkEnd w:id="169"/>
      <w:r>
        <w:fldChar w:fldCharType="begin"/>
      </w:r>
      <w:r>
        <w:instrText xml:space="preserve"> HYPERLINK "https://www.ulpa.jp/post/mastering-japanese-consumers-marketing-to-seniors-in-japan" \h </w:instrText>
      </w:r>
      <w:r>
        <w:fldChar w:fldCharType="separate"/>
      </w:r>
      <w:r>
        <w:rPr>
          <w:rFonts w:ascii="helvetica neue" w:hAnsi="helvetica neue" w:eastAsia="helvetica neue" w:cs="helvetica neue"/>
          <w:color w:val="000000"/>
          <w:sz w:val="18"/>
          <w:u w:val="single"/>
        </w:rPr>
        <w:t>https://www.ulpa.jp/post/mastering-japanese-consumers-marketing-to-seniors-in-japan</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FE08EAB">
      <w:pPr>
        <w:numPr>
          <w:ilvl w:val="0"/>
          <w:numId w:val="9"/>
        </w:numPr>
        <w:spacing w:after="210" w:line="360" w:lineRule="auto"/>
      </w:pPr>
      <w:bookmarkStart w:id="170" w:name="fn13"/>
      <w:bookmarkEnd w:id="170"/>
      <w:r>
        <w:fldChar w:fldCharType="begin"/>
      </w:r>
      <w:r>
        <w:instrText xml:space="preserve"> HYPERLINK "https://www.this.ne.jp/en/market-overview/" \h </w:instrText>
      </w:r>
      <w:r>
        <w:fldChar w:fldCharType="separate"/>
      </w:r>
      <w:r>
        <w:rPr>
          <w:rFonts w:ascii="helvetica neue" w:hAnsi="helvetica neue" w:eastAsia="helvetica neue" w:cs="helvetica neue"/>
          <w:color w:val="000000"/>
          <w:sz w:val="18"/>
          <w:u w:val="single"/>
        </w:rPr>
        <w:t>https://www.this.ne.jp/en/market-overview/</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1B988B0">
      <w:pPr>
        <w:numPr>
          <w:ilvl w:val="0"/>
          <w:numId w:val="9"/>
        </w:numPr>
        <w:spacing w:after="210" w:line="360" w:lineRule="auto"/>
      </w:pPr>
      <w:bookmarkStart w:id="171" w:name="fn14"/>
      <w:bookmarkEnd w:id="171"/>
      <w:r>
        <w:fldChar w:fldCharType="begin"/>
      </w:r>
      <w:r>
        <w:instrText xml:space="preserve"> HYPERLINK "https://onestepbeyond.co.jp/blog/japans-aging-population-how-its-creating-new-business-niches/" \h </w:instrText>
      </w:r>
      <w:r>
        <w:fldChar w:fldCharType="separate"/>
      </w:r>
      <w:r>
        <w:rPr>
          <w:rFonts w:ascii="helvetica neue" w:hAnsi="helvetica neue" w:eastAsia="helvetica neue" w:cs="helvetica neue"/>
          <w:color w:val="000000"/>
          <w:sz w:val="18"/>
          <w:u w:val="single"/>
        </w:rPr>
        <w:t>https://onestepbeyond.co.jp/blog/japans-aging-population-how-its-creating-new-business-niches/</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F306D3E">
      <w:pPr>
        <w:numPr>
          <w:ilvl w:val="0"/>
          <w:numId w:val="9"/>
        </w:numPr>
        <w:spacing w:after="210" w:line="360" w:lineRule="auto"/>
      </w:pPr>
      <w:bookmarkStart w:id="172" w:name="fn15"/>
      <w:bookmarkEnd w:id="172"/>
      <w:r>
        <w:fldChar w:fldCharType="begin"/>
      </w:r>
      <w:r>
        <w:instrText xml:space="preserve"> HYPERLINK "https://www.weforum.org/stories/2025/09/japans-longevity-economy/" \h </w:instrText>
      </w:r>
      <w:r>
        <w:fldChar w:fldCharType="separate"/>
      </w:r>
      <w:r>
        <w:rPr>
          <w:rFonts w:ascii="helvetica neue" w:hAnsi="helvetica neue" w:eastAsia="helvetica neue" w:cs="helvetica neue"/>
          <w:color w:val="000000"/>
          <w:sz w:val="18"/>
          <w:u w:val="single"/>
        </w:rPr>
        <w:t>https://www.weforum.org/stories/2025/09/japans-longevity-economy/</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57F6B01">
      <w:pPr>
        <w:numPr>
          <w:ilvl w:val="0"/>
          <w:numId w:val="9"/>
        </w:numPr>
        <w:spacing w:after="210" w:line="360" w:lineRule="auto"/>
      </w:pPr>
      <w:bookmarkStart w:id="173" w:name="fn16"/>
      <w:bookmarkEnd w:id="173"/>
      <w:r>
        <w:fldChar w:fldCharType="begin"/>
      </w:r>
      <w:r>
        <w:instrText xml:space="preserve"> HYPERLINK "https://jp.weforum.org/stories/2025/09/niyori-garu-noronjebithi-ekonomi/" \h </w:instrText>
      </w:r>
      <w:r>
        <w:fldChar w:fldCharType="separate"/>
      </w:r>
      <w:r>
        <w:rPr>
          <w:rFonts w:ascii="helvetica neue" w:hAnsi="helvetica neue" w:eastAsia="helvetica neue" w:cs="helvetica neue"/>
          <w:color w:val="000000"/>
          <w:sz w:val="18"/>
          <w:u w:val="single"/>
        </w:rPr>
        <w:t>https://jp.weforum.org/stories/2025/09/niyori-garu-noronjebithi-ekonomi/</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F844399">
      <w:pPr>
        <w:numPr>
          <w:ilvl w:val="0"/>
          <w:numId w:val="9"/>
        </w:numPr>
        <w:spacing w:after="210" w:line="360" w:lineRule="auto"/>
      </w:pPr>
      <w:bookmarkStart w:id="174" w:name="fn17"/>
      <w:bookmarkEnd w:id="174"/>
      <w:r>
        <w:fldChar w:fldCharType="begin"/>
      </w:r>
      <w:r>
        <w:instrText xml:space="preserve"> HYPERLINK "https://www.linkedin.com/posts/hakanbulgurlu_longevity-activity-7374019040404455424-IT9v" \h </w:instrText>
      </w:r>
      <w:r>
        <w:fldChar w:fldCharType="separate"/>
      </w:r>
      <w:r>
        <w:rPr>
          <w:rFonts w:ascii="helvetica neue" w:hAnsi="helvetica neue" w:eastAsia="helvetica neue" w:cs="helvetica neue"/>
          <w:color w:val="000000"/>
          <w:sz w:val="18"/>
          <w:u w:val="single"/>
        </w:rPr>
        <w:t>https://www.linkedin.com/posts/hakanbulgurlu_longevity-activity-7374019040404455424-IT9v</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1C4D6AD9">
      <w:pPr>
        <w:numPr>
          <w:ilvl w:val="0"/>
          <w:numId w:val="9"/>
        </w:numPr>
        <w:spacing w:after="210" w:line="360" w:lineRule="auto"/>
      </w:pPr>
      <w:bookmarkStart w:id="175" w:name="fn18"/>
      <w:bookmarkEnd w:id="175"/>
      <w:r>
        <w:fldChar w:fldCharType="begin"/>
      </w:r>
      <w:r>
        <w:instrText xml:space="preserve"> HYPERLINK "https://onestepbeyond.co.jp/blog/how-japans-aging-population-is-driving-business-innovation/" \h </w:instrText>
      </w:r>
      <w:r>
        <w:fldChar w:fldCharType="separate"/>
      </w:r>
      <w:r>
        <w:rPr>
          <w:rFonts w:ascii="helvetica neue" w:hAnsi="helvetica neue" w:eastAsia="helvetica neue" w:cs="helvetica neue"/>
          <w:color w:val="000000"/>
          <w:sz w:val="18"/>
          <w:u w:val="single"/>
        </w:rPr>
        <w:t>https://onestepbeyond.co.jp/blog/how-japans-aging-population-is-driving-business-innovation/</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16E60C83">
      <w:pPr>
        <w:numPr>
          <w:ilvl w:val="0"/>
          <w:numId w:val="9"/>
        </w:numPr>
        <w:spacing w:after="210" w:line="360" w:lineRule="auto"/>
      </w:pPr>
      <w:bookmarkStart w:id="176" w:name="fn19"/>
      <w:bookmarkEnd w:id="176"/>
      <w:r>
        <w:fldChar w:fldCharType="begin"/>
      </w:r>
      <w:r>
        <w:instrText xml:space="preserve"> HYPERLINK "https://www.oecd.org/content/dam/oecd/en/publications/reports/2024/04/addressing-demographic-headwinds-in-japan-a-long-term-perspective_85b9a67f/96648955-en.pdf" \h </w:instrText>
      </w:r>
      <w:r>
        <w:fldChar w:fldCharType="separate"/>
      </w:r>
      <w:r>
        <w:rPr>
          <w:rFonts w:ascii="helvetica neue" w:hAnsi="helvetica neue" w:eastAsia="helvetica neue" w:cs="helvetica neue"/>
          <w:color w:val="000000"/>
          <w:sz w:val="18"/>
          <w:u w:val="single"/>
        </w:rPr>
        <w:t>https://www.oecd.org/content/dam/oecd/en/publications/reports/2024/04/addressing-demographic-headwinds-in-japan-a-long-term-perspective_85b9a67f/96648955-en.pdf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723EA82">
      <w:pPr>
        <w:numPr>
          <w:ilvl w:val="0"/>
          <w:numId w:val="9"/>
        </w:numPr>
        <w:spacing w:after="210" w:line="360" w:lineRule="auto"/>
      </w:pPr>
      <w:bookmarkStart w:id="177" w:name="fn20"/>
      <w:bookmarkEnd w:id="177"/>
      <w:r>
        <w:fldChar w:fldCharType="begin"/>
      </w:r>
      <w:r>
        <w:instrText xml:space="preserve"> HYPERLINK "https://www.esri.cao.go.jp/jp/esri/archive/bun/eibun/eibun197.pdf" \h </w:instrText>
      </w:r>
      <w:r>
        <w:fldChar w:fldCharType="separate"/>
      </w:r>
      <w:r>
        <w:rPr>
          <w:rFonts w:ascii="helvetica neue" w:hAnsi="helvetica neue" w:eastAsia="helvetica neue" w:cs="helvetica neue"/>
          <w:color w:val="000000"/>
          <w:sz w:val="18"/>
          <w:u w:val="single"/>
        </w:rPr>
        <w:t>https://www.esri.cao.go.jp/jp/esri/archive/bun/eibun/eibun197.pdf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977BD3C">
      <w:pPr>
        <w:numPr>
          <w:ilvl w:val="0"/>
          <w:numId w:val="9"/>
        </w:numPr>
        <w:spacing w:after="210" w:line="360" w:lineRule="auto"/>
      </w:pPr>
      <w:bookmarkStart w:id="178" w:name="fn21"/>
      <w:bookmarkEnd w:id="178"/>
      <w:r>
        <w:fldChar w:fldCharType="begin"/>
      </w:r>
      <w:r>
        <w:instrText xml:space="preserve"> HYPERLINK "https://www.6wresearch.com/industry-report/japan-longevity-market" \h </w:instrText>
      </w:r>
      <w:r>
        <w:fldChar w:fldCharType="separate"/>
      </w:r>
      <w:r>
        <w:rPr>
          <w:rFonts w:ascii="helvetica neue" w:hAnsi="helvetica neue" w:eastAsia="helvetica neue" w:cs="helvetica neue"/>
          <w:color w:val="000000"/>
          <w:sz w:val="18"/>
          <w:u w:val="single"/>
        </w:rPr>
        <w:t>https://www.6wresearch.com/industry-report/japan-longevity-market</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0D0A8A2">
      <w:pPr>
        <w:numPr>
          <w:ilvl w:val="0"/>
          <w:numId w:val="9"/>
        </w:numPr>
        <w:spacing w:after="210" w:line="360" w:lineRule="auto"/>
      </w:pPr>
      <w:bookmarkStart w:id="179" w:name="fn22"/>
      <w:bookmarkEnd w:id="179"/>
      <w:r>
        <w:fldChar w:fldCharType="begin"/>
      </w:r>
      <w:r>
        <w:instrText xml:space="preserve"> HYPERLINK "https://tradingeconomics.com/japan/household-spending" \h </w:instrText>
      </w:r>
      <w:r>
        <w:fldChar w:fldCharType="separate"/>
      </w:r>
      <w:r>
        <w:rPr>
          <w:rFonts w:ascii="helvetica neue" w:hAnsi="helvetica neue" w:eastAsia="helvetica neue" w:cs="helvetica neue"/>
          <w:color w:val="000000"/>
          <w:sz w:val="18"/>
          <w:u w:val="single"/>
        </w:rPr>
        <w:t>https://tradingeconomics.com/japan/household-spending</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18859C3E">
      <w:pPr>
        <w:numPr>
          <w:ilvl w:val="0"/>
          <w:numId w:val="9"/>
        </w:numPr>
        <w:spacing w:after="210" w:line="360" w:lineRule="auto"/>
      </w:pPr>
      <w:bookmarkStart w:id="180" w:name="fn23"/>
      <w:bookmarkEnd w:id="180"/>
      <w:r>
        <w:fldChar w:fldCharType="begin"/>
      </w:r>
      <w:r>
        <w:instrText xml:space="preserve"> HYPERLINK "https://www.e-stat.go.jp/en/dbview?sid=0004039815" \h </w:instrText>
      </w:r>
      <w:r>
        <w:fldChar w:fldCharType="separate"/>
      </w:r>
      <w:r>
        <w:rPr>
          <w:rFonts w:ascii="helvetica neue" w:hAnsi="helvetica neue" w:eastAsia="helvetica neue" w:cs="helvetica neue"/>
          <w:color w:val="000000"/>
          <w:sz w:val="18"/>
          <w:u w:val="single"/>
        </w:rPr>
        <w:t>https://www.e-stat.go.jp/en/dbview?sid=0004039815</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6A025BF">
      <w:pPr>
        <w:numPr>
          <w:ilvl w:val="0"/>
          <w:numId w:val="9"/>
        </w:numPr>
        <w:spacing w:after="210" w:line="360" w:lineRule="auto"/>
      </w:pPr>
      <w:bookmarkStart w:id="181" w:name="fn24"/>
      <w:bookmarkEnd w:id="181"/>
      <w:r>
        <w:fldChar w:fldCharType="begin"/>
      </w:r>
      <w:r>
        <w:instrText xml:space="preserve"> HYPERLINK "https://cdnw8.eu-japan.eu/sites/default/files/2021-01-japanese-consumers-behavior_0.pdf" \h </w:instrText>
      </w:r>
      <w:r>
        <w:fldChar w:fldCharType="separate"/>
      </w:r>
      <w:r>
        <w:rPr>
          <w:rFonts w:ascii="helvetica neue" w:hAnsi="helvetica neue" w:eastAsia="helvetica neue" w:cs="helvetica neue"/>
          <w:color w:val="000000"/>
          <w:sz w:val="18"/>
          <w:u w:val="single"/>
        </w:rPr>
        <w:t>https://cdnw8.eu-japan.eu/sites/default/files/2021-01-japanese-consumers-behavior_0.pdf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71338027">
      <w:pPr>
        <w:numPr>
          <w:ilvl w:val="0"/>
          <w:numId w:val="9"/>
        </w:numPr>
        <w:spacing w:after="210" w:line="360" w:lineRule="auto"/>
      </w:pPr>
      <w:bookmarkStart w:id="182" w:name="fn25"/>
      <w:bookmarkEnd w:id="182"/>
      <w:r>
        <w:fldChar w:fldCharType="begin"/>
      </w:r>
      <w:r>
        <w:instrText xml:space="preserve"> HYPERLINK "https://www.ipss.go.jp/pp-newest/e/ppfj02/ppfj02.pdf" \h </w:instrText>
      </w:r>
      <w:r>
        <w:fldChar w:fldCharType="separate"/>
      </w:r>
      <w:r>
        <w:rPr>
          <w:rFonts w:ascii="helvetica neue" w:hAnsi="helvetica neue" w:eastAsia="helvetica neue" w:cs="helvetica neue"/>
          <w:color w:val="000000"/>
          <w:sz w:val="18"/>
          <w:u w:val="single"/>
        </w:rPr>
        <w:t>https://www.ipss.go.jp/pp-newest/e/ppfj02/ppfj02.pdf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6664AA0">
      <w:pPr>
        <w:numPr>
          <w:ilvl w:val="0"/>
          <w:numId w:val="9"/>
        </w:numPr>
        <w:spacing w:after="210" w:line="360" w:lineRule="auto"/>
      </w:pPr>
      <w:bookmarkStart w:id="183" w:name="fn26"/>
      <w:bookmarkEnd w:id="183"/>
      <w:r>
        <w:fldChar w:fldCharType="begin"/>
      </w:r>
      <w:r>
        <w:instrText xml:space="preserve"> HYPERLINK "https://www.stat.go.jp/english/data/kakei/156.html" \h </w:instrText>
      </w:r>
      <w:r>
        <w:fldChar w:fldCharType="separate"/>
      </w:r>
      <w:r>
        <w:rPr>
          <w:rFonts w:ascii="helvetica neue" w:hAnsi="helvetica neue" w:eastAsia="helvetica neue" w:cs="helvetica neue"/>
          <w:color w:val="000000"/>
          <w:sz w:val="18"/>
          <w:u w:val="single"/>
        </w:rPr>
        <w:t>https://www.stat.go.jp/english/data/kakei/156.html</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helvetica neu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1">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2">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3">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4">
    <w:nsid w:val="0248C179"/>
    <w:multiLevelType w:val="singleLevel"/>
    <w:tmpl w:val="0248C179"/>
    <w:lvl w:ilvl="0" w:tentative="0">
      <w:start w:val="1"/>
      <w:numFmt w:val="decimal"/>
      <w:lvlText w:val="%1."/>
      <w:lvlJc w:val="left"/>
      <w:pPr>
        <w:tabs>
          <w:tab w:val="left" w:pos="900"/>
        </w:tabs>
        <w:ind w:left="540" w:hanging="360"/>
      </w:pPr>
    </w:lvl>
  </w:abstractNum>
  <w:abstractNum w:abstractNumId="5">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6">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7">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8">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32A1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qFormat/>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2638</Words>
  <Characters>17974</Characters>
  <TotalTime>0</TotalTime>
  <ScaleCrop>false</ScaleCrop>
  <LinksUpToDate>false</LinksUpToDate>
  <CharactersWithSpaces>20601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2026-02-25T09:30:00Z</dcterms:created>
  <dc:creator>html-to-docx</dc:creator>
  <cp:keywords>html-to-docx</cp:keywords>
  <cp:lastModifiedBy>dyx</cp:lastModifiedBy>
  <dcterms:modified xsi:type="dcterms:W3CDTF">2026-02-25T09:31:11Z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30685C9DE4884DCEA7F214CB006C96E1_12</vt:lpwstr>
  </property>
</Properties>
</file>