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market_size_analysis_of_japan_s_e_804d5d"/>
      <w:r>
        <w:rPr>
          <w:rFonts w:eastAsia="Georgia" w:cs="Georgia" w:ascii="Georgia" w:hAnsi="Georgia"/>
          <w:b/>
          <w:sz w:val="56"/>
        </w:rPr>
        <w:t xml:space="preserve">Market Size Analysis of Japan's Elderly Demographic (2020–2050)</w:t>
      </w:r>
      <w:bookmarkEnd w:id="0"/>
    </w:p>
    <w:p>
      <w:pPr>
        <w:spacing w:line="271" w:before="240" w:lineRule="auto"/>
      </w:pPr>
      <w:bookmarkStart w:id="1" w:name="a_comprehensive_assessment_of_the_98f0bf"/>
      <w:r>
        <w:rPr>
          <w:b/>
          <w:sz w:val="42"/>
        </w:rPr>
        <w:t xml:space="preserve">A Comprehensive Assessment of the Super-Aging Society's Economic Implications</w:t>
      </w:r>
      <w:bookmarkEnd w:id="1"/>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executive_summary"/>
      <w:r>
        <w:rPr>
          <w:b/>
          <w:sz w:val="42"/>
        </w:rPr>
        <w:t xml:space="preserve">Executive Summary</w:t>
      </w:r>
      <w:bookmarkEnd w:id="2"/>
    </w:p>
    <w:p>
      <w:pPr>
        <w:spacing w:after="210" w:lineRule="auto"/>
      </w:pPr>
      <w:r>
        <w:rPr>
          <w:rFonts w:eastAsia="Georgia" w:cs="Georgia" w:ascii="Georgia" w:hAnsi="Georgia"/>
        </w:rPr>
        <w:t xml:space="preserve">Japan stands at the epicenter of global demographic transformation, characterized by unprecedented population aging and a contracting workforce. As of 2024, Japan's Ministry of Internal Affairs and Communications reported 36.25 million citizens aged 65 and older, representing 29.3% of the total population—the highest proportion internationally[1]. This demographic structure is projected to evolve significantly through 2050, with profound consequences for market structure, labor availability, healthcare infrastructure, and national economic resilience.</w:t>
      </w:r>
    </w:p>
    <w:p>
      <w:pPr>
        <w:spacing w:after="210" w:lineRule="auto"/>
      </w:pPr>
      <w:r>
        <w:rPr>
          <w:rFonts w:eastAsia="Georgia" w:cs="Georgia" w:ascii="Georgia" w:hAnsi="Georgia"/>
        </w:rPr>
        <w:t xml:space="preserve">The elderly demographic market in Japan, commonly termed the "longevity economy" or "silver economy," has reached an estimated value of ¥96 trillion (approximately $652.5 billion USD) in 2023 and is projected to expand to ¥115 trillion ($780 billion USD) by 2040[2]. This market encompasses three primary sectors: healthcare (¥29 trillion or $195 billion), long-term nursing care (¥11.7 trillion or $79 billion), and lifestyle-related industries (¥55.7 trillion or $378 billion)[2]. The trajectory of these markets, contingent upon demographic pressures, government policy interventions, and technological innovation adoption, will fundamentally reshape Japan's economic landscape.</w:t>
      </w:r>
    </w:p>
    <w:p>
      <w:pPr>
        <w:spacing w:after="210" w:lineRule="auto"/>
      </w:pPr>
      <w:r>
        <w:rPr>
          <w:rFonts w:eastAsia="Georgia" w:cs="Georgia" w:ascii="Georgia" w:hAnsi="Georgia"/>
        </w:rPr>
        <w:t xml:space="preserve">This analysis examines the structural composition, sectoral dynamics, and strategic implications of Japan's elderly demographic market across the 2020–2050 timeframe, with particular attention to both opportunities and inherent constraints within this transformative period.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 w:name="i_demographic_foundations_and_pro_b2cc3a"/>
      <w:r>
        <w:rPr>
          <w:b/>
          <w:sz w:val="42"/>
        </w:rPr>
        <w:t xml:space="preserve">I. DEMOGRAPHIC FOUNDATIONS AND PROJECTIONS</w:t>
      </w:r>
      <w:bookmarkEnd w:id="3"/>
    </w:p>
    <w:p>
      <w:pPr>
        <w:spacing w:line="271" w:before="240" w:lineRule="auto"/>
      </w:pPr>
      <w:bookmarkStart w:id="4" w:name="i_a_historical_demographic_trajec_ad40cf"/>
      <w:r>
        <w:rPr>
          <w:rFonts w:eastAsia="Georgia" w:cs="Georgia" w:ascii="Georgia" w:hAnsi="Georgia"/>
          <w:b/>
          <w:sz w:val="33"/>
        </w:rPr>
        <w:t xml:space="preserve">I.A. Historical Demographic Trajectory and Current State (2020–2024)</w:t>
      </w:r>
      <w:bookmarkEnd w:id="4"/>
    </w:p>
    <w:p>
      <w:pPr>
        <w:spacing w:after="210" w:lineRule="auto"/>
      </w:pPr>
      <w:r>
        <w:rPr>
          <w:rFonts w:eastAsia="Georgia" w:cs="Georgia" w:ascii="Georgia" w:hAnsi="Georgia"/>
        </w:rPr>
        <w:t xml:space="preserve">Japan's transition to a super-aging society represents a historically unprecedented demographic phenomenon. The National Institute of Population and Social Security Research (IPSS), Japan's primary government demographic institution, defines a "super-aging society" as one where the proportion of population aged 65 and over exceeds 21% of the total population—a threshold Japan surpassed in 2007[3].</w:t>
      </w:r>
    </w:p>
    <w:p>
      <w:pPr>
        <w:spacing w:line="271" w:before="240" w:lineRule="auto"/>
      </w:pPr>
      <w:bookmarkStart w:id="5" w:name="i_a_1_population_structure_2020_baseline"/>
      <w:r>
        <w:rPr>
          <w:b/>
          <w:sz w:val="28"/>
        </w:rPr>
        <w:t xml:space="preserve">I.A.1. Population Structure, 2020 Baseline</w:t>
      </w:r>
      <w:bookmarkEnd w:id="5"/>
    </w:p>
    <w:p>
      <w:pPr>
        <w:spacing w:after="210" w:lineRule="auto"/>
      </w:pPr>
      <w:r>
        <w:rPr/>
        <w:t xml:space="preserve">According to the Japanese Ministry of Health, Labour and Welfare and IPSS projections, Japan's demographic composition in 2020 exhibited the following characteristics:</w:t>
      </w:r>
    </w:p>
    <w:p>
      <w:pPr>
        <w:numPr>
          <w:ilvl w:val="0"/>
          <w:numId w:val="1"/>
        </w:numPr>
        <w:spacing w:lineRule="auto"/>
      </w:pPr>
      <w:r>
        <w:rPr>
          <w:b/>
        </w:rPr>
        <w:t xml:space="preserve">Total population</w:t>
      </w:r>
      <w:r>
        <w:rPr/>
        <w:t xml:space="preserve">: Approximately 126.5 million</w:t>
      </w:r>
    </w:p>
    <w:p>
      <w:pPr>
        <w:numPr>
          <w:ilvl w:val="0"/>
          <w:numId w:val="1"/>
        </w:numPr>
        <w:spacing w:lineRule="auto"/>
      </w:pPr>
      <w:r>
        <w:rPr>
          <w:b/>
        </w:rPr>
        <w:t xml:space="preserve">Population aged 65+</w:t>
      </w:r>
      <w:r>
        <w:rPr/>
        <w:t xml:space="preserve">: 36.03 million (28.6% of total)</w:t>
      </w:r>
    </w:p>
    <w:p>
      <w:pPr>
        <w:numPr>
          <w:ilvl w:val="0"/>
          <w:numId w:val="1"/>
        </w:numPr>
        <w:spacing w:lineRule="auto"/>
      </w:pPr>
      <w:r>
        <w:rPr>
          <w:b/>
        </w:rPr>
        <w:t xml:space="preserve">Population aged 75+</w:t>
      </w:r>
      <w:r>
        <w:rPr/>
        <w:t xml:space="preserve">: Approximately 8.8 million (7.0% of total)</w:t>
      </w:r>
    </w:p>
    <w:p>
      <w:pPr>
        <w:numPr>
          <w:ilvl w:val="0"/>
          <w:numId w:val="1"/>
        </w:numPr>
        <w:spacing w:lineRule="auto"/>
      </w:pPr>
      <w:r>
        <w:rPr>
          <w:b/>
        </w:rPr>
        <w:t xml:space="preserve">Working-age population (15–64)</w:t>
      </w:r>
      <w:r>
        <w:rPr/>
        <w:t xml:space="preserve">: 74.6 million (59.1%)</w:t>
      </w:r>
    </w:p>
    <w:p>
      <w:pPr>
        <w:numPr>
          <w:ilvl w:val="0"/>
          <w:numId w:val="1"/>
        </w:numPr>
        <w:spacing w:lineRule="auto"/>
      </w:pPr>
      <w:r>
        <w:rPr>
          <w:b/>
        </w:rPr>
        <w:t xml:space="preserve">Child population (0–14)</w:t>
      </w:r>
      <w:r>
        <w:rPr/>
        <w:t xml:space="preserve">: 15.6 million (12.3%)[3]</w:t>
      </w:r>
    </w:p>
    <w:p>
      <w:pPr>
        <w:spacing w:after="210" w:lineRule="auto"/>
      </w:pPr>
      <w:r>
        <w:rPr>
          <w:rFonts w:eastAsia="Georgia" w:cs="Georgia" w:ascii="Georgia" w:hAnsi="Georgia"/>
        </w:rPr>
        <w:t xml:space="preserve">The demographic dependency ratio—a critical measure of intergenerational support burden—stood at 48.0 in 2020, signifying that 2.1 working-age persons (15–64) supported each elderly person (65+)[3]. This metric serves as a key indicator for assessing fiscal pressures on public social security systems.</w:t>
      </w:r>
    </w:p>
    <w:p>
      <w:pPr>
        <w:spacing w:line="271" w:before="240" w:lineRule="auto"/>
      </w:pPr>
      <w:bookmarkStart w:id="6" w:name="i_a_2_demographic_change_through_2024"/>
      <w:r>
        <w:rPr>
          <w:b/>
          <w:sz w:val="28"/>
        </w:rPr>
        <w:t xml:space="preserve">I.A.2. Demographic Change Through 2024</w:t>
      </w:r>
      <w:bookmarkEnd w:id="6"/>
    </w:p>
    <w:p>
      <w:pPr>
        <w:spacing w:after="210" w:lineRule="auto"/>
      </w:pPr>
      <w:r>
        <w:rPr/>
        <w:t xml:space="preserve">By 2024, Japan's demographic composition had evolved materially. According to official Ministry of Internal Affairs and Communications data:</w:t>
      </w:r>
    </w:p>
    <w:p>
      <w:pPr>
        <w:numPr>
          <w:ilvl w:val="0"/>
          <w:numId w:val="2"/>
        </w:numPr>
        <w:spacing w:lineRule="auto"/>
      </w:pPr>
      <w:r>
        <w:rPr>
          <w:b/>
        </w:rPr>
        <w:t xml:space="preserve">Total population</w:t>
      </w:r>
      <w:r>
        <w:rPr/>
        <w:t xml:space="preserve">: Approximately 125.1 million (declining from 2020 baseline)</w:t>
      </w:r>
    </w:p>
    <w:p>
      <w:pPr>
        <w:numPr>
          <w:ilvl w:val="0"/>
          <w:numId w:val="2"/>
        </w:numPr>
        <w:spacing w:lineRule="auto"/>
      </w:pPr>
      <w:r>
        <w:rPr>
          <w:b/>
        </w:rPr>
        <w:t xml:space="preserve">Population aged 65+</w:t>
      </w:r>
      <w:r>
        <w:rPr/>
        <w:t xml:space="preserve">: 36.25 million (29.3% of total)</w:t>
      </w:r>
    </w:p>
    <w:p>
      <w:pPr>
        <w:numPr>
          <w:ilvl w:val="0"/>
          <w:numId w:val="2"/>
        </w:numPr>
        <w:spacing w:lineRule="auto"/>
      </w:pPr>
      <w:r>
        <w:rPr>
          <w:b/>
        </w:rPr>
        <w:t xml:space="preserve">Population aged 75+</w:t>
      </w:r>
      <w:r>
        <w:rPr/>
        <w:t xml:space="preserve">: Approximately 11.2 million (9.0% of total)</w:t>
      </w:r>
    </w:p>
    <w:p>
      <w:pPr>
        <w:numPr>
          <w:ilvl w:val="0"/>
          <w:numId w:val="2"/>
        </w:numPr>
        <w:spacing w:lineRule="auto"/>
      </w:pPr>
      <w:r>
        <w:rPr>
          <w:b/>
        </w:rPr>
        <w:t xml:space="preserve">Record single-person households aged 65+</w:t>
      </w:r>
      <w:r>
        <w:rPr/>
        <w:t xml:space="preserve">: Exceeded 9 million for the first time, with 61.7% comprising individuals aged 75 and above[2]</w:t>
      </w:r>
    </w:p>
    <w:p>
      <w:pPr>
        <w:spacing w:after="210" w:lineRule="auto"/>
      </w:pPr>
      <w:r>
        <w:rPr/>
        <w:t xml:space="preserve">This shift represents a deepening demographic concentration in the oldest-old (75+) cohort, a phenomenon with significant implications for healthcare intensity and long-term care service demand.</w:t>
      </w:r>
    </w:p>
    <w:p>
      <w:pPr>
        <w:spacing w:line="271" w:before="240" w:lineRule="auto"/>
      </w:pPr>
      <w:bookmarkStart w:id="7" w:name="i_b_population_projections_2025_2_1d6eca"/>
      <w:r>
        <w:rPr>
          <w:rFonts w:eastAsia="Georgia" w:cs="Georgia" w:ascii="Georgia" w:hAnsi="Georgia"/>
          <w:b/>
          <w:sz w:val="33"/>
        </w:rPr>
        <w:t xml:space="preserve">I.B. Population Projections (2025–2050): Multiple Scenarios</w:t>
      </w:r>
      <w:bookmarkEnd w:id="7"/>
    </w:p>
    <w:p>
      <w:pPr>
        <w:spacing w:after="210" w:lineRule="auto"/>
      </w:pPr>
      <w:r>
        <w:rPr/>
        <w:t xml:space="preserve">The Institute of Population and Social Security Research released revised population projections in 2023, superseding prior estimates. These projections employ three fertility scenarios (high, medium, and low), each coupled with mortality assumptions, to capture uncertainty regarding future demographic trajectories.</w:t>
      </w:r>
    </w:p>
    <w:p>
      <w:pPr>
        <w:spacing w:line="271" w:before="240" w:lineRule="auto"/>
      </w:pPr>
      <w:bookmarkStart w:id="8" w:name="i_b_1_medium_fertility_medium_mor_aec4fa"/>
      <w:r>
        <w:rPr>
          <w:b/>
          <w:sz w:val="28"/>
        </w:rPr>
        <w:t xml:space="preserve">I.B.1. Medium-Fertility/Medium-Mortality Scenario (Central Baseline)</w:t>
      </w:r>
      <w:bookmarkEnd w:id="8"/>
    </w:p>
    <w:p>
      <w:pPr>
        <w:spacing w:after="210" w:lineRule="auto"/>
      </w:pPr>
      <w:r>
        <w:rPr/>
        <w:t xml:space="preserve">Under the most commonly cited medium-fertility/medium-mortality scenario:</w:t>
      </w:r>
    </w:p>
    <w:p>
      <w:pPr>
        <w:spacing w:after="210" w:lineRule="auto"/>
      </w:pPr>
      <w:r>
        <w:rPr>
          <w:b/>
        </w:rPr>
        <w:t xml:space="preserve">Table 1: Population Projections Under Medium-Fertility/Medium-Mortality Scenario, Selected Years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1" w:space="0" w:color="000000"/>
              <w:bottom w:val="single" w:sz="1" w:space="0" w:color="000000"/>
            </w:tcBorders>
          </w:tcPr>
          <w:p>
            <w:pPr>
              <w:spacing w:lineRule="auto"/>
            </w:pPr>
            <w:r>
              <w:rPr/>
              <w:t xml:space="preserve">Year</w:t>
            </w:r>
          </w:p>
        </w:tc>
        <w:tc>
          <w:tcPr>
            <w:tcBorders>
              <w:top w:val="single" w:sz="1" w:space="0" w:color="000000"/>
              <w:left w:val="single" w:sz="1" w:space="0" w:color="000000"/>
              <w:bottom w:val="single" w:sz="1" w:space="0" w:color="000000"/>
            </w:tcBorders>
          </w:tcPr>
          <w:p>
            <w:pPr>
              <w:spacing w:lineRule="auto"/>
            </w:pPr>
            <w:r>
              <w:rPr/>
              <w:t xml:space="preserve">Total Population (millions)</w:t>
            </w:r>
          </w:p>
        </w:tc>
        <w:tc>
          <w:tcPr>
            <w:tcBorders>
              <w:top w:val="single" w:sz="1" w:space="0" w:color="000000"/>
              <w:left w:val="single" w:sz="1" w:space="0" w:color="000000"/>
              <w:bottom w:val="single" w:sz="1" w:space="0" w:color="000000"/>
            </w:tcBorders>
          </w:tcPr>
          <w:p>
            <w:pPr>
              <w:spacing w:lineRule="auto"/>
            </w:pPr>
            <w:r>
              <w:rPr/>
              <w:t xml:space="preserve">Aged 65+ (millions)</w:t>
            </w:r>
          </w:p>
        </w:tc>
        <w:tc>
          <w:tcPr>
            <w:tcBorders>
              <w:top w:val="single" w:sz="1" w:space="0" w:color="000000"/>
              <w:left w:val="single" w:sz="1" w:space="0" w:color="000000"/>
              <w:bottom w:val="single" w:sz="1" w:space="0" w:color="000000"/>
            </w:tcBorders>
          </w:tcPr>
          <w:p>
            <w:pPr>
              <w:spacing w:lineRule="auto"/>
            </w:pPr>
            <w:r>
              <w:rPr/>
              <w:t xml:space="preserve">Aged 65+ (% of total)</w:t>
            </w:r>
          </w:p>
        </w:tc>
        <w:tc>
          <w:tcPr>
            <w:tcBorders>
              <w:top w:val="single" w:sz="1" w:space="0" w:color="000000"/>
              <w:left w:val="single" w:sz="1" w:space="0" w:color="000000"/>
              <w:bottom w:val="single" w:sz="1" w:space="0" w:color="000000"/>
            </w:tcBorders>
          </w:tcPr>
          <w:p>
            <w:pPr>
              <w:spacing w:lineRule="auto"/>
            </w:pPr>
            <w:r>
              <w:rPr/>
              <w:t xml:space="preserve">Aged 75+ (millions)</w:t>
            </w:r>
          </w:p>
        </w:tc>
        <w:tc>
          <w:tcPr>
            <w:tcBorders>
              <w:top w:val="single" w:sz="1" w:space="0" w:color="000000"/>
              <w:left w:val="single" w:sz="1" w:space="0" w:color="000000"/>
              <w:bottom w:val="single" w:sz="1" w:space="0" w:color="000000"/>
            </w:tcBorders>
          </w:tcPr>
          <w:p>
            <w:pPr>
              <w:spacing w:lineRule="auto"/>
            </w:pPr>
            <w:r>
              <w:rPr/>
              <w:t xml:space="preserve">Old-Age Dependency Ratio (per 100 working-age)</w:t>
            </w:r>
          </w:p>
        </w:tc>
      </w:tr>
      <w:tr>
        <w:trPr>
          <w:cantSplit/>
        </w:trPr>
        <w:tc>
          <w:tcPr>
            <w:tcBorders>
              <w:top w:val="single" w:sz="1" w:space="0" w:color="000000"/>
              <w:bottom w:val="single" w:sz="1" w:space="0" w:color="000000"/>
            </w:tcBorders>
          </w:tcPr>
          <w:p>
            <w:pPr>
              <w:spacing w:lineRule="auto"/>
            </w:pPr>
            <w:r>
              <w:rPr/>
              <w:t xml:space="preserve">2020</w:t>
            </w:r>
          </w:p>
        </w:tc>
        <w:tc>
          <w:tcPr>
            <w:tcBorders>
              <w:top w:val="single" w:sz="1" w:space="0" w:color="000000"/>
              <w:left w:val="single" w:sz="1" w:space="0" w:color="000000"/>
              <w:bottom w:val="single" w:sz="1" w:space="0" w:color="000000"/>
            </w:tcBorders>
          </w:tcPr>
          <w:p>
            <w:pPr>
              <w:spacing w:lineRule="auto"/>
            </w:pPr>
            <w:r>
              <w:rPr/>
              <w:t xml:space="preserve">126.5</w:t>
            </w:r>
          </w:p>
        </w:tc>
        <w:tc>
          <w:tcPr>
            <w:tcBorders>
              <w:top w:val="single" w:sz="1" w:space="0" w:color="000000"/>
              <w:left w:val="single" w:sz="1" w:space="0" w:color="000000"/>
              <w:bottom w:val="single" w:sz="1" w:space="0" w:color="000000"/>
            </w:tcBorders>
          </w:tcPr>
          <w:p>
            <w:pPr>
              <w:spacing w:lineRule="auto"/>
            </w:pPr>
            <w:r>
              <w:rPr/>
              <w:t xml:space="preserve">36.03</w:t>
            </w:r>
          </w:p>
        </w:tc>
        <w:tc>
          <w:tcPr>
            <w:tcBorders>
              <w:top w:val="single" w:sz="1" w:space="0" w:color="000000"/>
              <w:left w:val="single" w:sz="1" w:space="0" w:color="000000"/>
              <w:bottom w:val="single" w:sz="1" w:space="0" w:color="000000"/>
            </w:tcBorders>
          </w:tcPr>
          <w:p>
            <w:pPr>
              <w:spacing w:lineRule="auto"/>
            </w:pPr>
            <w:r>
              <w:rPr/>
              <w:t xml:space="preserve">28.6%</w:t>
            </w:r>
          </w:p>
        </w:tc>
        <w:tc>
          <w:tcPr>
            <w:tcBorders>
              <w:top w:val="single" w:sz="1" w:space="0" w:color="000000"/>
              <w:left w:val="single" w:sz="1" w:space="0" w:color="000000"/>
              <w:bottom w:val="single" w:sz="1" w:space="0" w:color="000000"/>
            </w:tcBorders>
          </w:tcPr>
          <w:p>
            <w:pPr>
              <w:spacing w:lineRule="auto"/>
            </w:pPr>
            <w:r>
              <w:rPr/>
              <w:t xml:space="preserve">8.8</w:t>
            </w:r>
          </w:p>
        </w:tc>
        <w:tc>
          <w:tcPr>
            <w:tcBorders>
              <w:top w:val="single" w:sz="1" w:space="0" w:color="000000"/>
              <w:left w:val="single" w:sz="1" w:space="0" w:color="000000"/>
              <w:bottom w:val="single" w:sz="1" w:space="0" w:color="000000"/>
            </w:tcBorders>
          </w:tcPr>
          <w:p>
            <w:pPr>
              <w:spacing w:lineRule="auto"/>
            </w:pPr>
            <w:r>
              <w:rPr/>
              <w:t xml:space="preserve">48.0</w:t>
            </w:r>
          </w:p>
        </w:tc>
      </w:tr>
      <w:tr>
        <w:trPr>
          <w:cantSplit/>
        </w:trPr>
        <w:tc>
          <w:tcPr>
            <w:tcBorders>
              <w:top w:val="single" w:sz="1" w:space="0" w:color="000000"/>
              <w:bottom w:val="single" w:sz="1" w:space="0" w:color="000000"/>
            </w:tcBorders>
          </w:tcPr>
          <w:p>
            <w:pPr>
              <w:spacing w:lineRule="auto"/>
            </w:pPr>
            <w:r>
              <w:rPr/>
              <w:t xml:space="preserve">2030</w:t>
            </w:r>
          </w:p>
        </w:tc>
        <w:tc>
          <w:tcPr>
            <w:tcBorders>
              <w:top w:val="single" w:sz="1" w:space="0" w:color="000000"/>
              <w:left w:val="single" w:sz="1" w:space="0" w:color="000000"/>
              <w:bottom w:val="single" w:sz="1" w:space="0" w:color="000000"/>
            </w:tcBorders>
          </w:tcPr>
          <w:p>
            <w:pPr>
              <w:spacing w:lineRule="auto"/>
            </w:pPr>
            <w:r>
              <w:rPr/>
              <w:t xml:space="preserve">120.0</w:t>
            </w:r>
          </w:p>
        </w:tc>
        <w:tc>
          <w:tcPr>
            <w:tcBorders>
              <w:top w:val="single" w:sz="1" w:space="0" w:color="000000"/>
              <w:left w:val="single" w:sz="1" w:space="0" w:color="000000"/>
              <w:bottom w:val="single" w:sz="1" w:space="0" w:color="000000"/>
            </w:tcBorders>
          </w:tcPr>
          <w:p>
            <w:pPr>
              <w:spacing w:lineRule="auto"/>
            </w:pPr>
            <w:r>
              <w:rPr/>
              <w:t xml:space="preserve">38.0</w:t>
            </w:r>
          </w:p>
        </w:tc>
        <w:tc>
          <w:tcPr>
            <w:tcBorders>
              <w:top w:val="single" w:sz="1" w:space="0" w:color="000000"/>
              <w:left w:val="single" w:sz="1" w:space="0" w:color="000000"/>
              <w:bottom w:val="single" w:sz="1" w:space="0" w:color="000000"/>
            </w:tcBorders>
          </w:tcPr>
          <w:p>
            <w:pPr>
              <w:spacing w:lineRule="auto"/>
            </w:pPr>
            <w:r>
              <w:rPr/>
              <w:t xml:space="preserve">31.4%</w:t>
            </w:r>
          </w:p>
        </w:tc>
        <w:tc>
          <w:tcPr>
            <w:tcBorders>
              <w:top w:val="single" w:sz="1" w:space="0" w:color="000000"/>
              <w:left w:val="single" w:sz="1" w:space="0" w:color="000000"/>
              <w:bottom w:val="single" w:sz="1" w:space="0" w:color="000000"/>
            </w:tcBorders>
          </w:tcPr>
          <w:p>
            <w:pPr>
              <w:spacing w:lineRule="auto"/>
            </w:pPr>
            <w:r>
              <w:rPr/>
              <w:t xml:space="preserve">11.2</w:t>
            </w:r>
          </w:p>
        </w:tc>
        <w:tc>
          <w:tcPr>
            <w:tcBorders>
              <w:top w:val="single" w:sz="1" w:space="0" w:color="000000"/>
              <w:left w:val="single" w:sz="1" w:space="0" w:color="000000"/>
              <w:bottom w:val="single" w:sz="1" w:space="0" w:color="000000"/>
            </w:tcBorders>
          </w:tcPr>
          <w:p>
            <w:pPr>
              <w:spacing w:lineRule="auto"/>
            </w:pPr>
            <w:r>
              <w:rPr/>
              <w:t xml:space="preserve">54.1</w:t>
            </w:r>
          </w:p>
        </w:tc>
      </w:tr>
      <w:tr>
        <w:trPr>
          <w:cantSplit/>
        </w:trPr>
        <w:tc>
          <w:tcPr>
            <w:tcBorders>
              <w:top w:val="single" w:sz="1" w:space="0" w:color="000000"/>
              <w:bottom w:val="single" w:sz="1" w:space="0" w:color="000000"/>
            </w:tcBorders>
          </w:tcPr>
          <w:p>
            <w:pPr>
              <w:spacing w:lineRule="auto"/>
            </w:pPr>
            <w:r>
              <w:rPr/>
              <w:t xml:space="preserve">2040</w:t>
            </w:r>
          </w:p>
        </w:tc>
        <w:tc>
          <w:tcPr>
            <w:tcBorders>
              <w:top w:val="single" w:sz="1" w:space="0" w:color="000000"/>
              <w:left w:val="single" w:sz="1" w:space="0" w:color="000000"/>
              <w:bottom w:val="single" w:sz="1" w:space="0" w:color="000000"/>
            </w:tcBorders>
          </w:tcPr>
          <w:p>
            <w:pPr>
              <w:spacing w:lineRule="auto"/>
            </w:pPr>
            <w:r>
              <w:rPr/>
              <w:t xml:space="preserve">115.2</w:t>
            </w:r>
          </w:p>
        </w:tc>
        <w:tc>
          <w:tcPr>
            <w:tcBorders>
              <w:top w:val="single" w:sz="1" w:space="0" w:color="000000"/>
              <w:left w:val="single" w:sz="1" w:space="0" w:color="000000"/>
              <w:bottom w:val="single" w:sz="1" w:space="0" w:color="000000"/>
            </w:tcBorders>
          </w:tcPr>
          <w:p>
            <w:pPr>
              <w:spacing w:lineRule="auto"/>
            </w:pPr>
            <w:r>
              <w:rPr/>
              <w:t xml:space="preserve">39.5</w:t>
            </w:r>
          </w:p>
        </w:tc>
        <w:tc>
          <w:tcPr>
            <w:tcBorders>
              <w:top w:val="single" w:sz="1" w:space="0" w:color="000000"/>
              <w:left w:val="single" w:sz="1" w:space="0" w:color="000000"/>
              <w:bottom w:val="single" w:sz="1" w:space="0" w:color="000000"/>
            </w:tcBorders>
          </w:tcPr>
          <w:p>
            <w:pPr>
              <w:spacing w:lineRule="auto"/>
            </w:pPr>
            <w:r>
              <w:rPr/>
              <w:t xml:space="preserve">34.3%</w:t>
            </w:r>
          </w:p>
        </w:tc>
        <w:tc>
          <w:tcPr>
            <w:tcBorders>
              <w:top w:val="single" w:sz="1" w:space="0" w:color="000000"/>
              <w:left w:val="single" w:sz="1" w:space="0" w:color="000000"/>
              <w:bottom w:val="single" w:sz="1" w:space="0" w:color="000000"/>
            </w:tcBorders>
          </w:tcPr>
          <w:p>
            <w:pPr>
              <w:spacing w:lineRule="auto"/>
            </w:pPr>
            <w:r>
              <w:rPr/>
              <w:t xml:space="preserve">13.8</w:t>
            </w:r>
          </w:p>
        </w:tc>
        <w:tc>
          <w:tcPr>
            <w:tcBorders>
              <w:top w:val="single" w:sz="1" w:space="0" w:color="000000"/>
              <w:left w:val="single" w:sz="1" w:space="0" w:color="000000"/>
              <w:bottom w:val="single" w:sz="1" w:space="0" w:color="000000"/>
            </w:tcBorders>
          </w:tcPr>
          <w:p>
            <w:pPr>
              <w:spacing w:lineRule="auto"/>
            </w:pPr>
            <w:r>
              <w:rPr/>
              <w:t xml:space="preserve">61.2</w:t>
            </w:r>
          </w:p>
        </w:tc>
      </w:tr>
      <w:tr>
        <w:trPr>
          <w:cantSplit/>
        </w:trPr>
        <w:tc>
          <w:tcPr>
            <w:tcBorders>
              <w:top w:val="single" w:sz="1" w:space="0" w:color="000000"/>
              <w:bottom w:val="single" w:sz="1" w:space="0" w:color="000000"/>
            </w:tcBorders>
          </w:tcPr>
          <w:p>
            <w:pPr>
              <w:spacing w:lineRule="auto"/>
            </w:pPr>
            <w:r>
              <w:rPr/>
              <w:t xml:space="preserve">2050</w:t>
            </w:r>
          </w:p>
        </w:tc>
        <w:tc>
          <w:tcPr>
            <w:tcBorders>
              <w:top w:val="single" w:sz="1" w:space="0" w:color="000000"/>
              <w:left w:val="single" w:sz="1" w:space="0" w:color="000000"/>
              <w:bottom w:val="single" w:sz="1" w:space="0" w:color="000000"/>
            </w:tcBorders>
          </w:tcPr>
          <w:p>
            <w:pPr>
              <w:spacing w:lineRule="auto"/>
            </w:pPr>
            <w:r>
              <w:rPr/>
              <w:t xml:space="preserve">107.3</w:t>
            </w:r>
          </w:p>
        </w:tc>
        <w:tc>
          <w:tcPr>
            <w:tcBorders>
              <w:top w:val="single" w:sz="1" w:space="0" w:color="000000"/>
              <w:left w:val="single" w:sz="1" w:space="0" w:color="000000"/>
              <w:bottom w:val="single" w:sz="1" w:space="0" w:color="000000"/>
            </w:tcBorders>
          </w:tcPr>
          <w:p>
            <w:pPr>
              <w:spacing w:lineRule="auto"/>
            </w:pPr>
            <w:r>
              <w:rPr/>
              <w:t xml:space="preserve">38.7</w:t>
            </w:r>
          </w:p>
        </w:tc>
        <w:tc>
          <w:tcPr>
            <w:tcBorders>
              <w:top w:val="single" w:sz="1" w:space="0" w:color="000000"/>
              <w:left w:val="single" w:sz="1" w:space="0" w:color="000000"/>
              <w:bottom w:val="single" w:sz="1" w:space="0" w:color="000000"/>
            </w:tcBorders>
          </w:tcPr>
          <w:p>
            <w:pPr>
              <w:spacing w:lineRule="auto"/>
            </w:pPr>
            <w:r>
              <w:rPr/>
              <w:t xml:space="preserve">36.1%</w:t>
            </w:r>
          </w:p>
        </w:tc>
        <w:tc>
          <w:tcPr>
            <w:tcBorders>
              <w:top w:val="single" w:sz="1" w:space="0" w:color="000000"/>
              <w:left w:val="single" w:sz="1" w:space="0" w:color="000000"/>
              <w:bottom w:val="single" w:sz="1" w:space="0" w:color="000000"/>
            </w:tcBorders>
          </w:tcPr>
          <w:p>
            <w:pPr>
              <w:spacing w:lineRule="auto"/>
            </w:pPr>
            <w:r>
              <w:rPr/>
              <w:t xml:space="preserve">15.4</w:t>
            </w:r>
          </w:p>
        </w:tc>
        <w:tc>
          <w:tcPr>
            <w:tcBorders>
              <w:top w:val="single" w:sz="1" w:space="0" w:color="000000"/>
              <w:left w:val="single" w:sz="1" w:space="0" w:color="000000"/>
              <w:bottom w:val="single" w:sz="1" w:space="0" w:color="000000"/>
            </w:tcBorders>
          </w:tcPr>
          <w:p>
            <w:pPr>
              <w:spacing w:lineRule="auto"/>
            </w:pPr>
            <w:r>
              <w:rPr/>
              <w:t xml:space="preserve">74.2</w:t>
            </w:r>
          </w:p>
        </w:tc>
      </w:tr>
    </w:tbl>
    <w:p>
      <w:pPr>
        <w:spacing w:lineRule="auto"/>
      </w:pPr>
    </w:p>
    <w:p>
      <w:pPr>
        <w:spacing w:after="210" w:lineRule="auto"/>
      </w:pPr>
      <w:r>
        <w:rPr>
          <w:i/>
        </w:rPr>
        <w:t xml:space="preserve">Source: National Institute of Population and Social Security Research (IPSS), 2023 Revision[3]</w:t>
      </w:r>
    </w:p>
    <w:p>
      <w:pPr>
        <w:spacing w:after="210" w:lineRule="auto"/>
      </w:pPr>
      <w:r>
        <w:rPr>
          <w:b/>
        </w:rPr>
        <w:t xml:space="preserve">Key Observations:</w:t>
      </w:r>
    </w:p>
    <w:p>
      <w:pPr>
        <w:numPr>
          <w:ilvl w:val="0"/>
          <w:numId w:val="3"/>
        </w:numPr>
        <w:spacing w:after="210" w:lineRule="auto"/>
      </w:pPr>
      <w:r>
        <w:rPr>
          <w:b/>
        </w:rPr>
        <w:t xml:space="preserve">Peak elderly population (2043)</w:t>
      </w:r>
      <w:r>
        <w:rPr>
          <w:rFonts w:eastAsia="Georgia" w:cs="Georgia" w:ascii="Georgia" w:hAnsi="Georgia"/>
        </w:rPr>
        <w:t xml:space="preserve">: The absolute number of individuals aged 65+ will reach its maximum of approximately 39.35 million around 2043, after which gradual decline occurs—a significant inflection point for healthcare infrastructure planning.</w:t>
      </w:r>
    </w:p>
    <w:p>
      <w:pPr>
        <w:numPr>
          <w:ilvl w:val="0"/>
          <w:numId w:val="3"/>
        </w:numPr>
        <w:spacing w:after="210" w:lineRule="auto"/>
      </w:pPr>
      <w:r>
        <w:rPr>
          <w:b/>
        </w:rPr>
        <w:t xml:space="preserve">Sustained proportion increase</w:t>
      </w:r>
      <w:r>
        <w:rPr/>
        <w:t xml:space="preserve">: Although the absolute elderly population declines post-2043, the proportion aged 65+ continues rising through 2050 due to even steeper declines in younger cohorts, reaching 36.1% by 2050.</w:t>
      </w:r>
    </w:p>
    <w:p>
      <w:pPr>
        <w:numPr>
          <w:ilvl w:val="0"/>
          <w:numId w:val="3"/>
        </w:numPr>
        <w:spacing w:after="210" w:lineRule="auto"/>
      </w:pPr>
      <w:r>
        <w:rPr>
          <w:b/>
        </w:rPr>
        <w:t xml:space="preserve">Dependency ratio deterioration</w:t>
      </w:r>
      <w:r>
        <w:rPr>
          <w:rFonts w:eastAsia="Georgia" w:cs="Georgia" w:ascii="Georgia" w:hAnsi="Georgia"/>
        </w:rPr>
        <w:t xml:space="preserve">: The old-age dependency ratio is projected to deteriorate from 48.0 (2020) to 74.2 (2050)—a 54.6% increase—indicating that by 2050, only 1.3 working-age persons will support each elderly person, compared with 2.1 in 2020.</w:t>
      </w:r>
    </w:p>
    <w:p>
      <w:pPr>
        <w:numPr>
          <w:ilvl w:val="0"/>
          <w:numId w:val="3"/>
        </w:numPr>
        <w:spacing w:after="210" w:lineRule="auto"/>
      </w:pPr>
      <w:r>
        <w:rPr>
          <w:b/>
        </w:rPr>
        <w:t xml:space="preserve">Oldest-old concentration</w:t>
      </w:r>
      <w:r>
        <w:rPr/>
        <w:t xml:space="preserve">: The population aged 75+ is projected to comprise an increasing share of the elderly cohort, rising from 24.4% of the 65+ population in 2020 to 39.8% by 2050. This shift has disproportionate implications for healthcare intensity and long-term care service requirements, as morbidity and care dependency escalate significantly beyond age 75.</w:t>
      </w:r>
    </w:p>
    <w:p>
      <w:pPr>
        <w:spacing w:line="271" w:before="240" w:lineRule="auto"/>
      </w:pPr>
      <w:bookmarkStart w:id="9" w:name="i_b_2_alternative_scenarios_high_1c7b9f"/>
      <w:r>
        <w:rPr>
          <w:b/>
          <w:sz w:val="28"/>
        </w:rPr>
        <w:t xml:space="preserve">I.B.2. Alternative Scenarios: High-Fertility and Low-Fertility Projections</w:t>
      </w:r>
      <w:bookmarkEnd w:id="9"/>
    </w:p>
    <w:p>
      <w:pPr>
        <w:spacing w:after="210" w:lineRule="auto"/>
      </w:pPr>
      <w:r>
        <w:rPr/>
        <w:t xml:space="preserve">Given inherent uncertainty regarding future fertility and mortality rates, the IPSS provides alternative projections:</w:t>
      </w:r>
    </w:p>
    <w:p>
      <w:pPr>
        <w:spacing w:after="210" w:lineRule="auto"/>
      </w:pPr>
      <w:r>
        <w:rPr>
          <w:b/>
        </w:rPr>
        <w:t xml:space="preserve">Table 2: 2050 Population Outcomes Across Fertility Scenarios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Scenario</w:t>
            </w:r>
          </w:p>
        </w:tc>
        <w:tc>
          <w:tcPr>
            <w:tcBorders>
              <w:top w:val="single" w:sz="1" w:space="0" w:color="000000"/>
              <w:left w:val="single" w:sz="1" w:space="0" w:color="000000"/>
              <w:bottom w:val="single" w:sz="1" w:space="0" w:color="000000"/>
            </w:tcBorders>
          </w:tcPr>
          <w:p>
            <w:pPr>
              <w:spacing w:lineRule="auto"/>
            </w:pPr>
            <w:r>
              <w:rPr/>
              <w:t xml:space="preserve">Total Population 2050 (millions)</w:t>
            </w:r>
          </w:p>
        </w:tc>
        <w:tc>
          <w:tcPr>
            <w:tcBorders>
              <w:top w:val="single" w:sz="1" w:space="0" w:color="000000"/>
              <w:left w:val="single" w:sz="1" w:space="0" w:color="000000"/>
              <w:bottom w:val="single" w:sz="1" w:space="0" w:color="000000"/>
            </w:tcBorders>
          </w:tcPr>
          <w:p>
            <w:pPr>
              <w:spacing w:lineRule="auto"/>
            </w:pPr>
            <w:r>
              <w:rPr/>
              <w:t xml:space="preserve">Aged 65+ Population 2050 (millions)</w:t>
            </w:r>
          </w:p>
        </w:tc>
        <w:tc>
          <w:tcPr>
            <w:tcBorders>
              <w:top w:val="single" w:sz="1" w:space="0" w:color="000000"/>
              <w:left w:val="single" w:sz="1" w:space="0" w:color="000000"/>
              <w:bottom w:val="single" w:sz="1" w:space="0" w:color="000000"/>
            </w:tcBorders>
          </w:tcPr>
          <w:p>
            <w:pPr>
              <w:spacing w:lineRule="auto"/>
            </w:pPr>
            <w:r>
              <w:rPr/>
              <w:t xml:space="preserve">Aged 65+ (% of total)</w:t>
            </w:r>
          </w:p>
        </w:tc>
      </w:tr>
      <w:tr>
        <w:trPr>
          <w:cantSplit/>
        </w:trPr>
        <w:tc>
          <w:tcPr>
            <w:tcBorders>
              <w:top w:val="single" w:sz="1" w:space="0" w:color="000000"/>
              <w:bottom w:val="single" w:sz="1" w:space="0" w:color="000000"/>
            </w:tcBorders>
          </w:tcPr>
          <w:p>
            <w:pPr>
              <w:spacing w:lineRule="auto"/>
            </w:pPr>
            <w:r>
              <w:rPr/>
              <w:t xml:space="preserve">High-Fertility Scenario</w:t>
            </w:r>
          </w:p>
        </w:tc>
        <w:tc>
          <w:tcPr>
            <w:tcBorders>
              <w:top w:val="single" w:sz="1" w:space="0" w:color="000000"/>
              <w:left w:val="single" w:sz="1" w:space="0" w:color="000000"/>
              <w:bottom w:val="single" w:sz="1" w:space="0" w:color="000000"/>
            </w:tcBorders>
          </w:tcPr>
          <w:p>
            <w:pPr>
              <w:spacing w:lineRule="auto"/>
            </w:pPr>
            <w:r>
              <w:rPr/>
              <w:t xml:space="preserve">95.5</w:t>
            </w:r>
          </w:p>
        </w:tc>
        <w:tc>
          <w:tcPr>
            <w:tcBorders>
              <w:top w:val="single" w:sz="1" w:space="0" w:color="000000"/>
              <w:left w:val="single" w:sz="1" w:space="0" w:color="000000"/>
              <w:bottom w:val="single" w:sz="1" w:space="0" w:color="000000"/>
            </w:tcBorders>
          </w:tcPr>
          <w:p>
            <w:pPr>
              <w:spacing w:lineRule="auto"/>
            </w:pPr>
            <w:r>
              <w:rPr/>
              <w:t xml:space="preserve">33.6</w:t>
            </w:r>
          </w:p>
        </w:tc>
        <w:tc>
          <w:tcPr>
            <w:tcBorders>
              <w:top w:val="single" w:sz="1" w:space="0" w:color="000000"/>
              <w:left w:val="single" w:sz="1" w:space="0" w:color="000000"/>
              <w:bottom w:val="single" w:sz="1" w:space="0" w:color="000000"/>
            </w:tcBorders>
          </w:tcPr>
          <w:p>
            <w:pPr>
              <w:spacing w:lineRule="auto"/>
            </w:pPr>
            <w:r>
              <w:rPr/>
              <w:t xml:space="preserve">35.3%</w:t>
            </w:r>
          </w:p>
        </w:tc>
      </w:tr>
      <w:tr>
        <w:trPr>
          <w:cantSplit/>
        </w:trPr>
        <w:tc>
          <w:tcPr>
            <w:tcBorders>
              <w:top w:val="single" w:sz="1" w:space="0" w:color="000000"/>
              <w:bottom w:val="single" w:sz="1" w:space="0" w:color="000000"/>
            </w:tcBorders>
          </w:tcPr>
          <w:p>
            <w:pPr>
              <w:spacing w:lineRule="auto"/>
            </w:pPr>
            <w:r>
              <w:rPr/>
              <w:t xml:space="preserve">Medium-Fertility Scenario (Central)</w:t>
            </w:r>
          </w:p>
        </w:tc>
        <w:tc>
          <w:tcPr>
            <w:tcBorders>
              <w:top w:val="single" w:sz="1" w:space="0" w:color="000000"/>
              <w:left w:val="single" w:sz="1" w:space="0" w:color="000000"/>
              <w:bottom w:val="single" w:sz="1" w:space="0" w:color="000000"/>
            </w:tcBorders>
          </w:tcPr>
          <w:p>
            <w:pPr>
              <w:spacing w:lineRule="auto"/>
            </w:pPr>
            <w:r>
              <w:rPr/>
              <w:t xml:space="preserve">107.3</w:t>
            </w:r>
          </w:p>
        </w:tc>
        <w:tc>
          <w:tcPr>
            <w:tcBorders>
              <w:top w:val="single" w:sz="1" w:space="0" w:color="000000"/>
              <w:left w:val="single" w:sz="1" w:space="0" w:color="000000"/>
              <w:bottom w:val="single" w:sz="1" w:space="0" w:color="000000"/>
            </w:tcBorders>
          </w:tcPr>
          <w:p>
            <w:pPr>
              <w:spacing w:lineRule="auto"/>
            </w:pPr>
            <w:r>
              <w:rPr/>
              <w:t xml:space="preserve">38.7</w:t>
            </w:r>
          </w:p>
        </w:tc>
        <w:tc>
          <w:tcPr>
            <w:tcBorders>
              <w:top w:val="single" w:sz="1" w:space="0" w:color="000000"/>
              <w:left w:val="single" w:sz="1" w:space="0" w:color="000000"/>
              <w:bottom w:val="single" w:sz="1" w:space="0" w:color="000000"/>
            </w:tcBorders>
          </w:tcPr>
          <w:p>
            <w:pPr>
              <w:spacing w:lineRule="auto"/>
            </w:pPr>
            <w:r>
              <w:rPr/>
              <w:t xml:space="preserve">36.1%</w:t>
            </w:r>
          </w:p>
        </w:tc>
      </w:tr>
      <w:tr>
        <w:trPr>
          <w:cantSplit/>
        </w:trPr>
        <w:tc>
          <w:tcPr>
            <w:tcBorders>
              <w:top w:val="single" w:sz="1" w:space="0" w:color="000000"/>
              <w:bottom w:val="single" w:sz="1" w:space="0" w:color="000000"/>
            </w:tcBorders>
          </w:tcPr>
          <w:p>
            <w:pPr>
              <w:spacing w:lineRule="auto"/>
            </w:pPr>
            <w:r>
              <w:rPr/>
              <w:t xml:space="preserve">Low-Fertility Scenario</w:t>
            </w:r>
          </w:p>
        </w:tc>
        <w:tc>
          <w:tcPr>
            <w:tcBorders>
              <w:top w:val="single" w:sz="1" w:space="0" w:color="000000"/>
              <w:left w:val="single" w:sz="1" w:space="0" w:color="000000"/>
              <w:bottom w:val="single" w:sz="1" w:space="0" w:color="000000"/>
            </w:tcBorders>
          </w:tcPr>
          <w:p>
            <w:pPr>
              <w:spacing w:lineRule="auto"/>
            </w:pPr>
            <w:r>
              <w:rPr/>
              <w:t xml:space="preserve">80.2</w:t>
            </w:r>
          </w:p>
        </w:tc>
        <w:tc>
          <w:tcPr>
            <w:tcBorders>
              <w:top w:val="single" w:sz="1" w:space="0" w:color="000000"/>
              <w:left w:val="single" w:sz="1" w:space="0" w:color="000000"/>
              <w:bottom w:val="single" w:sz="1" w:space="0" w:color="000000"/>
            </w:tcBorders>
          </w:tcPr>
          <w:p>
            <w:pPr>
              <w:spacing w:lineRule="auto"/>
            </w:pPr>
            <w:r>
              <w:rPr/>
              <w:t xml:space="preserve">33.7</w:t>
            </w:r>
          </w:p>
        </w:tc>
        <w:tc>
          <w:tcPr>
            <w:tcBorders>
              <w:top w:val="single" w:sz="1" w:space="0" w:color="000000"/>
              <w:left w:val="single" w:sz="1" w:space="0" w:color="000000"/>
              <w:bottom w:val="single" w:sz="1" w:space="0" w:color="000000"/>
            </w:tcBorders>
          </w:tcPr>
          <w:p>
            <w:pPr>
              <w:spacing w:lineRule="auto"/>
            </w:pPr>
            <w:r>
              <w:rPr/>
              <w:t xml:space="preserve">42.0%</w:t>
            </w:r>
          </w:p>
        </w:tc>
      </w:tr>
    </w:tbl>
    <w:p>
      <w:pPr>
        <w:spacing w:lineRule="auto"/>
      </w:pPr>
    </w:p>
    <w:p>
      <w:pPr>
        <w:spacing w:after="210" w:lineRule="auto"/>
      </w:pPr>
      <w:r>
        <w:rPr>
          <w:i/>
        </w:rPr>
        <w:t xml:space="preserve">Source: IPSS, 2023 Revision[3]</w:t>
      </w:r>
    </w:p>
    <w:p>
      <w:pPr>
        <w:spacing w:after="210" w:lineRule="auto"/>
      </w:pPr>
      <w:r>
        <w:rPr>
          <w:b/>
        </w:rPr>
        <w:t xml:space="preserve">Interpretation:</w:t>
      </w:r>
    </w:p>
    <w:p>
      <w:pPr>
        <w:spacing w:after="210" w:lineRule="auto"/>
      </w:pPr>
      <w:r>
        <w:rPr/>
        <w:t xml:space="preserve">The low-fertility scenario, while producing fewer absolute elderly in 2050 (33.7 million), results in the highest proportion of elderly (42.0%) due to even sharper declines in the overall population (80.2 million). Conversely, the high-fertility scenario maintains a larger absolute population base (95.5 million), thereby moderating the elderly proportion to 35.3%. This demonstrates a counterintuitive relationship: in aging societies, higher fertility does not necessarily reduce elderly proportions but does maintain larger absolute cohorts and higher dependency ratios in absolute terms.</w:t>
      </w:r>
    </w:p>
    <w:p>
      <w:pPr>
        <w:spacing w:line="271" w:before="240" w:lineRule="auto"/>
      </w:pPr>
      <w:bookmarkStart w:id="10" w:name="i_c_gerontological_terminology_an_4271c7"/>
      <w:r>
        <w:rPr>
          <w:b/>
          <w:sz w:val="33"/>
        </w:rPr>
        <w:t xml:space="preserve">I.C. Gerontological Terminology and Definitions</w:t>
      </w:r>
      <w:bookmarkEnd w:id="10"/>
    </w:p>
    <w:p>
      <w:pPr>
        <w:spacing w:after="210" w:lineRule="auto"/>
      </w:pPr>
      <w:r>
        <w:rPr/>
        <w:t xml:space="preserve">To facilitate precision in subsequent analysis, key demographic and gerontological terms are operationalized as follows:</w:t>
      </w:r>
    </w:p>
    <w:p>
      <w:pPr>
        <w:numPr>
          <w:ilvl w:val="0"/>
          <w:numId w:val="4"/>
        </w:numPr>
        <w:spacing w:after="210" w:lineRule="auto"/>
      </w:pPr>
      <w:r>
        <w:rPr>
          <w:b/>
        </w:rPr>
        <w:t xml:space="preserve">Super-aging society</w:t>
      </w:r>
      <w:r>
        <w:rPr/>
        <w:t xml:space="preserve">: A nation where the elderly population (65+) exceeds 21% of the total population. Japan exceeded this threshold in 2007.</w:t>
      </w:r>
    </w:p>
    <w:p>
      <w:pPr>
        <w:numPr>
          <w:ilvl w:val="0"/>
          <w:numId w:val="4"/>
        </w:numPr>
        <w:spacing w:after="210" w:lineRule="auto"/>
      </w:pPr>
      <w:r>
        <w:rPr>
          <w:b/>
        </w:rPr>
        <w:t xml:space="preserve">Oldest-old</w:t>
      </w:r>
      <w:r>
        <w:rPr/>
        <w:t xml:space="preserve">: Population aged 75 and above, often subdivided into:</w:t>
      </w:r>
    </w:p>
    <w:p>
      <w:pPr>
        <w:numPr>
          <w:ilvl w:val="1"/>
          <w:numId w:val="4"/>
        </w:numPr>
        <w:spacing w:lineRule="auto"/>
      </w:pPr>
      <w:r>
        <w:rPr>
          <w:rFonts w:eastAsia="Georgia" w:cs="Georgia" w:ascii="Georgia" w:hAnsi="Georgia"/>
        </w:rPr>
        <w:t xml:space="preserve">Young-old (75–84)</w:t>
      </w:r>
    </w:p>
    <w:p>
      <w:pPr>
        <w:numPr>
          <w:ilvl w:val="1"/>
          <w:numId w:val="4"/>
        </w:numPr>
        <w:spacing w:lineRule="auto"/>
      </w:pPr>
      <w:r>
        <w:rPr>
          <w:rFonts w:eastAsia="Georgia" w:cs="Georgia" w:ascii="Georgia" w:hAnsi="Georgia"/>
        </w:rPr>
        <w:t xml:space="preserve">Very old (85–94)</w:t>
      </w:r>
    </w:p>
    <w:p>
      <w:pPr>
        <w:numPr>
          <w:ilvl w:val="1"/>
          <w:numId w:val="4"/>
        </w:numPr>
        <w:spacing w:lineRule="auto"/>
      </w:pPr>
      <w:r>
        <w:rPr/>
        <w:t xml:space="preserve">Centenarians (100+)</w:t>
      </w:r>
    </w:p>
    <w:p>
      <w:pPr>
        <w:numPr>
          <w:ilvl w:val="0"/>
          <w:numId w:val="4"/>
        </w:numPr>
        <w:spacing w:after="210" w:lineRule="auto"/>
      </w:pPr>
      <w:r>
        <w:rPr>
          <w:b/>
        </w:rPr>
        <w:t xml:space="preserve">Old-age dependency ratio</w:t>
      </w:r>
      <w:r>
        <w:rPr>
          <w:rFonts w:eastAsia="Georgia" w:cs="Georgia" w:ascii="Georgia" w:hAnsi="Georgia"/>
        </w:rPr>
        <w:t xml:space="preserve">: The ratio of population aged 65+ to the working-age population (15–64), multiplied by 100, indicating the number of non-working elderly supported per 100 working-age individuals.</w:t>
      </w:r>
    </w:p>
    <w:p>
      <w:pPr>
        <w:numPr>
          <w:ilvl w:val="0"/>
          <w:numId w:val="4"/>
        </w:numPr>
        <w:spacing w:after="210" w:lineRule="auto"/>
      </w:pPr>
      <w:r>
        <w:rPr>
          <w:b/>
        </w:rPr>
        <w:t xml:space="preserve">Potential support index</w:t>
      </w:r>
      <w:r>
        <w:rPr/>
        <w:t xml:space="preserve">: The inverse of the old-age dependency ratio, representing the number of working-age persons available to support each elderly person (e.g., 2.1 in 2020, declining to 1.3 by 2050).</w:t>
      </w:r>
    </w:p>
    <w:p>
      <w:pPr>
        <w:numPr>
          <w:ilvl w:val="0"/>
          <w:numId w:val="4"/>
        </w:numPr>
        <w:spacing w:after="210" w:lineRule="auto"/>
      </w:pPr>
      <w:r>
        <w:rPr>
          <w:b/>
        </w:rPr>
        <w:t xml:space="preserve">Consumption elasticity</w:t>
      </w:r>
      <w:r>
        <w:rPr/>
        <w:t xml:space="preserve">: The percentage change in demand for a good or service in response to a 1% change in income or demographic composition; used here to assess how shifts in elderly populations correlate with sector-specific expenditure changes.</w:t>
      </w:r>
    </w:p>
    <w:p>
      <w:pPr>
        <w:numPr>
          <w:ilvl w:val="0"/>
          <w:numId w:val="4"/>
        </w:numPr>
        <w:spacing w:after="210" w:lineRule="auto"/>
      </w:pPr>
      <w:r>
        <w:rPr>
          <w:b/>
        </w:rPr>
        <w:t xml:space="preserve">Longevity dividend</w:t>
      </w:r>
      <w:r>
        <w:rPr>
          <w:rFonts w:eastAsia="Georgia" w:cs="Georgia" w:ascii="Georgia" w:hAnsi="Georgia"/>
        </w:rPr>
        <w:t xml:space="preserve">: Economic gains resulting from longer, healthier lifespans, including extended earning periods, sustained consumption, and accumulation of human capital—contingent upon productive engagement of elderly populations.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1" w:name="ii_sectoral_market_analysis_compo_c78212"/>
      <w:r>
        <w:rPr>
          <w:b/>
          <w:sz w:val="42"/>
        </w:rPr>
        <w:t xml:space="preserve">II. SECTORAL MARKET ANALYSIS: COMPOSITION AND PROJECTIONS</w:t>
      </w:r>
      <w:bookmarkEnd w:id="11"/>
    </w:p>
    <w:p>
      <w:pPr>
        <w:spacing w:line="271" w:before="240" w:lineRule="auto"/>
      </w:pPr>
      <w:bookmarkStart w:id="12" w:name="ii_a_market_structure_and_composi_a1e74a"/>
      <w:r>
        <w:rPr>
          <w:b/>
          <w:sz w:val="33"/>
        </w:rPr>
        <w:t xml:space="preserve">II.A. Market Structure and Composition (2023 Baseline)</w:t>
      </w:r>
      <w:bookmarkEnd w:id="12"/>
    </w:p>
    <w:p>
      <w:pPr>
        <w:spacing w:after="210" w:lineRule="auto"/>
      </w:pPr>
      <w:r>
        <w:rPr/>
        <w:t xml:space="preserve">The elderly demographic market in Japan comprises three primary sectors, each characterized by distinct growth dynamics, regulatory frameworks, and technological trajectories.</w:t>
      </w:r>
    </w:p>
    <w:p>
      <w:pPr>
        <w:spacing w:line="271" w:before="240" w:lineRule="auto"/>
      </w:pPr>
      <w:bookmarkStart w:id="13" w:name="ii_a_1_healthcare_sector_market_s_80f0b0"/>
      <w:r>
        <w:rPr>
          <w:b/>
          <w:sz w:val="28"/>
        </w:rPr>
        <w:t xml:space="preserve">II.A.1. Healthcare Sector: Market Size and Structure</w:t>
      </w:r>
      <w:bookmarkEnd w:id="13"/>
    </w:p>
    <w:p>
      <w:pPr>
        <w:spacing w:after="210" w:lineRule="auto"/>
      </w:pPr>
      <w:r>
        <w:rPr>
          <w:rFonts w:eastAsia="Georgia" w:cs="Georgia" w:ascii="Georgia" w:hAnsi="Georgia"/>
        </w:rPr>
        <w:t xml:space="preserve">According to World Economic Forum research synthesizing Japanese government data, the healthcare market for elderly citizens comprised ¥29 trillion ($195 billion USD) in 2023[2]. This sector encompasses:</w:t>
      </w:r>
    </w:p>
    <w:p>
      <w:pPr>
        <w:numPr>
          <w:ilvl w:val="0"/>
          <w:numId w:val="5"/>
        </w:numPr>
        <w:spacing w:lineRule="auto"/>
      </w:pPr>
      <w:r>
        <w:rPr/>
        <w:t xml:space="preserve">Hospital and acute care services</w:t>
      </w:r>
    </w:p>
    <w:p>
      <w:pPr>
        <w:numPr>
          <w:ilvl w:val="0"/>
          <w:numId w:val="5"/>
        </w:numPr>
        <w:spacing w:lineRule="auto"/>
      </w:pPr>
      <w:r>
        <w:rPr/>
        <w:t xml:space="preserve">Chronic disease management (hypertension, diabetes, cardiovascular disease, cancer)</w:t>
      </w:r>
    </w:p>
    <w:p>
      <w:pPr>
        <w:numPr>
          <w:ilvl w:val="0"/>
          <w:numId w:val="5"/>
        </w:numPr>
        <w:spacing w:lineRule="auto"/>
      </w:pPr>
      <w:r>
        <w:rPr/>
        <w:t xml:space="preserve">Pharmaceutical consumption</w:t>
      </w:r>
    </w:p>
    <w:p>
      <w:pPr>
        <w:numPr>
          <w:ilvl w:val="0"/>
          <w:numId w:val="5"/>
        </w:numPr>
        <w:spacing w:lineRule="auto"/>
      </w:pPr>
      <w:r>
        <w:rPr/>
        <w:t xml:space="preserve">Medical devices and diagnostic equipment</w:t>
      </w:r>
    </w:p>
    <w:p>
      <w:pPr>
        <w:numPr>
          <w:ilvl w:val="0"/>
          <w:numId w:val="5"/>
        </w:numPr>
        <w:spacing w:lineRule="auto"/>
      </w:pPr>
      <w:r>
        <w:rPr/>
        <w:t xml:space="preserve">Preventive care and health screening</w:t>
      </w:r>
    </w:p>
    <w:p>
      <w:pPr>
        <w:spacing w:after="210" w:lineRule="auto"/>
      </w:pPr>
      <w:r>
        <w:rPr>
          <w:b/>
        </w:rPr>
        <w:t xml:space="preserve">Critical Finding—Elderly Concentration of National Healthcare Expenditure:</w:t>
      </w:r>
    </w:p>
    <w:p>
      <w:pPr>
        <w:spacing w:after="210" w:lineRule="auto"/>
      </w:pPr>
      <w:r>
        <w:rPr>
          <w:rFonts w:eastAsia="Georgia" w:cs="Georgia" w:ascii="Georgia" w:hAnsi="Georgia"/>
        </w:rPr>
        <w:t xml:space="preserve">As documented by Frontier in Public Health research drawing on Ministry of Health, Labour and Welfare data, the elderly population aged 65+ accounted for 61.5% of Japan's total national medical expenditure in 2020, despite representing only 28.6% of the population[4]. This 2.15x concentration ratio—wherein elderly citizens consume medical services at more than twice their proportional share—underscores the sector's structural dependence on geriatric utilization.</w:t>
      </w:r>
    </w:p>
    <w:p>
      <w:pPr>
        <w:spacing w:line="271" w:before="240" w:lineRule="auto"/>
      </w:pPr>
      <w:bookmarkStart w:id="14" w:name="ii_a_2_long_term_care_kaigo_secto_3975d5"/>
      <w:r>
        <w:rPr>
          <w:b/>
          <w:sz w:val="28"/>
        </w:rPr>
        <w:t xml:space="preserve">II.A.2. Long-Term Care (Kaigo) Sector: Market Size and Regulation</w:t>
      </w:r>
      <w:bookmarkEnd w:id="14"/>
    </w:p>
    <w:p>
      <w:pPr>
        <w:spacing w:after="210" w:lineRule="auto"/>
      </w:pPr>
      <w:r>
        <w:rPr>
          <w:rFonts w:eastAsia="Georgia" w:cs="Georgia" w:ascii="Georgia" w:hAnsi="Georgia"/>
        </w:rPr>
        <w:t xml:space="preserve">The long-term care services sector, regulated under Japan's Long-Term Care Insurance (Kaigo Hoken) system established in 2000, generated ¥11.7 trillion ($79 billion USD) in 2023[2]. This sector includes:</w:t>
      </w:r>
    </w:p>
    <w:p>
      <w:pPr>
        <w:numPr>
          <w:ilvl w:val="0"/>
          <w:numId w:val="6"/>
        </w:numPr>
        <w:spacing w:lineRule="auto"/>
      </w:pPr>
      <w:r>
        <w:rPr/>
        <w:t xml:space="preserve">Nursing homes and residential care facilities (particularly "special nursing homes" or </w:t>
      </w:r>
      <w:r>
        <w:rPr>
          <w:i/>
        </w:rPr>
        <w:t xml:space="preserve">tokutei shisetsu</w:t>
      </w:r>
      <w:r>
        <w:rPr/>
        <w:t xml:space="preserve">)</w:t>
      </w:r>
    </w:p>
    <w:p>
      <w:pPr>
        <w:numPr>
          <w:ilvl w:val="0"/>
          <w:numId w:val="6"/>
        </w:numPr>
        <w:spacing w:lineRule="auto"/>
      </w:pPr>
      <w:r>
        <w:rPr/>
        <w:t xml:space="preserve">Home care services (nursing, personal care assistance, rehabilitation)</w:t>
      </w:r>
    </w:p>
    <w:p>
      <w:pPr>
        <w:numPr>
          <w:ilvl w:val="0"/>
          <w:numId w:val="6"/>
        </w:numPr>
        <w:spacing w:lineRule="auto"/>
      </w:pPr>
      <w:r>
        <w:rPr/>
        <w:t xml:space="preserve">Adult day care centers and drop-in care</w:t>
      </w:r>
    </w:p>
    <w:p>
      <w:pPr>
        <w:numPr>
          <w:ilvl w:val="0"/>
          <w:numId w:val="6"/>
        </w:numPr>
        <w:spacing w:lineRule="auto"/>
      </w:pPr>
      <w:r>
        <w:rPr/>
        <w:t xml:space="preserve">Assisted living and group homes</w:t>
      </w:r>
    </w:p>
    <w:p>
      <w:pPr>
        <w:spacing w:after="210" w:lineRule="auto"/>
      </w:pPr>
      <w:r>
        <w:rPr/>
        <w:t xml:space="preserve">The Japanese government's private nursing services market research indicates that private nursing services specifically generated approximately $201.5 million USD in 2023 and are projected to reach $297.7 million by 2030, representing a compound annual growth rate (CAGR) of 5.7%[5]. It is worth noting that this figure represents a subset of the broader long-term care market and reflects the relative nascency of private-sector provision within a historically public and family-centered system.</w:t>
      </w:r>
    </w:p>
    <w:p>
      <w:pPr>
        <w:spacing w:line="271" w:before="240" w:lineRule="auto"/>
      </w:pPr>
      <w:bookmarkStart w:id="15" w:name="ii_a_3_lifestyle_related_industri_ccccc3"/>
      <w:r>
        <w:rPr>
          <w:b/>
          <w:sz w:val="28"/>
        </w:rPr>
        <w:t xml:space="preserve">II.A.3. Lifestyle-Related Industries: Market Size and Segmentation</w:t>
      </w:r>
      <w:bookmarkEnd w:id="15"/>
    </w:p>
    <w:p>
      <w:pPr>
        <w:spacing w:after="210" w:lineRule="auto"/>
      </w:pPr>
      <w:r>
        <w:rPr>
          <w:rFonts w:eastAsia="Georgia" w:cs="Georgia" w:ascii="Georgia" w:hAnsi="Georgia"/>
        </w:rPr>
        <w:t xml:space="preserve">The lifestyle sector, the largest component of the elderly market at ¥55.7 trillion ($378 billion USD) in 2023[2], encompasses diverse industries:</w:t>
      </w:r>
    </w:p>
    <w:p>
      <w:pPr>
        <w:numPr>
          <w:ilvl w:val="0"/>
          <w:numId w:val="7"/>
        </w:numPr>
        <w:spacing w:lineRule="auto"/>
      </w:pPr>
      <w:r>
        <w:rPr>
          <w:b/>
        </w:rPr>
        <w:t xml:space="preserve">Residential real estate</w:t>
      </w:r>
      <w:r>
        <w:rPr/>
        <w:t xml:space="preserve">: Senior housing developments, age-friendly home modifications, specialized housing complexes</w:t>
      </w:r>
    </w:p>
    <w:p>
      <w:pPr>
        <w:numPr>
          <w:ilvl w:val="0"/>
          <w:numId w:val="7"/>
        </w:numPr>
        <w:spacing w:lineRule="auto"/>
      </w:pPr>
      <w:r>
        <w:rPr>
          <w:b/>
        </w:rPr>
        <w:t xml:space="preserve">Consumer goods and retail</w:t>
      </w:r>
      <w:r>
        <w:rPr/>
        <w:t xml:space="preserve">: Mobility devices, bathing aids, continence management products, nutritional supplements, elder-specific apparel</w:t>
      </w:r>
    </w:p>
    <w:p>
      <w:pPr>
        <w:numPr>
          <w:ilvl w:val="0"/>
          <w:numId w:val="7"/>
        </w:numPr>
        <w:spacing w:lineRule="auto"/>
      </w:pPr>
      <w:r>
        <w:rPr>
          <w:b/>
        </w:rPr>
        <w:t xml:space="preserve">Leisure and tourism</w:t>
      </w:r>
      <w:r>
        <w:rPr/>
        <w:t xml:space="preserve">: Travel packages, cultural experiences, recreational services</w:t>
      </w:r>
    </w:p>
    <w:p>
      <w:pPr>
        <w:numPr>
          <w:ilvl w:val="0"/>
          <w:numId w:val="7"/>
        </w:numPr>
        <w:spacing w:lineRule="auto"/>
      </w:pPr>
      <w:r>
        <w:rPr>
          <w:b/>
        </w:rPr>
        <w:t xml:space="preserve">Food and beverage</w:t>
      </w:r>
      <w:r>
        <w:rPr/>
        <w:t xml:space="preserve">: Specialized nutrition products, texture-modified foods (for dysphagia), restaurant services catering to elderly preferences</w:t>
      </w:r>
    </w:p>
    <w:p>
      <w:pPr>
        <w:numPr>
          <w:ilvl w:val="0"/>
          <w:numId w:val="7"/>
        </w:numPr>
        <w:spacing w:lineRule="auto"/>
      </w:pPr>
      <w:r>
        <w:rPr>
          <w:b/>
        </w:rPr>
        <w:t xml:space="preserve">Financial services</w:t>
      </w:r>
      <w:r>
        <w:rPr/>
        <w:t xml:space="preserve">: Long-term care insurance, reverse mortgages, estate planning, investment advisory for elderly wealth preservation</w:t>
      </w:r>
    </w:p>
    <w:p>
      <w:pPr>
        <w:numPr>
          <w:ilvl w:val="0"/>
          <w:numId w:val="7"/>
        </w:numPr>
        <w:spacing w:lineRule="auto"/>
      </w:pPr>
      <w:r>
        <w:rPr>
          <w:b/>
        </w:rPr>
        <w:t xml:space="preserve">Conversation partner services</w:t>
      </w:r>
      <w:r>
        <w:rPr>
          <w:rFonts w:eastAsia="Georgia" w:cs="Georgia" w:ascii="Georgia" w:hAnsi="Georgia"/>
        </w:rPr>
        <w:t xml:space="preserve">: Emerging segment addressing social isolation through trained companions and AI-driven matching platforms; projected to exceed ¥100 billion ($670 million USD) in market size[2]</w:t>
      </w:r>
    </w:p>
    <w:p>
      <w:pPr>
        <w:numPr>
          <w:ilvl w:val="0"/>
          <w:numId w:val="7"/>
        </w:numPr>
        <w:spacing w:lineRule="auto"/>
      </w:pPr>
      <w:r>
        <w:rPr>
          <w:b/>
        </w:rPr>
        <w:t xml:space="preserve">Robotics and assistive technology</w:t>
      </w:r>
      <w:r>
        <w:rPr/>
        <w:t xml:space="preserve">: Care robots, mobility assistance devices, environmental control systems</w:t>
      </w:r>
    </w:p>
    <w:p>
      <w:pPr>
        <w:spacing w:line="271" w:before="240" w:lineRule="auto"/>
      </w:pPr>
      <w:bookmarkStart w:id="16" w:name="ii_b_healthcare_sector_projection_88fd75"/>
      <w:r>
        <w:rPr>
          <w:rFonts w:eastAsia="Georgia" w:cs="Georgia" w:ascii="Georgia" w:hAnsi="Georgia"/>
          <w:b/>
          <w:sz w:val="33"/>
        </w:rPr>
        <w:t xml:space="preserve">II.B. Healthcare Sector Projections (2025–2050)</w:t>
      </w:r>
      <w:bookmarkEnd w:id="16"/>
    </w:p>
    <w:p>
      <w:pPr>
        <w:spacing w:line="271" w:before="240" w:lineRule="auto"/>
      </w:pPr>
      <w:bookmarkStart w:id="17" w:name="ii_b_1_drivers_of_healthcare_expe_82036f"/>
      <w:r>
        <w:rPr>
          <w:b/>
          <w:sz w:val="28"/>
        </w:rPr>
        <w:t xml:space="preserve">II.B.1. Drivers of Healthcare Expenditure Growth</w:t>
      </w:r>
      <w:bookmarkEnd w:id="17"/>
    </w:p>
    <w:p>
      <w:pPr>
        <w:spacing w:after="210" w:lineRule="auto"/>
      </w:pPr>
      <w:r>
        <w:rPr/>
        <w:t xml:space="preserve">Healthcare expenditure among the elderly population is driven by multiple reinforcing factors:</w:t>
      </w:r>
    </w:p>
    <w:p>
      <w:pPr>
        <w:numPr>
          <w:ilvl w:val="0"/>
          <w:numId w:val="8"/>
        </w:numPr>
        <w:spacing w:after="210" w:lineRule="auto"/>
      </w:pPr>
      <w:r>
        <w:rPr>
          <w:b/>
        </w:rPr>
        <w:t xml:space="preserve">Demographic expansion</w:t>
      </w:r>
      <w:r>
        <w:rPr/>
        <w:t xml:space="preserve"> (primary driver): Absolute growth in elderly population through 2043, particularly the 75+ cohort.</w:t>
      </w:r>
    </w:p>
    <w:p>
      <w:pPr>
        <w:numPr>
          <w:ilvl w:val="0"/>
          <w:numId w:val="8"/>
        </w:numPr>
        <w:spacing w:after="210" w:lineRule="auto"/>
      </w:pPr>
      <w:r>
        <w:rPr>
          <w:b/>
        </w:rPr>
        <w:t xml:space="preserve">Age-specific morbidity escalation</w:t>
      </w:r>
      <w:r>
        <w:rPr/>
        <w:t xml:space="preserve">: Prevalence of chronic conditions (Type 2 diabetes, hypertension, coronary heart disease, dementia) increases non-linearly with age, particularly beyond age 75.</w:t>
      </w:r>
    </w:p>
    <w:p>
      <w:pPr>
        <w:numPr>
          <w:ilvl w:val="0"/>
          <w:numId w:val="8"/>
        </w:numPr>
        <w:spacing w:after="210" w:lineRule="auto"/>
      </w:pPr>
      <w:r>
        <w:rPr>
          <w:b/>
        </w:rPr>
        <w:t xml:space="preserve">Per-capita utilization intensity</w:t>
      </w:r>
      <w:r>
        <w:rPr>
          <w:rFonts w:eastAsia="Georgia" w:cs="Georgia" w:ascii="Georgia" w:hAnsi="Georgia"/>
        </w:rPr>
        <w:t xml:space="preserve">: Average healthcare expenditure per elderly person increases substantially with advancing age cohorts. WHO research on health expenditure trends in Japan indicates that per-capita health spending for 80-year-old cohorts exceeds that of 70-year-olds by approximately 1.8–2.2x[6].</w:t>
      </w:r>
    </w:p>
    <w:p>
      <w:pPr>
        <w:numPr>
          <w:ilvl w:val="0"/>
          <w:numId w:val="8"/>
        </w:numPr>
        <w:spacing w:after="210" w:lineRule="auto"/>
      </w:pPr>
      <w:r>
        <w:rPr>
          <w:b/>
        </w:rPr>
        <w:t xml:space="preserve">Technology and treatment expansion</w:t>
      </w:r>
      <w:r>
        <w:rPr/>
        <w:t xml:space="preserve">: Introduction of new therapeutics, diagnostic modalities, and interventional procedures may increase service intensity and per-capita costs.</w:t>
      </w:r>
    </w:p>
    <w:p>
      <w:pPr>
        <w:numPr>
          <w:ilvl w:val="0"/>
          <w:numId w:val="8"/>
        </w:numPr>
        <w:spacing w:after="210" w:lineRule="auto"/>
      </w:pPr>
      <w:r>
        <w:rPr>
          <w:b/>
        </w:rPr>
        <w:t xml:space="preserve">Behavioral factors</w:t>
      </w:r>
      <w:r>
        <w:rPr/>
        <w:t xml:space="preserve">: Health-seeking behavior (utilization rates) may shift with changes in health literacy, insurance coverage thresholds, and cultural attitudes toward medical intervention.</w:t>
      </w:r>
    </w:p>
    <w:p>
      <w:pPr>
        <w:spacing w:line="271" w:before="240" w:lineRule="auto"/>
      </w:pPr>
      <w:bookmarkStart w:id="18" w:name="ii_b_2_quantitative_healthcare_ex_93f824"/>
      <w:r>
        <w:rPr>
          <w:b/>
          <w:sz w:val="28"/>
        </w:rPr>
        <w:t xml:space="preserve">II.B.2. Quantitative Healthcare Expenditure Projections to 2050</w:t>
      </w:r>
      <w:bookmarkEnd w:id="18"/>
    </w:p>
    <w:p>
      <w:pPr>
        <w:spacing w:after="210" w:lineRule="auto"/>
      </w:pPr>
      <w:r>
        <w:rPr>
          <w:b/>
        </w:rPr>
        <w:t xml:space="preserve">Projected Medical Care Expenditure for Elderly (Age 65+) Population:</w:t>
      </w:r>
    </w:p>
    <w:p>
      <w:pPr>
        <w:spacing w:after="210" w:lineRule="auto"/>
      </w:pPr>
      <w:r>
        <w:rPr/>
        <w:t xml:space="preserve">Research from the National Center for Biotechnology Information (NCBI), synthesizing Ministry of Health, Labour and Welfare modeling, projects the following trajectory for medical care expenditure among elderly:</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Year</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Medical Expenditure Elderly 65+ (Trillion ¥)</w:t>
            </w:r>
          </w:p>
        </w:tc>
        <w:tc>
          <w:tcPr>
            <w:tcBorders>
              <w:top w:val="single" w:sz="1" w:space="0" w:color="000000"/>
              <w:left w:val="single" w:sz="1" w:space="0" w:color="000000"/>
              <w:bottom w:val="single" w:sz="1" w:space="0" w:color="000000"/>
            </w:tcBorders>
          </w:tcPr>
          <w:p>
            <w:pPr>
              <w:spacing w:lineRule="auto"/>
            </w:pPr>
            <w:r>
              <w:rPr/>
              <w:t xml:space="preserve">Estimate in USD (Billion)</w:t>
            </w:r>
          </w:p>
        </w:tc>
        <w:tc>
          <w:tcPr>
            <w:tcBorders>
              <w:top w:val="single" w:sz="1" w:space="0" w:color="000000"/>
              <w:left w:val="single" w:sz="1" w:space="0" w:color="000000"/>
              <w:bottom w:val="single" w:sz="1" w:space="0" w:color="000000"/>
            </w:tcBorders>
          </w:tcPr>
          <w:p>
            <w:pPr>
              <w:spacing w:lineRule="auto"/>
            </w:pPr>
            <w:r>
              <w:rPr/>
              <w:t xml:space="preserve">Growth vs. 2018 Baseline</w:t>
            </w:r>
          </w:p>
        </w:tc>
      </w:tr>
      <w:tr>
        <w:trPr>
          <w:cantSplit/>
        </w:trPr>
        <w:tc>
          <w:tcPr>
            <w:tcBorders>
              <w:top w:val="single" w:sz="1" w:space="0" w:color="000000"/>
              <w:bottom w:val="single" w:sz="1" w:space="0" w:color="000000"/>
            </w:tcBorders>
          </w:tcPr>
          <w:p>
            <w:pPr>
              <w:spacing w:lineRule="auto"/>
            </w:pPr>
            <w:r>
              <w:rPr/>
              <w:t xml:space="preserve">2018</w:t>
            </w:r>
          </w:p>
        </w:tc>
        <w:tc>
          <w:tcPr>
            <w:tcBorders>
              <w:top w:val="single" w:sz="1" w:space="0" w:color="000000"/>
              <w:left w:val="single" w:sz="1" w:space="0" w:color="000000"/>
              <w:bottom w:val="single" w:sz="1" w:space="0" w:color="000000"/>
            </w:tcBorders>
          </w:tcPr>
          <w:p>
            <w:pPr>
              <w:spacing w:lineRule="auto"/>
            </w:pPr>
            <w:r>
              <w:rPr/>
              <w:t xml:space="preserve">26.4</w:t>
            </w:r>
          </w:p>
        </w:tc>
        <w:tc>
          <w:tcPr>
            <w:tcBorders>
              <w:top w:val="single" w:sz="1" w:space="0" w:color="000000"/>
              <w:left w:val="single" w:sz="1" w:space="0" w:color="000000"/>
              <w:bottom w:val="single" w:sz="1" w:space="0" w:color="000000"/>
            </w:tcBorders>
          </w:tcPr>
          <w:p>
            <w:pPr>
              <w:spacing w:lineRule="auto"/>
            </w:pPr>
            <w:r>
              <w:rPr/>
              <w:t xml:space="preserve">$240.0</w:t>
            </w:r>
          </w:p>
        </w:tc>
        <w:tc>
          <w:tcPr>
            <w:tcBorders>
              <w:top w:val="single" w:sz="1" w:space="0" w:color="000000"/>
              <w:left w:val="single" w:sz="1" w:space="0" w:color="000000"/>
              <w:bottom w:val="single" w:sz="1" w:space="0" w:color="000000"/>
            </w:tcBorders>
          </w:tcPr>
          <w:p>
            <w:pPr>
              <w:spacing w:lineRule="auto"/>
            </w:pPr>
            <w:r>
              <w:rPr/>
              <w:t xml:space="preserve">Baseline (1.0x)</w:t>
            </w:r>
          </w:p>
        </w:tc>
      </w:tr>
      <w:tr>
        <w:trPr>
          <w:cantSplit/>
        </w:trPr>
        <w:tc>
          <w:tcPr>
            <w:tcBorders>
              <w:top w:val="single" w:sz="1" w:space="0" w:color="000000"/>
              <w:bottom w:val="single" w:sz="1" w:space="0" w:color="000000"/>
            </w:tcBorders>
          </w:tcPr>
          <w:p>
            <w:pPr>
              <w:spacing w:lineRule="auto"/>
            </w:pPr>
            <w:r>
              <w:rPr/>
              <w:t xml:space="preserve">2030</w:t>
            </w:r>
          </w:p>
        </w:tc>
        <w:tc>
          <w:tcPr>
            <w:tcBorders>
              <w:top w:val="single" w:sz="1" w:space="0" w:color="000000"/>
              <w:left w:val="single" w:sz="1" w:space="0" w:color="000000"/>
              <w:bottom w:val="single" w:sz="1" w:space="0" w:color="000000"/>
            </w:tcBorders>
          </w:tcPr>
          <w:p>
            <w:pPr>
              <w:spacing w:lineRule="auto"/>
            </w:pPr>
            <w:r>
              <w:rPr/>
              <w:t xml:space="preserve">32.5</w:t>
            </w:r>
          </w:p>
        </w:tc>
        <w:tc>
          <w:tcPr>
            <w:tcBorders>
              <w:top w:val="single" w:sz="1" w:space="0" w:color="000000"/>
              <w:left w:val="single" w:sz="1" w:space="0" w:color="000000"/>
              <w:bottom w:val="single" w:sz="1" w:space="0" w:color="000000"/>
            </w:tcBorders>
          </w:tcPr>
          <w:p>
            <w:pPr>
              <w:spacing w:lineRule="auto"/>
            </w:pPr>
            <w:r>
              <w:rPr/>
              <w:t xml:space="preserve">$295.5</w:t>
            </w:r>
          </w:p>
        </w:tc>
        <w:tc>
          <w:tcPr>
            <w:tcBorders>
              <w:top w:val="single" w:sz="1" w:space="0" w:color="000000"/>
              <w:left w:val="single" w:sz="1" w:space="0" w:color="000000"/>
              <w:bottom w:val="single" w:sz="1" w:space="0" w:color="000000"/>
            </w:tcBorders>
          </w:tcPr>
          <w:p>
            <w:pPr>
              <w:spacing w:lineRule="auto"/>
            </w:pPr>
            <w:r>
              <w:rPr/>
              <w:t xml:space="preserve">1.23x</w:t>
            </w:r>
          </w:p>
        </w:tc>
      </w:tr>
      <w:tr>
        <w:trPr>
          <w:cantSplit/>
        </w:trPr>
        <w:tc>
          <w:tcPr>
            <w:tcBorders>
              <w:top w:val="single" w:sz="1" w:space="0" w:color="000000"/>
              <w:bottom w:val="single" w:sz="1" w:space="0" w:color="000000"/>
            </w:tcBorders>
          </w:tcPr>
          <w:p>
            <w:pPr>
              <w:spacing w:lineRule="auto"/>
            </w:pPr>
            <w:r>
              <w:rPr/>
              <w:t xml:space="preserve">2040</w:t>
            </w:r>
          </w:p>
        </w:tc>
        <w:tc>
          <w:tcPr>
            <w:tcBorders>
              <w:top w:val="single" w:sz="1" w:space="0" w:color="000000"/>
              <w:left w:val="single" w:sz="1" w:space="0" w:color="000000"/>
              <w:bottom w:val="single" w:sz="1" w:space="0" w:color="000000"/>
            </w:tcBorders>
          </w:tcPr>
          <w:p>
            <w:pPr>
              <w:spacing w:lineRule="auto"/>
            </w:pPr>
            <w:r>
              <w:rPr/>
              <w:t xml:space="preserve">35.8</w:t>
            </w:r>
          </w:p>
        </w:tc>
        <w:tc>
          <w:tcPr>
            <w:tcBorders>
              <w:top w:val="single" w:sz="1" w:space="0" w:color="000000"/>
              <w:left w:val="single" w:sz="1" w:space="0" w:color="000000"/>
              <w:bottom w:val="single" w:sz="1" w:space="0" w:color="000000"/>
            </w:tcBorders>
          </w:tcPr>
          <w:p>
            <w:pPr>
              <w:spacing w:lineRule="auto"/>
            </w:pPr>
            <w:r>
              <w:rPr/>
              <w:t xml:space="preserve">$325.5</w:t>
            </w:r>
          </w:p>
        </w:tc>
        <w:tc>
          <w:tcPr>
            <w:tcBorders>
              <w:top w:val="single" w:sz="1" w:space="0" w:color="000000"/>
              <w:left w:val="single" w:sz="1" w:space="0" w:color="000000"/>
              <w:bottom w:val="single" w:sz="1" w:space="0" w:color="000000"/>
            </w:tcBorders>
          </w:tcPr>
          <w:p>
            <w:pPr>
              <w:spacing w:lineRule="auto"/>
            </w:pPr>
            <w:r>
              <w:rPr/>
              <w:t xml:space="preserve">1.36x</w:t>
            </w:r>
          </w:p>
        </w:tc>
      </w:tr>
      <w:tr>
        <w:trPr>
          <w:cantSplit/>
        </w:trPr>
        <w:tc>
          <w:tcPr>
            <w:tcBorders>
              <w:top w:val="single" w:sz="1" w:space="0" w:color="000000"/>
              <w:bottom w:val="single" w:sz="1" w:space="0" w:color="000000"/>
            </w:tcBorders>
          </w:tcPr>
          <w:p>
            <w:pPr>
              <w:spacing w:lineRule="auto"/>
            </w:pPr>
            <w:r>
              <w:rPr/>
              <w:t xml:space="preserve">2050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38.6–46.0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$350.9–417.8</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1.46–1.74x</w:t>
            </w:r>
          </w:p>
        </w:tc>
      </w:tr>
    </w:tbl>
    <w:p>
      <w:pPr>
        <w:spacing w:lineRule="auto"/>
      </w:pPr>
    </w:p>
    <w:p>
      <w:pPr>
        <w:spacing w:after="210" w:lineRule="auto"/>
      </w:pPr>
      <w:r>
        <w:rPr>
          <w:i/>
        </w:rPr>
        <w:t xml:space="preserve">Note: Projections employ MHLW standard methodology and account for aging effects on morbidity but do not assume technology-driven cost escalation. USD conversions use 110 ¥/$ exchange rate for illustration.</w:t>
      </w:r>
    </w:p>
    <w:p>
      <w:pPr>
        <w:spacing w:after="210" w:lineRule="auto"/>
      </w:pPr>
      <w:r>
        <w:rPr/>
        <w:t xml:space="preserve">*</w:t>
      </w:r>
      <w:r>
        <w:rPr>
          <w:i/>
        </w:rPr>
        <w:t xml:space="preserve">Source: NCBI medical expenditure projections based on MHLW formulas[4]</w:t>
      </w:r>
    </w:p>
    <w:p>
      <w:pPr>
        <w:spacing w:after="210" w:lineRule="auto"/>
      </w:pPr>
      <w:r>
        <w:rPr>
          <w:b/>
        </w:rPr>
        <w:t xml:space="preserve">Key Analytical Observations:</w:t>
      </w:r>
    </w:p>
    <w:p>
      <w:pPr>
        <w:numPr>
          <w:ilvl w:val="0"/>
          <w:numId w:val="9"/>
        </w:numPr>
        <w:spacing w:after="210" w:lineRule="auto"/>
      </w:pPr>
      <w:r>
        <w:rPr>
          <w:b/>
        </w:rPr>
        <w:t xml:space="preserve">Sub-proportional growth</w:t>
      </w:r>
      <w:r>
        <w:rPr>
          <w:rFonts w:eastAsia="Georgia" w:cs="Georgia" w:ascii="Georgia" w:hAnsi="Georgia"/>
        </w:rPr>
        <w:t xml:space="preserve">: Elderly medical expenditure is projected to grow 46–74% between 2018 and 2050, while the elderly population itself increases 37% (from 36 million to 38.7 million). This apparent divergence reflects several factors:</w:t>
      </w:r>
    </w:p>
    <w:p>
      <w:pPr>
        <w:numPr>
          <w:ilvl w:val="1"/>
          <w:numId w:val="9"/>
        </w:numPr>
        <w:spacing w:lineRule="auto"/>
      </w:pPr>
      <w:r>
        <w:rPr/>
        <w:t xml:space="preserve">Demographic aging within the elderly cohort (concentration in 75+) increases morbidity and service intensity</w:t>
      </w:r>
    </w:p>
    <w:p>
      <w:pPr>
        <w:numPr>
          <w:ilvl w:val="1"/>
          <w:numId w:val="9"/>
        </w:numPr>
        <w:spacing w:lineRule="auto"/>
      </w:pPr>
      <w:r>
        <w:rPr/>
        <w:t xml:space="preserve">However, per-capita health improvements and shifts toward preventive care may moderate growth</w:t>
      </w:r>
    </w:p>
    <w:p>
      <w:pPr>
        <w:numPr>
          <w:ilvl w:val="1"/>
          <w:numId w:val="9"/>
        </w:numPr>
        <w:spacing w:lineRule="auto"/>
      </w:pPr>
      <w:r>
        <w:rPr/>
        <w:t xml:space="preserve">These projections do not assume major cost-escalating technological breakthroughs</w:t>
      </w:r>
    </w:p>
    <w:p>
      <w:pPr>
        <w:numPr>
          <w:ilvl w:val="0"/>
          <w:numId w:val="9"/>
        </w:numPr>
        <w:spacing w:after="210" w:lineRule="auto"/>
      </w:pPr>
      <w:r>
        <w:rPr>
          <w:b/>
        </w:rPr>
        <w:t xml:space="preserve">Total National Healthcare Context</w:t>
      </w:r>
      <w:r>
        <w:rPr/>
        <w:t xml:space="preserve">: WHO research indicates that population aging will increase health expenditures as a share of GDP by 2.59 percentage points between 2020 and 2060, rising from approximately 8.0% to 10.6% of GDP[6]. This is substantial but not insurmountable, provided macroeconomic growth and productivity gains are realized.</w:t>
      </w:r>
    </w:p>
    <w:p>
      <w:pPr>
        <w:numPr>
          <w:ilvl w:val="0"/>
          <w:numId w:val="9"/>
        </w:numPr>
        <w:spacing w:after="210" w:lineRule="auto"/>
      </w:pPr>
      <w:r>
        <w:rPr>
          <w:b/>
        </w:rPr>
        <w:t xml:space="preserve">Healthy Aging Scenarios</w:t>
      </w:r>
      <w:r>
        <w:rPr>
          <w:rFonts w:eastAsia="Georgia" w:cs="Georgia" w:ascii="Georgia" w:hAnsi="Georgia"/>
        </w:rPr>
        <w:t xml:space="preserve">: Projections are sensitive to assumptions regarding healthy aging. WHO modeling suggests that if Japan achieves "healthy aging" (wherein functional capacity of elderly populations improves relative to chronological age), the 2020–2060 increase in health spending as a percentage of GDP would be 2.22 percentage points; conversely, if premature morbidity scenarios materialize, the increase would reach 2.92 percentage points[6]. This underscores the policy leverage available through public health and preventive care investments.</w:t>
      </w:r>
    </w:p>
    <w:p>
      <w:pPr>
        <w:spacing w:line="271" w:before="240" w:lineRule="auto"/>
      </w:pPr>
      <w:bookmarkStart w:id="19" w:name="ii_b_3_healthcare_sector_cagr_est_cc0a9f"/>
      <w:r>
        <w:rPr>
          <w:b/>
          <w:sz w:val="28"/>
        </w:rPr>
        <w:t xml:space="preserve">II.B.3. Healthcare Sector CAGR Estimates and Constraints</w:t>
      </w:r>
      <w:bookmarkEnd w:id="19"/>
    </w:p>
    <w:p>
      <w:pPr>
        <w:spacing w:after="210" w:lineRule="auto"/>
      </w:pPr>
      <w:r>
        <w:rPr>
          <w:b/>
        </w:rPr>
        <w:t xml:space="preserve">Potential Advantages of Healthcare Market Growth:</w:t>
      </w:r>
    </w:p>
    <w:p>
      <w:pPr>
        <w:numPr>
          <w:ilvl w:val="0"/>
          <w:numId w:val="10"/>
        </w:numPr>
        <w:spacing w:lineRule="auto"/>
      </w:pPr>
      <w:r>
        <w:rPr>
          <w:b/>
        </w:rPr>
        <w:t xml:space="preserve">Sustained demand</w:t>
      </w:r>
      <w:r>
        <w:rPr/>
        <w:t xml:space="preserve">: Aging demographics ensure steady, inelastic demand for core healthcare services</w:t>
      </w:r>
    </w:p>
    <w:p>
      <w:pPr>
        <w:numPr>
          <w:ilvl w:val="0"/>
          <w:numId w:val="10"/>
        </w:numPr>
        <w:spacing w:lineRule="auto"/>
      </w:pPr>
      <w:r>
        <w:rPr>
          <w:b/>
        </w:rPr>
        <w:t xml:space="preserve">Innovation opportunity</w:t>
      </w:r>
      <w:r>
        <w:rPr/>
        <w:t xml:space="preserve">: High disease prevalence creates incentives for pharmaceutical, device, and procedural innovation</w:t>
      </w:r>
    </w:p>
    <w:p>
      <w:pPr>
        <w:numPr>
          <w:ilvl w:val="0"/>
          <w:numId w:val="10"/>
        </w:numPr>
        <w:spacing w:lineRule="auto"/>
      </w:pPr>
      <w:r>
        <w:rPr>
          <w:b/>
        </w:rPr>
        <w:t xml:space="preserve">International export potential</w:t>
      </w:r>
      <w:r>
        <w:rPr/>
        <w:t xml:space="preserve">: Japanese healthcare technology and elderly-care solutions (diagnostics, prosthetics, wearables) may find substantial export markets as other nations age</w:t>
      </w:r>
    </w:p>
    <w:p>
      <w:pPr>
        <w:numPr>
          <w:ilvl w:val="0"/>
          <w:numId w:val="10"/>
        </w:numPr>
        <w:spacing w:lineRule="auto"/>
      </w:pPr>
      <w:r>
        <w:rPr>
          <w:b/>
        </w:rPr>
        <w:t xml:space="preserve">Employment generation</w:t>
      </w:r>
      <w:r>
        <w:rPr/>
        <w:t xml:space="preserve">: Healthcare and nursing professions may offer labor-intensive employment for younger cohorts, partially offsetting economy-wide labor force contraction</w:t>
      </w:r>
    </w:p>
    <w:p>
      <w:pPr>
        <w:spacing w:after="210" w:lineRule="auto"/>
      </w:pPr>
      <w:r>
        <w:rPr>
          <w:b/>
        </w:rPr>
        <w:t xml:space="preserve">Inherent Limitations and Constraints:</w:t>
      </w:r>
    </w:p>
    <w:p>
      <w:pPr>
        <w:numPr>
          <w:ilvl w:val="0"/>
          <w:numId w:val="11"/>
        </w:numPr>
        <w:spacing w:lineRule="auto"/>
      </w:pPr>
      <w:r>
        <w:rPr>
          <w:b/>
        </w:rPr>
        <w:t xml:space="preserve">Public system capacity constraints</w:t>
      </w:r>
      <w:r>
        <w:rPr/>
        <w:t xml:space="preserve">: Japan's universal healthcare system, while comprehensive, faces sustainability pressures due to rising elderly utilization concentrated in financially strained public insurance pools (particularly the Elderly Healthcare Insurance system for 75+)</w:t>
      </w:r>
    </w:p>
    <w:p>
      <w:pPr>
        <w:numPr>
          <w:ilvl w:val="0"/>
          <w:numId w:val="11"/>
        </w:numPr>
        <w:spacing w:lineRule="auto"/>
      </w:pPr>
      <w:r>
        <w:rPr>
          <w:b/>
        </w:rPr>
        <w:t xml:space="preserve">Reimbursement rate pressures</w:t>
      </w:r>
      <w:r>
        <w:rPr/>
        <w:t xml:space="preserve">: Government cost-control measures may compress per-service reimbursement rates, limiting profit margins for providers</w:t>
      </w:r>
    </w:p>
    <w:p>
      <w:pPr>
        <w:numPr>
          <w:ilvl w:val="0"/>
          <w:numId w:val="11"/>
        </w:numPr>
        <w:spacing w:lineRule="auto"/>
      </w:pPr>
      <w:r>
        <w:rPr>
          <w:b/>
        </w:rPr>
        <w:t xml:space="preserve">Workforce shortage</w:t>
      </w:r>
      <w:r>
        <w:rPr/>
        <w:t xml:space="preserve">: Nursing and elder-care professions face severe staffing shortages; median wages must rise substantially to attract workers, increasing per-unit service costs</w:t>
      </w:r>
    </w:p>
    <w:p>
      <w:pPr>
        <w:numPr>
          <w:ilvl w:val="0"/>
          <w:numId w:val="11"/>
        </w:numPr>
        <w:spacing w:lineRule="auto"/>
      </w:pPr>
      <w:r>
        <w:rPr>
          <w:b/>
        </w:rPr>
        <w:t xml:space="preserve">Moral hazard in demand</w:t>
      </w:r>
      <w:r>
        <w:rPr/>
        <w:t xml:space="preserve">: Extremely low out-of-pocket cost-sharing in Japan's system (10% copay for elderly) may stimulate healthcare utilization beyond clinical necessity, complicating demand forecasting</w:t>
      </w:r>
    </w:p>
    <w:p>
      <w:pPr>
        <w:numPr>
          <w:ilvl w:val="0"/>
          <w:numId w:val="11"/>
        </w:numPr>
        <w:spacing w:lineRule="auto"/>
      </w:pPr>
      <w:r>
        <w:rPr>
          <w:b/>
        </w:rPr>
        <w:t xml:space="preserve">Technology diffusion uncertainty</w:t>
      </w:r>
      <w:r>
        <w:rPr/>
        <w:t xml:space="preserve">: Adoption rates for advanced technologies (robotics, AI diagnostics) remain uncertain; capital intensity of such technologies may not be sustainable given labor cost pressures</w:t>
      </w:r>
    </w:p>
    <w:p>
      <w:pPr>
        <w:spacing w:line="271" w:before="240" w:lineRule="auto"/>
      </w:pPr>
      <w:bookmarkStart w:id="20" w:name="ii_c_long_term_care_sector_projec_80b10b"/>
      <w:r>
        <w:rPr>
          <w:rFonts w:eastAsia="Georgia" w:cs="Georgia" w:ascii="Georgia" w:hAnsi="Georgia"/>
          <w:b/>
          <w:sz w:val="33"/>
        </w:rPr>
        <w:t xml:space="preserve">II.C. Long-Term Care Sector Projections (2025–2050)</w:t>
      </w:r>
      <w:bookmarkEnd w:id="20"/>
    </w:p>
    <w:p>
      <w:pPr>
        <w:spacing w:line="271" w:before="240" w:lineRule="auto"/>
      </w:pPr>
      <w:bookmarkStart w:id="21" w:name="ii_c_1_regulatory_framework_and_c_7e9fed"/>
      <w:r>
        <w:rPr>
          <w:b/>
          <w:sz w:val="28"/>
        </w:rPr>
        <w:t xml:space="preserve">II.C.1. Regulatory Framework and Capacity Constraints</w:t>
      </w:r>
      <w:bookmarkEnd w:id="21"/>
    </w:p>
    <w:p>
      <w:pPr>
        <w:spacing w:after="210" w:lineRule="auto"/>
      </w:pPr>
      <w:r>
        <w:rPr>
          <w:rFonts w:eastAsia="Georgia" w:cs="Georgia" w:ascii="Georgia" w:hAnsi="Georgia"/>
        </w:rPr>
        <w:t xml:space="preserve">Japan's long-term care system is governed by the Long-Term Care Insurance (Kaigo Hoken) program, established in 2000. The system provides insurance coverage for eligible individuals (age 65+ or chronically ill individuals 40–64) assessed as requiring care levels 1–5.</w:t>
      </w:r>
    </w:p>
    <w:p>
      <w:pPr>
        <w:spacing w:after="210" w:lineRule="auto"/>
      </w:pPr>
      <w:r>
        <w:rPr>
          <w:b/>
        </w:rPr>
        <w:t xml:space="preserve">Current system characteristics:</w:t>
      </w:r>
    </w:p>
    <w:p>
      <w:pPr>
        <w:numPr>
          <w:ilvl w:val="0"/>
          <w:numId w:val="12"/>
        </w:numPr>
        <w:spacing w:lineRule="auto"/>
      </w:pPr>
      <w:r>
        <w:rPr>
          <w:b/>
        </w:rPr>
        <w:t xml:space="preserve">Insurance coverage</w:t>
      </w:r>
      <w:r>
        <w:rPr/>
        <w:t xml:space="preserve">: Approximately 2.7% of elderly population (65+) received long-term care services in 2021, suggesting either substantial unmet demand, informal family care provision, or strict eligibility thresholds[7]</w:t>
      </w:r>
    </w:p>
    <w:p>
      <w:pPr>
        <w:numPr>
          <w:ilvl w:val="0"/>
          <w:numId w:val="12"/>
        </w:numPr>
        <w:spacing w:lineRule="auto"/>
      </w:pPr>
      <w:r>
        <w:rPr>
          <w:b/>
        </w:rPr>
        <w:t xml:space="preserve">Service types covered</w:t>
      </w:r>
      <w:r>
        <w:rPr/>
        <w:t xml:space="preserve">: In-home services (bathing, dressing, toileting assistance), day centers, and residential facilities</w:t>
      </w:r>
    </w:p>
    <w:p>
      <w:pPr>
        <w:numPr>
          <w:ilvl w:val="0"/>
          <w:numId w:val="12"/>
        </w:numPr>
        <w:spacing w:lineRule="auto"/>
      </w:pPr>
      <w:r>
        <w:rPr>
          <w:b/>
        </w:rPr>
        <w:t xml:space="preserve">Cost-sharing</w:t>
      </w:r>
      <w:r>
        <w:rPr>
          <w:rFonts w:eastAsia="Georgia" w:cs="Georgia" w:ascii="Georgia" w:hAnsi="Georgia"/>
        </w:rPr>
        <w:t xml:space="preserve">: Users pay 10–30% of service costs out-of-pocket (depending on income), with insurance covering remainder</w:t>
      </w:r>
    </w:p>
    <w:p>
      <w:pPr>
        <w:numPr>
          <w:ilvl w:val="0"/>
          <w:numId w:val="12"/>
        </w:numPr>
        <w:spacing w:lineRule="auto"/>
      </w:pPr>
      <w:r>
        <w:rPr>
          <w:b/>
        </w:rPr>
        <w:t xml:space="preserve">Workforce composition</w:t>
      </w:r>
      <w:r>
        <w:rPr/>
        <w:t xml:space="preserve">: Mix of professional caregivers (nurses, care workers) and family members providing informal care</w:t>
      </w:r>
    </w:p>
    <w:p>
      <w:pPr>
        <w:spacing w:line="271" w:before="240" w:lineRule="auto"/>
      </w:pPr>
      <w:bookmarkStart w:id="22" w:name="ii_c_2_demand_projections_and_car_f3cd8d"/>
      <w:r>
        <w:rPr>
          <w:b/>
          <w:sz w:val="28"/>
        </w:rPr>
        <w:t xml:space="preserve">II.C.2. Demand Projections and Care Recipient Expansion</w:t>
      </w:r>
      <w:bookmarkEnd w:id="22"/>
    </w:p>
    <w:p>
      <w:pPr>
        <w:spacing w:after="210" w:lineRule="auto"/>
      </w:pPr>
      <w:r>
        <w:rPr/>
        <w:t xml:space="preserve">The absolute number of individuals requiring long-term care is projected to expand substantially based on:</w:t>
      </w:r>
    </w:p>
    <w:p>
      <w:pPr>
        <w:numPr>
          <w:ilvl w:val="0"/>
          <w:numId w:val="13"/>
        </w:numPr>
        <w:spacing w:after="210" w:lineRule="auto"/>
      </w:pPr>
      <w:r>
        <w:rPr>
          <w:b/>
        </w:rPr>
        <w:t xml:space="preserve">Aging of the elderly population</w:t>
      </w:r>
      <w:r>
        <w:rPr/>
        <w:t xml:space="preserve">: Prevalence of care dependency (functional limitations, cognitive impairment, behavioral disorders) escalates sharply in 80+, 90+, and 100+ cohorts.</w:t>
      </w:r>
    </w:p>
    <w:p>
      <w:pPr>
        <w:numPr>
          <w:ilvl w:val="0"/>
          <w:numId w:val="13"/>
        </w:numPr>
        <w:spacing w:after="210" w:lineRule="auto"/>
      </w:pPr>
      <w:r>
        <w:rPr>
          <w:b/>
        </w:rPr>
        <w:t xml:space="preserve">Dementia prevalence expansion</w:t>
      </w:r>
      <w:r>
        <w:rPr>
          <w:rFonts w:eastAsia="Georgia" w:cs="Georgia" w:ascii="Georgia" w:hAnsi="Georgia"/>
        </w:rPr>
        <w:t xml:space="preserve">: Current estimates suggest 5.6–6.8 million individuals with dementia in Japan (including mild cognitive impairment), projected to reach 8.2–10.3 million by 2050[8]. Dementia represents one of the primary drivers of care facility admissions and intensive long-term care service utilization.</w:t>
      </w:r>
    </w:p>
    <w:p>
      <w:pPr>
        <w:numPr>
          <w:ilvl w:val="0"/>
          <w:numId w:val="13"/>
        </w:numPr>
        <w:spacing w:after="210" w:lineRule="auto"/>
      </w:pPr>
      <w:r>
        <w:rPr>
          <w:b/>
        </w:rPr>
        <w:t xml:space="preserve">Changing family structure and care provision</w:t>
      </w:r>
      <w:r>
        <w:rPr/>
        <w:t xml:space="preserve">: The traditional model of elderly parents cared for by adult children within multigenerational households has eroded. Single-person households aged 65+ exceeded 9 million in 2024, precluding family-based care provision[2]. This structural shift externalizes care demand to formal institutional and service providers.</w:t>
      </w:r>
    </w:p>
    <w:p>
      <w:pPr>
        <w:spacing w:after="210" w:lineRule="auto"/>
      </w:pPr>
      <w:r>
        <w:rPr>
          <w:b/>
        </w:rPr>
        <w:t xml:space="preserve">Table 3: Projected Long-Term Care Service Users and Residential Facility Residents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Year</w:t>
            </w:r>
          </w:p>
        </w:tc>
        <w:tc>
          <w:tcPr>
            <w:tcBorders>
              <w:top w:val="single" w:sz="1" w:space="0" w:color="000000"/>
              <w:left w:val="single" w:sz="1" w:space="0" w:color="000000"/>
              <w:bottom w:val="single" w:sz="1" w:space="0" w:color="000000"/>
            </w:tcBorders>
          </w:tcPr>
          <w:p>
            <w:pPr>
              <w:spacing w:lineRule="auto"/>
            </w:pPr>
            <w:r>
              <w:rPr/>
              <w:t xml:space="preserve">Estimated Care Service Recipients (Millions)</w:t>
            </w:r>
          </w:p>
        </w:tc>
        <w:tc>
          <w:tcPr>
            <w:tcBorders>
              <w:top w:val="single" w:sz="1" w:space="0" w:color="000000"/>
              <w:left w:val="single" w:sz="1" w:space="0" w:color="000000"/>
              <w:bottom w:val="single" w:sz="1" w:space="0" w:color="000000"/>
            </w:tcBorders>
          </w:tcPr>
          <w:p>
            <w:pPr>
              <w:spacing w:lineRule="auto"/>
            </w:pPr>
            <w:r>
              <w:rPr/>
              <w:t xml:space="preserve">Residential Care Facility Residents (Millions)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Estimated Long-Term Care Expenditure (¥ Trillion)</w:t>
            </w:r>
          </w:p>
        </w:tc>
      </w:tr>
      <w:tr>
        <w:trPr>
          <w:cantSplit/>
        </w:trPr>
        <w:tc>
          <w:tcPr>
            <w:tcBorders>
              <w:top w:val="single" w:sz="1" w:space="0" w:color="000000"/>
              <w:bottom w:val="single" w:sz="1" w:space="0" w:color="000000"/>
            </w:tcBorders>
          </w:tcPr>
          <w:p>
            <w:pPr>
              <w:spacing w:lineRule="auto"/>
            </w:pPr>
            <w:r>
              <w:rPr/>
              <w:t xml:space="preserve">2020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~3.2</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~0.85</w:t>
            </w:r>
          </w:p>
        </w:tc>
        <w:tc>
          <w:tcPr>
            <w:tcBorders>
              <w:top w:val="single" w:sz="1" w:space="0" w:color="000000"/>
              <w:left w:val="single" w:sz="1" w:space="0" w:color="000000"/>
              <w:bottom w:val="single" w:sz="1" w:space="0" w:color="000000"/>
            </w:tcBorders>
          </w:tcPr>
          <w:p>
            <w:pPr>
              <w:spacing w:lineRule="auto"/>
            </w:pPr>
            <w:r>
              <w:rPr/>
              <w:t xml:space="preserve">11.0</w:t>
            </w:r>
          </w:p>
        </w:tc>
      </w:tr>
      <w:tr>
        <w:trPr>
          <w:cantSplit/>
        </w:trPr>
        <w:tc>
          <w:tcPr>
            <w:tcBorders>
              <w:top w:val="single" w:sz="1" w:space="0" w:color="000000"/>
              <w:bottom w:val="single" w:sz="1" w:space="0" w:color="000000"/>
            </w:tcBorders>
          </w:tcPr>
          <w:p>
            <w:pPr>
              <w:spacing w:lineRule="auto"/>
            </w:pPr>
            <w:r>
              <w:rPr/>
              <w:t xml:space="preserve">2030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~4.1</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~1.15</w:t>
            </w:r>
          </w:p>
        </w:tc>
        <w:tc>
          <w:tcPr>
            <w:tcBorders>
              <w:top w:val="single" w:sz="1" w:space="0" w:color="000000"/>
              <w:left w:val="single" w:sz="1" w:space="0" w:color="000000"/>
              <w:bottom w:val="single" w:sz="1" w:space="0" w:color="000000"/>
            </w:tcBorders>
          </w:tcPr>
          <w:p>
            <w:pPr>
              <w:spacing w:lineRule="auto"/>
            </w:pPr>
            <w:r>
              <w:rPr/>
              <w:t xml:space="preserve">13.8</w:t>
            </w:r>
          </w:p>
        </w:tc>
      </w:tr>
      <w:tr>
        <w:trPr>
          <w:cantSplit/>
        </w:trPr>
        <w:tc>
          <w:tcPr>
            <w:tcBorders>
              <w:top w:val="single" w:sz="1" w:space="0" w:color="000000"/>
              <w:bottom w:val="single" w:sz="1" w:space="0" w:color="000000"/>
            </w:tcBorders>
          </w:tcPr>
          <w:p>
            <w:pPr>
              <w:spacing w:lineRule="auto"/>
            </w:pPr>
            <w:r>
              <w:rPr/>
              <w:t xml:space="preserve">2040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~4.8</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~1.48</w:t>
            </w:r>
          </w:p>
        </w:tc>
        <w:tc>
          <w:tcPr>
            <w:tcBorders>
              <w:top w:val="single" w:sz="1" w:space="0" w:color="000000"/>
              <w:left w:val="single" w:sz="1" w:space="0" w:color="000000"/>
              <w:bottom w:val="single" w:sz="1" w:space="0" w:color="000000"/>
            </w:tcBorders>
          </w:tcPr>
          <w:p>
            <w:pPr>
              <w:spacing w:lineRule="auto"/>
            </w:pPr>
            <w:r>
              <w:rPr/>
              <w:t xml:space="preserve">16.2</w:t>
            </w:r>
          </w:p>
        </w:tc>
      </w:tr>
      <w:tr>
        <w:trPr>
          <w:cantSplit/>
        </w:trPr>
        <w:tc>
          <w:tcPr>
            <w:tcBorders>
              <w:top w:val="single" w:sz="1" w:space="0" w:color="000000"/>
              <w:bottom w:val="single" w:sz="1" w:space="0" w:color="000000"/>
            </w:tcBorders>
          </w:tcPr>
          <w:p>
            <w:pPr>
              <w:spacing w:lineRule="auto"/>
            </w:pPr>
            <w:r>
              <w:rPr/>
              <w:t xml:space="preserve">2050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~5.3</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~1.72</w:t>
            </w:r>
          </w:p>
        </w:tc>
        <w:tc>
          <w:tcPr>
            <w:tcBorders>
              <w:top w:val="single" w:sz="1" w:space="0" w:color="000000"/>
              <w:left w:val="single" w:sz="1" w:space="0" w:color="000000"/>
              <w:bottom w:val="single" w:sz="1" w:space="0" w:color="000000"/>
            </w:tcBorders>
          </w:tcPr>
          <w:p>
            <w:pPr>
              <w:spacing w:lineRule="auto"/>
            </w:pPr>
            <w:r>
              <w:rPr/>
              <w:t xml:space="preserve">18.5</w:t>
            </w:r>
          </w:p>
        </w:tc>
      </w:tr>
    </w:tbl>
    <w:p>
      <w:pPr>
        <w:spacing w:lineRule="auto"/>
      </w:pPr>
    </w:p>
    <w:p>
      <w:pPr>
        <w:spacing w:after="210" w:lineRule="auto"/>
      </w:pPr>
      <w:r>
        <w:rPr>
          <w:i/>
        </w:rPr>
        <w:t xml:space="preserve">Estimates derived from demographic aging patterns, care dependency prevalence rates, and Japanese government Long-Term Care Insurance actuarial data.</w:t>
      </w:r>
    </w:p>
    <w:p>
      <w:pPr>
        <w:spacing w:line="271" w:before="240" w:lineRule="auto"/>
      </w:pPr>
      <w:bookmarkStart w:id="23" w:name="ii_c_3_long_term_care_sector_grow_8690a1"/>
      <w:r>
        <w:rPr>
          <w:b/>
          <w:sz w:val="28"/>
        </w:rPr>
        <w:t xml:space="preserve">II.C.3. Long-Term Care Sector Growth Dynamics</w:t>
      </w:r>
      <w:bookmarkEnd w:id="23"/>
    </w:p>
    <w:p>
      <w:pPr>
        <w:spacing w:after="210" w:lineRule="auto"/>
      </w:pPr>
      <w:r>
        <w:rPr>
          <w:b/>
        </w:rPr>
        <w:t xml:space="preserve">Sector Opportunities:</w:t>
      </w:r>
    </w:p>
    <w:p>
      <w:pPr>
        <w:numPr>
          <w:ilvl w:val="0"/>
          <w:numId w:val="14"/>
        </w:numPr>
        <w:spacing w:lineRule="auto"/>
      </w:pPr>
      <w:r>
        <w:rPr>
          <w:b/>
        </w:rPr>
        <w:t xml:space="preserve">Labor-intensive growth</w:t>
      </w:r>
      <w:r>
        <w:rPr/>
        <w:t xml:space="preserve">: Long-term care services are inherently difficult to automate, ensuring sustained employment demand</w:t>
      </w:r>
    </w:p>
    <w:p>
      <w:pPr>
        <w:numPr>
          <w:ilvl w:val="0"/>
          <w:numId w:val="14"/>
        </w:numPr>
        <w:spacing w:lineRule="auto"/>
      </w:pPr>
      <w:r>
        <w:rPr>
          <w:b/>
        </w:rPr>
        <w:t xml:space="preserve">Technology integration</w:t>
      </w:r>
      <w:r>
        <w:rPr/>
        <w:t xml:space="preserve">: Innovation in care technology (monitoring devices, assistive robots, digital health platforms) creates supplementary markets alongside traditional service provision</w:t>
      </w:r>
    </w:p>
    <w:p>
      <w:pPr>
        <w:numPr>
          <w:ilvl w:val="0"/>
          <w:numId w:val="14"/>
        </w:numPr>
        <w:spacing w:lineRule="auto"/>
      </w:pPr>
      <w:r>
        <w:rPr>
          <w:b/>
        </w:rPr>
        <w:t xml:space="preserve">Private sector expansion</w:t>
      </w:r>
      <w:r>
        <w:rPr/>
        <w:t xml:space="preserve">: Historically dominated by public and non-profit providers, long-term care increasingly attracts for-profit operators seeking to standardize service delivery and apply technology</w:t>
      </w:r>
    </w:p>
    <w:p>
      <w:pPr>
        <w:numPr>
          <w:ilvl w:val="0"/>
          <w:numId w:val="14"/>
        </w:numPr>
        <w:spacing w:lineRule="auto"/>
      </w:pPr>
      <w:r>
        <w:rPr>
          <w:b/>
        </w:rPr>
        <w:t xml:space="preserve">International care worker recruitment</w:t>
      </w:r>
      <w:r>
        <w:rPr/>
        <w:t xml:space="preserve">: Faced with severe domestic labor shortages, Japan has liberalized visa policies for care workers from Southeast Asian nations, creating growth opportunities within bilateral labor frameworks</w:t>
      </w:r>
    </w:p>
    <w:p>
      <w:pPr>
        <w:spacing w:after="210" w:lineRule="auto"/>
      </w:pPr>
      <w:r>
        <w:rPr>
          <w:b/>
        </w:rPr>
        <w:t xml:space="preserve">Inherent Limitations:</w:t>
      </w:r>
    </w:p>
    <w:p>
      <w:pPr>
        <w:numPr>
          <w:ilvl w:val="0"/>
          <w:numId w:val="15"/>
        </w:numPr>
        <w:spacing w:lineRule="auto"/>
      </w:pPr>
      <w:r>
        <w:rPr>
          <w:b/>
        </w:rPr>
        <w:t xml:space="preserve">Reimbursement rate compression</w:t>
      </w:r>
      <w:r>
        <w:rPr/>
        <w:t xml:space="preserve">: Government cost-control measures have constrained Kaigo Hoken reimbursement rates, limiting operator profitability and incentives for facility expansion</w:t>
      </w:r>
    </w:p>
    <w:p>
      <w:pPr>
        <w:numPr>
          <w:ilvl w:val="0"/>
          <w:numId w:val="15"/>
        </w:numPr>
        <w:spacing w:lineRule="auto"/>
      </w:pPr>
      <w:r>
        <w:rPr>
          <w:b/>
        </w:rPr>
        <w:t xml:space="preserve">Capital intensity vs. labor availability trade-off</w:t>
      </w:r>
      <w:r>
        <w:rPr/>
        <w:t xml:space="preserve">: Highly automated care facilities (e.g., robotic assistance, sensor-based monitoring) require substantial upfront capital; yet labor cost pressures may not justify such capital intensity in a market where wages remain controlled by public insurance rates</w:t>
      </w:r>
    </w:p>
    <w:p>
      <w:pPr>
        <w:numPr>
          <w:ilvl w:val="0"/>
          <w:numId w:val="15"/>
        </w:numPr>
        <w:spacing w:lineRule="auto"/>
      </w:pPr>
      <w:r>
        <w:rPr>
          <w:b/>
        </w:rPr>
        <w:t xml:space="preserve">Quality-cost tension</w:t>
      </w:r>
      <w:r>
        <w:rPr/>
        <w:t xml:space="preserve">: Labor-intensive delivery of personalized care is difficult to commoditize; cost pressures may trigger quality deterioration, creating regulatory and consumer backlash</w:t>
      </w:r>
    </w:p>
    <w:p>
      <w:pPr>
        <w:numPr>
          <w:ilvl w:val="0"/>
          <w:numId w:val="15"/>
        </w:numPr>
        <w:spacing w:lineRule="auto"/>
      </w:pPr>
      <w:r>
        <w:rPr>
          <w:b/>
        </w:rPr>
        <w:t xml:space="preserve">Care worker shortages</w:t>
      </w:r>
      <w:r>
        <w:rPr/>
        <w:t xml:space="preserve">: Despite regulatory liberalization facilitating international recruitment, care worker supply remains constrained relative to projected demand. Average caregiver wages and working conditions must improve materially to attract sufficient domestic and immigrant labor</w:t>
      </w:r>
    </w:p>
    <w:p>
      <w:pPr>
        <w:spacing w:line="271" w:before="240" w:lineRule="auto"/>
      </w:pPr>
      <w:bookmarkStart w:id="24" w:name="ii_d_lifestyle_related_industries_68ffbb"/>
      <w:r>
        <w:rPr>
          <w:b/>
          <w:sz w:val="33"/>
        </w:rPr>
        <w:t xml:space="preserve">II.D. Lifestyle-Related Industries: Heterogeneous Growth Patterns</w:t>
      </w:r>
      <w:bookmarkEnd w:id="24"/>
    </w:p>
    <w:p>
      <w:pPr>
        <w:spacing w:line="271" w:before="240" w:lineRule="auto"/>
      </w:pPr>
      <w:bookmarkStart w:id="25" w:name="ii_d_1_residential_real_estate_an_ccf515"/>
      <w:r>
        <w:rPr>
          <w:b/>
          <w:sz w:val="28"/>
        </w:rPr>
        <w:t xml:space="preserve">II.D.1. Residential Real Estate and Senior Housing</w:t>
      </w:r>
      <w:bookmarkEnd w:id="25"/>
    </w:p>
    <w:p>
      <w:pPr>
        <w:spacing w:after="210" w:lineRule="auto"/>
      </w:pPr>
      <w:r>
        <w:rPr/>
        <w:t xml:space="preserve">Japan's senior residential real estate market encompasses specialized housing serving elderly residents, including:</w:t>
      </w:r>
    </w:p>
    <w:p>
      <w:pPr>
        <w:numPr>
          <w:ilvl w:val="0"/>
          <w:numId w:val="16"/>
        </w:numPr>
        <w:spacing w:lineRule="auto"/>
      </w:pPr>
      <w:r>
        <w:rPr>
          <w:b/>
        </w:rPr>
        <w:t xml:space="preserve">Group homes and assisted living</w:t>
      </w:r>
      <w:r>
        <w:rPr>
          <w:rFonts w:eastAsia="Georgia" w:cs="Georgia" w:ascii="Georgia" w:hAnsi="Georgia"/>
        </w:rPr>
        <w:t xml:space="preserve">: Small residential units (typically 5–9 residents) with support services</w:t>
      </w:r>
    </w:p>
    <w:p>
      <w:pPr>
        <w:numPr>
          <w:ilvl w:val="0"/>
          <w:numId w:val="16"/>
        </w:numPr>
        <w:spacing w:lineRule="auto"/>
      </w:pPr>
      <w:r>
        <w:rPr>
          <w:b/>
        </w:rPr>
        <w:t xml:space="preserve">Senior living communities</w:t>
      </w:r>
      <w:r>
        <w:rPr/>
        <w:t xml:space="preserve">: Larger complexes offering tiered care levels, dining facilities, and social amenities</w:t>
      </w:r>
    </w:p>
    <w:p>
      <w:pPr>
        <w:numPr>
          <w:ilvl w:val="0"/>
          <w:numId w:val="16"/>
        </w:numPr>
        <w:spacing w:lineRule="auto"/>
      </w:pPr>
      <w:r>
        <w:rPr>
          <w:b/>
        </w:rPr>
        <w:t xml:space="preserve">Age-friendly home modifications</w:t>
      </w:r>
      <w:r>
        <w:rPr/>
        <w:t xml:space="preserve">: Renovations to existing housing to enhance accessibility (grab bars, ramps, accessible bathrooms, smart home safety systems)</w:t>
      </w:r>
    </w:p>
    <w:p>
      <w:pPr>
        <w:spacing w:after="210" w:lineRule="auto"/>
      </w:pPr>
      <w:r>
        <w:rPr>
          <w:b/>
        </w:rPr>
        <w:t xml:space="preserve">Market drivers:</w:t>
      </w:r>
    </w:p>
    <w:p>
      <w:pPr>
        <w:numPr>
          <w:ilvl w:val="0"/>
          <w:numId w:val="17"/>
        </w:numPr>
        <w:spacing w:lineRule="auto"/>
      </w:pPr>
      <w:r>
        <w:rPr>
          <w:rFonts w:eastAsia="Georgia" w:cs="Georgia" w:ascii="Georgia" w:hAnsi="Georgia"/>
        </w:rPr>
        <w:t xml:space="preserve">High proportion of elderly owner-occupiers with significant home equity (average assets &gt;24 million ¥ for 60+ households per Silver Business research) creates financing capacity for housing transitions</w:t>
      </w:r>
    </w:p>
    <w:p>
      <w:pPr>
        <w:numPr>
          <w:ilvl w:val="0"/>
          <w:numId w:val="17"/>
        </w:numPr>
        <w:spacing w:lineRule="auto"/>
      </w:pPr>
      <w:r>
        <w:rPr/>
        <w:t xml:space="preserve">Cultural shift toward institutional or group housing alternatives to multi-generational households</w:t>
      </w:r>
    </w:p>
    <w:p>
      <w:pPr>
        <w:numPr>
          <w:ilvl w:val="0"/>
          <w:numId w:val="17"/>
        </w:numPr>
        <w:spacing w:lineRule="auto"/>
      </w:pPr>
      <w:r>
        <w:rPr/>
        <w:t xml:space="preserve">Developer interest in real estate development for elderly segments, particularly in urban cores with aging populations</w:t>
      </w:r>
    </w:p>
    <w:p>
      <w:pPr>
        <w:spacing w:after="210" w:lineRule="auto"/>
      </w:pPr>
      <w:r>
        <w:rPr>
          <w:b/>
        </w:rPr>
        <w:t xml:space="preserve">Constraints:</w:t>
      </w:r>
    </w:p>
    <w:p>
      <w:pPr>
        <w:numPr>
          <w:ilvl w:val="0"/>
          <w:numId w:val="18"/>
        </w:numPr>
        <w:spacing w:lineRule="auto"/>
      </w:pPr>
      <w:r>
        <w:rPr/>
        <w:t xml:space="preserve">High land costs in desirable urban locations limit profitability of senior housing developments</w:t>
      </w:r>
    </w:p>
    <w:p>
      <w:pPr>
        <w:numPr>
          <w:ilvl w:val="0"/>
          <w:numId w:val="18"/>
        </w:numPr>
        <w:spacing w:lineRule="auto"/>
      </w:pPr>
      <w:r>
        <w:rPr/>
        <w:t xml:space="preserve">Zoning regulations in many municipalities restrict senior facility development</w:t>
      </w:r>
    </w:p>
    <w:p>
      <w:pPr>
        <w:numPr>
          <w:ilvl w:val="0"/>
          <w:numId w:val="18"/>
        </w:numPr>
        <w:spacing w:lineRule="auto"/>
      </w:pPr>
      <w:r>
        <w:rPr/>
        <w:t xml:space="preserve">Fragmentation of demand (heterogeneous preferences regarding location, care intensity, amenities) complicates standardization</w:t>
      </w:r>
    </w:p>
    <w:p>
      <w:pPr>
        <w:numPr>
          <w:ilvl w:val="0"/>
          <w:numId w:val="18"/>
        </w:numPr>
        <w:spacing w:lineRule="auto"/>
      </w:pPr>
      <w:r>
        <w:rPr/>
        <w:t xml:space="preserve">Property tax and regulatory burdens on operators compress margins</w:t>
      </w:r>
    </w:p>
    <w:p>
      <w:pPr>
        <w:spacing w:line="271" w:before="240" w:lineRule="auto"/>
      </w:pPr>
      <w:bookmarkStart w:id="26" w:name="ii_d_2_food_nutrition_and_special_3e7793"/>
      <w:r>
        <w:rPr>
          <w:b/>
          <w:sz w:val="28"/>
        </w:rPr>
        <w:t xml:space="preserve">II.D.2. Food, Nutrition, and Specialized Dietary Products</w:t>
      </w:r>
      <w:bookmarkEnd w:id="26"/>
    </w:p>
    <w:p>
      <w:pPr>
        <w:spacing w:after="210" w:lineRule="auto"/>
      </w:pPr>
      <w:r>
        <w:rPr/>
        <w:t xml:space="preserve">Elderly dietary requirements differ materially from general population, creating specialized market segments:</w:t>
      </w:r>
    </w:p>
    <w:p>
      <w:pPr>
        <w:numPr>
          <w:ilvl w:val="0"/>
          <w:numId w:val="19"/>
        </w:numPr>
        <w:spacing w:lineRule="auto"/>
      </w:pPr>
      <w:r>
        <w:rPr>
          <w:b/>
        </w:rPr>
        <w:t xml:space="preserve">Texture-modified foods</w:t>
      </w:r>
      <w:r>
        <w:rPr/>
        <w:t xml:space="preserve">: For individuals with dysphagia or dentition limitations</w:t>
      </w:r>
    </w:p>
    <w:p>
      <w:pPr>
        <w:numPr>
          <w:ilvl w:val="0"/>
          <w:numId w:val="19"/>
        </w:numPr>
        <w:spacing w:lineRule="auto"/>
      </w:pPr>
      <w:r>
        <w:rPr>
          <w:b/>
        </w:rPr>
        <w:t xml:space="preserve">Nutritional supplements and fortified products</w:t>
      </w:r>
      <w:r>
        <w:rPr/>
        <w:t xml:space="preserve">: Addressing micronutrient deficiencies (calcium, vitamin D, iron, B12)</w:t>
      </w:r>
    </w:p>
    <w:p>
      <w:pPr>
        <w:numPr>
          <w:ilvl w:val="0"/>
          <w:numId w:val="19"/>
        </w:numPr>
        <w:spacing w:lineRule="auto"/>
      </w:pPr>
      <w:r>
        <w:rPr>
          <w:b/>
        </w:rPr>
        <w:t xml:space="preserve">Meals-on-wheels and meal delivery services</w:t>
      </w:r>
      <w:r>
        <w:rPr/>
        <w:t xml:space="preserve">: Catering to isolated elderly or those with mobility limitations</w:t>
      </w:r>
    </w:p>
    <w:p>
      <w:pPr>
        <w:numPr>
          <w:ilvl w:val="0"/>
          <w:numId w:val="19"/>
        </w:numPr>
        <w:spacing w:lineRule="auto"/>
      </w:pPr>
      <w:r>
        <w:rPr>
          <w:b/>
        </w:rPr>
        <w:t xml:space="preserve">Restaurant and food service adaptation</w:t>
      </w:r>
      <w:r>
        <w:rPr/>
        <w:t xml:space="preserve">: Modification of standard menus for elderly palatability and nutritional needs</w:t>
      </w:r>
    </w:p>
    <w:p>
      <w:pPr>
        <w:spacing w:after="210" w:lineRule="auto"/>
      </w:pPr>
      <w:r>
        <w:rPr/>
        <w:t xml:space="preserve">Market growth is driven by:</w:t>
      </w:r>
    </w:p>
    <w:p>
      <w:pPr>
        <w:numPr>
          <w:ilvl w:val="0"/>
          <w:numId w:val="20"/>
        </w:numPr>
        <w:spacing w:lineRule="auto"/>
      </w:pPr>
      <w:r>
        <w:rPr/>
        <w:t xml:space="preserve">Rising prevalence of swallowing disorders and nutritional deficiency with advanced age</w:t>
      </w:r>
    </w:p>
    <w:p>
      <w:pPr>
        <w:numPr>
          <w:ilvl w:val="0"/>
          <w:numId w:val="20"/>
        </w:numPr>
        <w:spacing w:lineRule="auto"/>
      </w:pPr>
      <w:r>
        <w:rPr/>
        <w:t xml:space="preserve">Single-person elderly households unable or unwilling to prepare meals</w:t>
      </w:r>
    </w:p>
    <w:p>
      <w:pPr>
        <w:numPr>
          <w:ilvl w:val="0"/>
          <w:numId w:val="20"/>
        </w:numPr>
        <w:spacing w:lineRule="auto"/>
      </w:pPr>
      <w:r>
        <w:rPr/>
        <w:t xml:space="preserve">Increasing consumer awareness of age-specific nutritional requirements</w:t>
      </w:r>
    </w:p>
    <w:p>
      <w:pPr>
        <w:spacing w:line="271" w:before="240" w:lineRule="auto"/>
      </w:pPr>
      <w:bookmarkStart w:id="27" w:name="ii_d_3_robotics_and_assistive_tec_fc5ebd"/>
      <w:r>
        <w:rPr>
          <w:b/>
          <w:sz w:val="28"/>
        </w:rPr>
        <w:t xml:space="preserve">II.D.3. Robotics and Assistive Technology: Frontier Markets</w:t>
      </w:r>
      <w:bookmarkEnd w:id="27"/>
    </w:p>
    <w:p>
      <w:pPr>
        <w:spacing w:after="210" w:lineRule="auto"/>
      </w:pPr>
      <w:r>
        <w:rPr/>
        <w:t xml:space="preserve">Japan has emerged as a global leader in robotics for elderly care, leveraging technological expertise and urgent domestic demand.</w:t>
      </w:r>
    </w:p>
    <w:p>
      <w:pPr>
        <w:spacing w:after="210" w:lineRule="auto"/>
      </w:pPr>
      <w:r>
        <w:rPr>
          <w:b/>
        </w:rPr>
        <w:t xml:space="preserve">Robotics and AI Applications in Elderly Care:</w:t>
      </w:r>
    </w:p>
    <w:p>
      <w:pPr>
        <w:spacing w:after="210" w:lineRule="auto"/>
      </w:pPr>
      <w:r>
        <w:rPr>
          <w:rFonts w:eastAsia="Georgia" w:cs="Georgia" w:ascii="Georgia" w:hAnsi="Georgia"/>
        </w:rPr>
        <w:t xml:space="preserve">According to the World Economic Forum's synthesis of Japanese government policy, the Ministry of Health, Labour and Welfare allocated nearly ¥30 billion ($203.5 million USD) in subsidies in the 2025 budget to accelerate adoption of care technologies, reflecting government prioritization of this sector[2].</w:t>
      </w:r>
    </w:p>
    <w:p>
      <w:pPr>
        <w:spacing w:after="210" w:lineRule="auto"/>
      </w:pPr>
      <w:r>
        <w:rPr/>
        <w:t xml:space="preserve">Government-prioritized technology focus areas include:</w:t>
      </w:r>
    </w:p>
    <w:p>
      <w:pPr>
        <w:numPr>
          <w:ilvl w:val="0"/>
          <w:numId w:val="21"/>
        </w:numPr>
        <w:spacing w:lineRule="auto"/>
      </w:pPr>
      <w:r>
        <w:rPr>
          <w:b/>
        </w:rPr>
        <w:t xml:space="preserve">Functional exercise support</w:t>
      </w:r>
      <w:r>
        <w:rPr/>
        <w:t xml:space="preserve">: Robotic exoskeletons and resistance devices assisting mobility and fall prevention</w:t>
      </w:r>
    </w:p>
    <w:p>
      <w:pPr>
        <w:numPr>
          <w:ilvl w:val="0"/>
          <w:numId w:val="21"/>
        </w:numPr>
        <w:spacing w:lineRule="auto"/>
      </w:pPr>
      <w:r>
        <w:rPr>
          <w:b/>
        </w:rPr>
        <w:t xml:space="preserve">Eating and nutrition assistance</w:t>
      </w:r>
      <w:r>
        <w:rPr/>
        <w:t xml:space="preserve">: Robotic feeding assistance and dysphagia support devices</w:t>
      </w:r>
    </w:p>
    <w:p>
      <w:pPr>
        <w:numPr>
          <w:ilvl w:val="0"/>
          <w:numId w:val="21"/>
        </w:numPr>
        <w:spacing w:lineRule="auto"/>
      </w:pPr>
      <w:r>
        <w:rPr>
          <w:b/>
        </w:rPr>
        <w:t xml:space="preserve">Dementia support</w:t>
      </w:r>
      <w:r>
        <w:rPr/>
        <w:t xml:space="preserve">: AI-driven systems monitoring behavioral patterns, medication adherence, and safety; conversation partner services leveraging AI matching algorithms</w:t>
      </w:r>
    </w:p>
    <w:p>
      <w:pPr>
        <w:numPr>
          <w:ilvl w:val="0"/>
          <w:numId w:val="21"/>
        </w:numPr>
        <w:spacing w:lineRule="auto"/>
      </w:pPr>
      <w:r>
        <w:rPr>
          <w:b/>
        </w:rPr>
        <w:t xml:space="preserve">Environmental monitoring</w:t>
      </w:r>
      <w:r>
        <w:rPr/>
        <w:t xml:space="preserve">: Sensor systems detecting falls, abnormal movement patterns, or behavioral deterioration prompting caregiver alerts</w:t>
      </w:r>
    </w:p>
    <w:p>
      <w:pPr>
        <w:spacing w:after="210" w:lineRule="auto"/>
      </w:pPr>
      <w:r>
        <w:rPr>
          <w:b/>
        </w:rPr>
        <w:t xml:space="preserve">Conversation Partner Services—Emerging Subsector:</w:t>
      </w:r>
    </w:p>
    <w:p>
      <w:pPr>
        <w:spacing w:after="210" w:lineRule="auto"/>
      </w:pPr>
      <w:r>
        <w:rPr/>
        <w:t xml:space="preserve">The conversation partner service market, addressing the psychosocial needs of isolated elderly, represents a particularly illustrative example of lifestyle-sector growth:</w:t>
      </w:r>
    </w:p>
    <w:p>
      <w:pPr>
        <w:numPr>
          <w:ilvl w:val="0"/>
          <w:numId w:val="22"/>
        </w:numPr>
        <w:spacing w:lineRule="auto"/>
      </w:pPr>
      <w:r>
        <w:rPr>
          <w:b/>
        </w:rPr>
        <w:t xml:space="preserve">Market size (2024)</w:t>
      </w:r>
      <w:r>
        <w:rPr>
          <w:rFonts w:eastAsia="Georgia" w:cs="Georgia" w:ascii="Georgia" w:hAnsi="Georgia"/>
        </w:rPr>
        <w:t xml:space="preserve">: Estimated at ¥100 billion+ ($670 million USD) and expanding[2]</w:t>
      </w:r>
    </w:p>
    <w:p>
      <w:pPr>
        <w:numPr>
          <w:ilvl w:val="0"/>
          <w:numId w:val="22"/>
        </w:numPr>
        <w:spacing w:lineRule="auto"/>
      </w:pPr>
      <w:r>
        <w:rPr>
          <w:b/>
        </w:rPr>
        <w:t xml:space="preserve">Drivers</w:t>
      </w:r>
      <w:r>
        <w:rPr/>
        <w:t xml:space="preserve">: Single-person households aged 65+ (9+ million), wherein 61.7% are 75+, face elevated risks of delayed illness detection and dementia progression due to social isolation</w:t>
      </w:r>
    </w:p>
    <w:p>
      <w:pPr>
        <w:numPr>
          <w:ilvl w:val="0"/>
          <w:numId w:val="22"/>
        </w:numPr>
        <w:spacing w:lineRule="auto"/>
      </w:pPr>
      <w:r>
        <w:rPr>
          <w:b/>
        </w:rPr>
        <w:t xml:space="preserve">Service models</w:t>
      </w:r>
      <w:r>
        <w:rPr/>
        <w:t xml:space="preserve">: Ranging from trained human companions to AI-driven matchmaking platforms (e.g., Hahalol, serving users 50+) connecting seniors for romantic or platonic relationships</w:t>
      </w:r>
    </w:p>
    <w:p>
      <w:pPr>
        <w:numPr>
          <w:ilvl w:val="0"/>
          <w:numId w:val="22"/>
        </w:numPr>
        <w:spacing w:lineRule="auto"/>
      </w:pPr>
      <w:r>
        <w:rPr>
          <w:b/>
        </w:rPr>
        <w:t xml:space="preserve">Funding landscape</w:t>
      </w:r>
      <w:r>
        <w:rPr>
          <w:rFonts w:eastAsia="Georgia" w:cs="Georgia" w:ascii="Georgia" w:hAnsi="Georgia"/>
        </w:rPr>
        <w:t xml:space="preserve">: Private investment interest reflected in funding rounds (e.g., Hahalol raised ¥560 million / $3.8 million USD), indicating venture capital confidence in the subsector</w:t>
      </w:r>
    </w:p>
    <w:p>
      <w:pPr>
        <w:spacing w:after="210" w:lineRule="auto"/>
      </w:pPr>
      <w:r>
        <w:rPr>
          <w:b/>
        </w:rPr>
        <w:t xml:space="preserve">Table 4: Projected Robotics and Technology Adoption Rates in Long-Term Care Facilities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738"/>
        <w:gridCol w:w="1738"/>
        <w:gridCol w:w="1738"/>
        <w:gridCol w:w="1738"/>
        <w:gridCol w:w="1738"/>
      </w:tblGrid>
      <w:tr>
        <w:trPr>
          <w:cantSplit/>
        </w:trPr>
        <w:tc>
          <w:tcPr>
            <w:tcBorders>
              <w:top w:val="single" w:sz="1" w:space="0" w:color="000000"/>
              <w:bottom w:val="single" w:sz="1" w:space="0" w:color="000000"/>
            </w:tcBorders>
          </w:tcPr>
          <w:p>
            <w:pPr>
              <w:spacing w:lineRule="auto"/>
            </w:pPr>
            <w:r>
              <w:rPr/>
              <w:t xml:space="preserve">Technology Category</w:t>
            </w:r>
          </w:p>
        </w:tc>
        <w:tc>
          <w:tcPr>
            <w:tcBorders>
              <w:top w:val="single" w:sz="1" w:space="0" w:color="000000"/>
              <w:left w:val="single" w:sz="1" w:space="0" w:color="000000"/>
              <w:bottom w:val="single" w:sz="1" w:space="0" w:color="000000"/>
            </w:tcBorders>
          </w:tcPr>
          <w:p>
            <w:pPr>
              <w:spacing w:lineRule="auto"/>
            </w:pPr>
            <w:r>
              <w:rPr/>
              <w:t xml:space="preserve">2020 Adoption Rate (%)</w:t>
            </w:r>
          </w:p>
        </w:tc>
        <w:tc>
          <w:tcPr>
            <w:tcBorders>
              <w:top w:val="single" w:sz="1" w:space="0" w:color="000000"/>
              <w:left w:val="single" w:sz="1" w:space="0" w:color="000000"/>
              <w:bottom w:val="single" w:sz="1" w:space="0" w:color="000000"/>
            </w:tcBorders>
          </w:tcPr>
          <w:p>
            <w:pPr>
              <w:spacing w:lineRule="auto"/>
            </w:pPr>
            <w:r>
              <w:rPr/>
              <w:t xml:space="preserve">2030 Projected Adoption (%)</w:t>
            </w:r>
          </w:p>
        </w:tc>
        <w:tc>
          <w:tcPr>
            <w:tcBorders>
              <w:top w:val="single" w:sz="1" w:space="0" w:color="000000"/>
              <w:left w:val="single" w:sz="1" w:space="0" w:color="000000"/>
              <w:bottom w:val="single" w:sz="1" w:space="0" w:color="000000"/>
            </w:tcBorders>
          </w:tcPr>
          <w:p>
            <w:pPr>
              <w:spacing w:lineRule="auto"/>
            </w:pPr>
            <w:r>
              <w:rPr/>
              <w:t xml:space="preserve">2040 Projected Adoption (%)</w:t>
            </w:r>
          </w:p>
        </w:tc>
        <w:tc>
          <w:tcPr>
            <w:tcBorders>
              <w:top w:val="single" w:sz="1" w:space="0" w:color="000000"/>
              <w:left w:val="single" w:sz="1" w:space="0" w:color="000000"/>
              <w:bottom w:val="single" w:sz="1" w:space="0" w:color="000000"/>
            </w:tcBorders>
          </w:tcPr>
          <w:p>
            <w:pPr>
              <w:spacing w:lineRule="auto"/>
            </w:pPr>
            <w:r>
              <w:rPr/>
              <w:t xml:space="preserve">2050 Projected Adoption (%)</w:t>
            </w:r>
          </w:p>
        </w:tc>
      </w:tr>
      <w:tr>
        <w:trPr>
          <w:cantSplit/>
        </w:trPr>
        <w:tc>
          <w:tcPr>
            <w:tcBorders>
              <w:top w:val="single" w:sz="1" w:space="0" w:color="000000"/>
              <w:bottom w:val="single" w:sz="1" w:space="0" w:color="000000"/>
            </w:tcBorders>
          </w:tcPr>
          <w:p>
            <w:pPr>
              <w:spacing w:lineRule="auto"/>
            </w:pPr>
            <w:r>
              <w:rPr/>
              <w:t xml:space="preserve">Transfer assistance robots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5–8</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15–22</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28–35</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40–50</w:t>
            </w:r>
          </w:p>
        </w:tc>
      </w:tr>
      <w:tr>
        <w:trPr>
          <w:cantSplit/>
        </w:trPr>
        <w:tc>
          <w:tcPr>
            <w:tcBorders>
              <w:top w:val="single" w:sz="1" w:space="0" w:color="000000"/>
              <w:bottom w:val="single" w:sz="1" w:space="0" w:color="000000"/>
            </w:tcBorders>
          </w:tcPr>
          <w:p>
            <w:pPr>
              <w:spacing w:lineRule="auto"/>
            </w:pPr>
            <w:r>
              <w:rPr/>
              <w:t xml:space="preserve">Fall detection and monitoring</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8–12</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20–28</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35–42</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50–60</w:t>
            </w:r>
          </w:p>
        </w:tc>
      </w:tr>
      <w:tr>
        <w:trPr>
          <w:cantSplit/>
        </w:trPr>
        <w:tc>
          <w:tcPr>
            <w:tcBorders>
              <w:top w:val="single" w:sz="1" w:space="0" w:color="000000"/>
              <w:bottom w:val="single" w:sz="1" w:space="0" w:color="000000"/>
            </w:tcBorders>
          </w:tcPr>
          <w:p>
            <w:pPr>
              <w:spacing w:lineRule="auto"/>
            </w:pPr>
            <w:r>
              <w:rPr/>
              <w:t xml:space="preserve">Exoskeletons (mobility assist)</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2–3</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5–10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12–18</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20–28</w:t>
            </w:r>
          </w:p>
        </w:tc>
      </w:tr>
      <w:tr>
        <w:trPr>
          <w:cantSplit/>
        </w:trPr>
        <w:tc>
          <w:tcPr>
            <w:tcBorders>
              <w:top w:val="single" w:sz="1" w:space="0" w:color="000000"/>
              <w:bottom w:val="single" w:sz="1" w:space="0" w:color="000000"/>
            </w:tcBorders>
          </w:tcPr>
          <w:p>
            <w:pPr>
              <w:spacing w:lineRule="auto"/>
            </w:pPr>
            <w:r>
              <w:rPr/>
              <w:t xml:space="preserve">Conversation/companion AI</w:t>
            </w:r>
          </w:p>
        </w:tc>
        <w:tc>
          <w:tcPr>
            <w:tcBorders>
              <w:top w:val="single" w:sz="1" w:space="0" w:color="000000"/>
              <w:left w:val="single" w:sz="1" w:space="0" w:color="000000"/>
              <w:bottom w:val="single" w:sz="1" w:space="0" w:color="000000"/>
            </w:tcBorders>
          </w:tcPr>
          <w:p>
            <w:pPr>
              <w:spacing w:lineRule="auto"/>
            </w:pPr>
            <w:r>
              <w:rPr/>
              <w:t xml:space="preserve">&lt;1</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3–8</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12–20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25–35</w:t>
            </w:r>
          </w:p>
        </w:tc>
      </w:tr>
    </w:tbl>
    <w:p>
      <w:pPr>
        <w:spacing w:lineRule="auto"/>
      </w:pPr>
    </w:p>
    <w:p>
      <w:pPr>
        <w:spacing w:after="210" w:lineRule="auto"/>
      </w:pPr>
      <w:r>
        <w:rPr>
          <w:i/>
        </w:rPr>
        <w:t xml:space="preserve">Estimates reflect expert assessment of technology maturation, cost trajectory, and regulatory adoption curves.</w:t>
      </w:r>
    </w:p>
    <w:p>
      <w:pPr>
        <w:spacing w:after="210" w:lineRule="auto"/>
      </w:pPr>
      <w:r>
        <w:rPr>
          <w:b/>
        </w:rPr>
        <w:t xml:space="preserve">Opportunities:</w:t>
      </w:r>
    </w:p>
    <w:p>
      <w:pPr>
        <w:numPr>
          <w:ilvl w:val="0"/>
          <w:numId w:val="23"/>
        </w:numPr>
        <w:spacing w:lineRule="auto"/>
      </w:pPr>
      <w:r>
        <w:rPr>
          <w:b/>
        </w:rPr>
        <w:t xml:space="preserve">Technology-labor complement</w:t>
      </w:r>
      <w:r>
        <w:rPr/>
        <w:t xml:space="preserve">: Robots and AI systems may extend caregiver capacity without replacing human interaction, potentially alleviating labor shortages</w:t>
      </w:r>
    </w:p>
    <w:p>
      <w:pPr>
        <w:numPr>
          <w:ilvl w:val="0"/>
          <w:numId w:val="23"/>
        </w:numPr>
        <w:spacing w:lineRule="auto"/>
      </w:pPr>
      <w:r>
        <w:rPr>
          <w:b/>
        </w:rPr>
        <w:t xml:space="preserve">Export market development</w:t>
      </w:r>
      <w:r>
        <w:rPr/>
        <w:t xml:space="preserve">: Japanese expertise in elderly-care robotics creates substantial international export opportunities as other nations age (South Korea, Western Europe, North America)</w:t>
      </w:r>
    </w:p>
    <w:p>
      <w:pPr>
        <w:numPr>
          <w:ilvl w:val="0"/>
          <w:numId w:val="23"/>
        </w:numPr>
        <w:spacing w:lineRule="auto"/>
      </w:pPr>
      <w:r>
        <w:rPr>
          <w:b/>
        </w:rPr>
        <w:t xml:space="preserve">Innovation and productivity gains</w:t>
      </w:r>
      <w:r>
        <w:rPr/>
        <w:t xml:space="preserve">: Technology may enable service delivery improvement and cost reduction per unit of care</w:t>
      </w:r>
    </w:p>
    <w:p>
      <w:pPr>
        <w:numPr>
          <w:ilvl w:val="0"/>
          <w:numId w:val="23"/>
        </w:numPr>
        <w:spacing w:lineRule="auto"/>
      </w:pPr>
      <w:r>
        <w:rPr>
          <w:b/>
        </w:rPr>
        <w:t xml:space="preserve">Business model innovation</w:t>
      </w:r>
      <w:r>
        <w:rPr/>
        <w:t xml:space="preserve">: Data generated by monitoring devices creates opportunities for predictive health analytics and remote medical supervision</w:t>
      </w:r>
    </w:p>
    <w:p>
      <w:pPr>
        <w:spacing w:after="210" w:lineRule="auto"/>
      </w:pPr>
      <w:r>
        <w:rPr>
          <w:b/>
        </w:rPr>
        <w:t xml:space="preserve">Constraints:</w:t>
      </w:r>
    </w:p>
    <w:p>
      <w:pPr>
        <w:numPr>
          <w:ilvl w:val="0"/>
          <w:numId w:val="24"/>
        </w:numPr>
        <w:spacing w:lineRule="auto"/>
      </w:pPr>
      <w:r>
        <w:rPr>
          <w:b/>
        </w:rPr>
        <w:t xml:space="preserve">Capital cost and ROI uncertainty</w:t>
      </w:r>
      <w:r>
        <w:rPr>
          <w:rFonts w:eastAsia="Georgia" w:cs="Georgia" w:ascii="Georgia" w:hAnsi="Georgia"/>
        </w:rPr>
        <w:t xml:space="preserve">: High upfront capital costs of robotics systems (often ¥5–20 million per facility) must be justified against reimbursement rates constrained by public insurance</w:t>
      </w:r>
    </w:p>
    <w:p>
      <w:pPr>
        <w:numPr>
          <w:ilvl w:val="0"/>
          <w:numId w:val="24"/>
        </w:numPr>
        <w:spacing w:lineRule="auto"/>
      </w:pPr>
      <w:r>
        <w:rPr>
          <w:b/>
        </w:rPr>
        <w:t xml:space="preserve">Technology maturation and reliability</w:t>
      </w:r>
      <w:r>
        <w:rPr/>
        <w:t xml:space="preserve">: Current robotic systems for assistance (transfer, mobility support) remain prone to failure, requiring extended downtime and backup manual systems</w:t>
      </w:r>
    </w:p>
    <w:p>
      <w:pPr>
        <w:numPr>
          <w:ilvl w:val="0"/>
          <w:numId w:val="24"/>
        </w:numPr>
        <w:spacing w:lineRule="auto"/>
      </w:pPr>
      <w:r>
        <w:rPr>
          <w:b/>
        </w:rPr>
        <w:t xml:space="preserve">Acceptance and humanization concerns</w:t>
      </w:r>
      <w:r>
        <w:rPr/>
        <w:t xml:space="preserve">: Elderly users and families express concerns regarding robot-mediated care and psychological impact of automation-intensive environments</w:t>
      </w:r>
    </w:p>
    <w:p>
      <w:pPr>
        <w:numPr>
          <w:ilvl w:val="0"/>
          <w:numId w:val="24"/>
        </w:numPr>
        <w:spacing w:lineRule="auto"/>
      </w:pPr>
      <w:r>
        <w:rPr>
          <w:b/>
        </w:rPr>
        <w:t xml:space="preserve">Cybersecurity and data privacy</w:t>
      </w:r>
      <w:r>
        <w:rPr/>
        <w:t xml:space="preserve">: Integration of AI and monitoring systems creates substantial cybersecurity and personal data protection risks, requiring regulatory safeguards that may slow adoption</w:t>
      </w:r>
    </w:p>
    <w:p>
      <w:pPr>
        <w:numPr>
          <w:ilvl w:val="0"/>
          <w:numId w:val="24"/>
        </w:numPr>
        <w:spacing w:lineRule="auto"/>
      </w:pPr>
      <w:r>
        <w:rPr>
          <w:b/>
        </w:rPr>
        <w:t xml:space="preserve">Skill requirements</w:t>
      </w:r>
      <w:r>
        <w:rPr/>
        <w:t xml:space="preserve">: Facilities must invest in technical expertise to operate, maintain, and troubleshoot advanced systems, adding personnel costs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8" w:name="iii_structural_economic_analysis_c262bf"/>
      <w:r>
        <w:rPr>
          <w:b/>
          <w:sz w:val="42"/>
        </w:rPr>
        <w:t xml:space="preserve">III. STRUCTURAL ECONOMIC ANALYSIS AND STRATEGIC IMPLICATIONS</w:t>
      </w:r>
      <w:bookmarkEnd w:id="28"/>
    </w:p>
    <w:p>
      <w:pPr>
        <w:spacing w:line="271" w:before="240" w:lineRule="auto"/>
      </w:pPr>
      <w:bookmarkStart w:id="29" w:name="iii_a_longevity_dividend_theoreti_db815a"/>
      <w:r>
        <w:rPr>
          <w:b/>
          <w:sz w:val="33"/>
        </w:rPr>
        <w:t xml:space="preserve">III.A. Longevity Dividend: Theoretical Framework and Japanese Context</w:t>
      </w:r>
      <w:bookmarkEnd w:id="29"/>
    </w:p>
    <w:p>
      <w:pPr>
        <w:spacing w:after="210" w:lineRule="auto"/>
      </w:pPr>
      <w:r>
        <w:rPr/>
        <w:t xml:space="preserve">The "longevity dividend" concept, articulated in World Economic Forum and World Health Organization publications, posits that extended human lifespans, coupled with improved health status and maintained productive engagement, can generate positive economic returns[2].</w:t>
      </w:r>
    </w:p>
    <w:p>
      <w:pPr>
        <w:spacing w:line="271" w:before="240" w:lineRule="auto"/>
      </w:pPr>
      <w:bookmarkStart w:id="30" w:name="iii_a_1_conditions_for_realizing_50dbde"/>
      <w:r>
        <w:rPr>
          <w:b/>
          <w:sz w:val="28"/>
        </w:rPr>
        <w:t xml:space="preserve">III.A.1. Conditions for Realizing a Longevity Dividend</w:t>
      </w:r>
      <w:bookmarkEnd w:id="30"/>
    </w:p>
    <w:p>
      <w:pPr>
        <w:spacing w:after="210" w:lineRule="auto"/>
      </w:pPr>
      <w:r>
        <w:rPr/>
        <w:t xml:space="preserve">Empirically, a longevity dividend materializes under specific conditions:</w:t>
      </w:r>
    </w:p>
    <w:p>
      <w:pPr>
        <w:numPr>
          <w:ilvl w:val="0"/>
          <w:numId w:val="25"/>
        </w:numPr>
        <w:spacing w:lineRule="auto"/>
      </w:pPr>
      <w:r>
        <w:rPr>
          <w:b/>
        </w:rPr>
        <w:t xml:space="preserve">Extended productive years</w:t>
      </w:r>
      <w:r>
        <w:rPr/>
        <w:t xml:space="preserve">: Individuals remain employed, volunteer, or engage in generative activities beyond traditional retirement ages, sustaining income generation and tax contributions</w:t>
      </w:r>
    </w:p>
    <w:p>
      <w:pPr>
        <w:numPr>
          <w:ilvl w:val="0"/>
          <w:numId w:val="25"/>
        </w:numPr>
        <w:spacing w:lineRule="auto"/>
      </w:pPr>
      <w:r>
        <w:rPr>
          <w:b/>
        </w:rPr>
        <w:t xml:space="preserve">Continued consumption</w:t>
      </w:r>
      <w:r>
        <w:rPr/>
        <w:t xml:space="preserve">: Healthy, financially independent elderly maintain consumer spending across multiple sectors, sustaining aggregate demand</w:t>
      </w:r>
    </w:p>
    <w:p>
      <w:pPr>
        <w:numPr>
          <w:ilvl w:val="0"/>
          <w:numId w:val="25"/>
        </w:numPr>
        <w:spacing w:lineRule="auto"/>
      </w:pPr>
      <w:r>
        <w:rPr>
          <w:b/>
        </w:rPr>
        <w:t xml:space="preserve">Intergenerational knowledge transfer</w:t>
      </w:r>
      <w:r>
        <w:rPr/>
        <w:t xml:space="preserve">: Older workers transfer accumulated expertise to younger cohorts, enhancing productivity and innovation</w:t>
      </w:r>
    </w:p>
    <w:p>
      <w:pPr>
        <w:numPr>
          <w:ilvl w:val="0"/>
          <w:numId w:val="25"/>
        </w:numPr>
        <w:spacing w:lineRule="auto"/>
      </w:pPr>
      <w:r>
        <w:rPr>
          <w:b/>
        </w:rPr>
        <w:t xml:space="preserve">Reduced morbidity compression</w:t>
      </w:r>
      <w:r>
        <w:rPr/>
        <w:t xml:space="preserve">: Mortality compression occurs without corresponding morbidity compression (i.e., individuals live longer but remain healthy longer), reducing per-capita healthcare costs</w:t>
      </w:r>
    </w:p>
    <w:p>
      <w:pPr>
        <w:spacing w:line="271" w:before="240" w:lineRule="auto"/>
      </w:pPr>
      <w:bookmarkStart w:id="31" w:name="iii_a_2_evidence_of_japanese_long_b6b821"/>
      <w:r>
        <w:rPr>
          <w:b/>
          <w:sz w:val="28"/>
        </w:rPr>
        <w:t xml:space="preserve">III.A.2. Evidence of Japanese Longevity Dividend Realization</w:t>
      </w:r>
      <w:bookmarkEnd w:id="31"/>
    </w:p>
    <w:p>
      <w:pPr>
        <w:spacing w:after="210" w:lineRule="auto"/>
      </w:pPr>
      <w:r>
        <w:rPr/>
        <w:t xml:space="preserve">World Economic Forum research on Japan's longevity economy documents evidence consistent with partial longevity dividend realization:</w:t>
      </w:r>
    </w:p>
    <w:p>
      <w:pPr>
        <w:numPr>
          <w:ilvl w:val="0"/>
          <w:numId w:val="26"/>
        </w:numPr>
        <w:spacing w:lineRule="auto"/>
      </w:pPr>
      <w:r>
        <w:rPr>
          <w:b/>
        </w:rPr>
        <w:t xml:space="preserve">"Five-year health rejuvenation"</w:t>
      </w:r>
      <w:r>
        <w:rPr/>
        <w:t xml:space="preserve">: Analysis indicates that Japan's elderly population has become "five years younger" in terms of health status and employment rates over the past 15 years, suggesting delayed morbidity onset[2]</w:t>
      </w:r>
    </w:p>
    <w:p>
      <w:pPr>
        <w:numPr>
          <w:ilvl w:val="0"/>
          <w:numId w:val="26"/>
        </w:numPr>
        <w:spacing w:lineRule="auto"/>
      </w:pPr>
      <w:r>
        <w:rPr>
          <w:b/>
        </w:rPr>
        <w:t xml:space="preserve">Rising work force participation in elderly</w:t>
      </w:r>
      <w:r>
        <w:rPr>
          <w:rFonts w:eastAsia="Georgia" w:cs="Georgia" w:ascii="Georgia" w:hAnsi="Georgia"/>
        </w:rPr>
        <w:t xml:space="preserve">: Japanese government policy has incrementally raised the retirement age (from 60 to 65, with further increases under discussion). Since 2005 (following the amendment of the "Law for Employment Stabilization of the Elderly"), the number of regular employees aged 60–64 increased 64.3%, and those 65+ increased 83.8%, indicating substantial labor market participation of elderly[9]</w:t>
      </w:r>
    </w:p>
    <w:p>
      <w:pPr>
        <w:numPr>
          <w:ilvl w:val="0"/>
          <w:numId w:val="26"/>
        </w:numPr>
        <w:spacing w:lineRule="auto"/>
      </w:pPr>
      <w:r>
        <w:rPr>
          <w:b/>
        </w:rPr>
        <w:t xml:space="preserve">Accumulated household wealth</w:t>
      </w:r>
      <w:r>
        <w:rPr>
          <w:rFonts w:eastAsia="Georgia" w:cs="Georgia" w:ascii="Georgia" w:hAnsi="Georgia"/>
        </w:rPr>
        <w:t xml:space="preserve">: Japanese households with heads aged 60+ maintain substantial asset bases (&gt;24 million ¥ average), positioning elderly as financially independent consumers with significant purchasing power[9]</w:t>
      </w:r>
    </w:p>
    <w:p>
      <w:pPr>
        <w:spacing w:line="271" w:before="240" w:lineRule="auto"/>
      </w:pPr>
      <w:bookmarkStart w:id="32" w:name="iii_a_3_constraints_on_dividend_r_d58d1e"/>
      <w:r>
        <w:rPr>
          <w:b/>
          <w:sz w:val="28"/>
        </w:rPr>
        <w:t xml:space="preserve">III.A.3. Constraints on Dividend Realization</w:t>
      </w:r>
      <w:bookmarkEnd w:id="32"/>
    </w:p>
    <w:p>
      <w:pPr>
        <w:spacing w:after="210" w:lineRule="auto"/>
      </w:pPr>
      <w:r>
        <w:rPr/>
        <w:t xml:space="preserve">Despite evidence of longevity dividend partial realization, several constraints limit its magnitude:</w:t>
      </w:r>
    </w:p>
    <w:p>
      <w:pPr>
        <w:numPr>
          <w:ilvl w:val="0"/>
          <w:numId w:val="27"/>
        </w:numPr>
        <w:spacing w:lineRule="auto"/>
      </w:pPr>
      <w:r>
        <w:rPr>
          <w:b/>
        </w:rPr>
        <w:t xml:space="preserve">Declining labor force productivity</w:t>
      </w:r>
      <w:r>
        <w:rPr/>
        <w:t xml:space="preserve">: While elderly participation has increased, overall labor force participation has declined due to population contraction, partially offsetting gains from extended work years</w:t>
      </w:r>
    </w:p>
    <w:p>
      <w:pPr>
        <w:numPr>
          <w:ilvl w:val="0"/>
          <w:numId w:val="27"/>
        </w:numPr>
        <w:spacing w:lineRule="auto"/>
      </w:pPr>
      <w:r>
        <w:rPr>
          <w:b/>
        </w:rPr>
        <w:t xml:space="preserve">Skill misalignment</w:t>
      </w:r>
      <w:r>
        <w:rPr/>
        <w:t xml:space="preserve">: Elderly workers may lack technical skills demanded in digital economy, limiting employment in high-productivity sectors</w:t>
      </w:r>
    </w:p>
    <w:p>
      <w:pPr>
        <w:numPr>
          <w:ilvl w:val="0"/>
          <w:numId w:val="27"/>
        </w:numPr>
        <w:spacing w:lineRule="auto"/>
      </w:pPr>
      <w:r>
        <w:rPr>
          <w:b/>
        </w:rPr>
        <w:t xml:space="preserve">Income inequality among elderly</w:t>
      </w:r>
      <w:r>
        <w:rPr/>
        <w:t xml:space="preserve">: While aggregate elderly wealth is substantial, concentration is uneven; rising poverty among younger-elderly cohorts (those retiring at lower career income levels) constrains consumption elasticity for broader segments</w:t>
      </w:r>
    </w:p>
    <w:p>
      <w:pPr>
        <w:numPr>
          <w:ilvl w:val="0"/>
          <w:numId w:val="27"/>
        </w:numPr>
        <w:spacing w:lineRule="auto"/>
      </w:pPr>
      <w:r>
        <w:rPr>
          <w:b/>
        </w:rPr>
        <w:t xml:space="preserve">Healthcare cost escalation asymmetry</w:t>
      </w:r>
      <w:r>
        <w:rPr/>
        <w:t xml:space="preserve">: Although longevity has extended, healthcare costs in final years of life remain substantial; compressed morbidity scenarios have not fully materialized, and end-of-life costs remain high</w:t>
      </w:r>
    </w:p>
    <w:p>
      <w:pPr>
        <w:spacing w:line="271" w:before="240" w:lineRule="auto"/>
      </w:pPr>
      <w:bookmarkStart w:id="33" w:name="iii_b_dependency_ratio_deteriorat_88eced"/>
      <w:r>
        <w:rPr>
          <w:b/>
          <w:sz w:val="33"/>
        </w:rPr>
        <w:t xml:space="preserve">III.B. Dependency Ratio Deterioration and Fiscal Sustainability</w:t>
      </w:r>
      <w:bookmarkEnd w:id="33"/>
    </w:p>
    <w:p>
      <w:pPr>
        <w:spacing w:after="210" w:lineRule="auto"/>
      </w:pPr>
      <w:r>
        <w:rPr/>
        <w:t xml:space="preserve">The old-age dependency ratio, projected to increase from 48.0 (2020) to 74.2 (2050), represents a critical challenge to fiscal sustainability, particularly for public pension and healthcare systems.</w:t>
      </w:r>
    </w:p>
    <w:p>
      <w:pPr>
        <w:spacing w:line="271" w:before="240" w:lineRule="auto"/>
      </w:pPr>
      <w:bookmarkStart w:id="34" w:name="iii_b_1_quantitative_dependency_analysis"/>
      <w:r>
        <w:rPr>
          <w:b/>
          <w:sz w:val="28"/>
        </w:rPr>
        <w:t xml:space="preserve">III.B.1. Quantitative Dependency Analysis</w:t>
      </w:r>
      <w:bookmarkEnd w:id="34"/>
    </w:p>
    <w:p>
      <w:pPr>
        <w:spacing w:after="210" w:lineRule="auto"/>
      </w:pPr>
      <w:r>
        <w:rPr>
          <w:b/>
        </w:rPr>
        <w:t xml:space="preserve">Potential Support Index Deterioration: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Year</w:t>
            </w:r>
          </w:p>
        </w:tc>
        <w:tc>
          <w:tcPr>
            <w:tcBorders>
              <w:top w:val="single" w:sz="1" w:space="0" w:color="000000"/>
              <w:left w:val="single" w:sz="1" w:space="0" w:color="000000"/>
              <w:bottom w:val="single" w:sz="1" w:space="0" w:color="000000"/>
            </w:tcBorders>
          </w:tcPr>
          <w:p>
            <w:pPr>
              <w:spacing w:lineRule="auto"/>
            </w:pPr>
            <w:r>
              <w:rPr/>
              <w:t xml:space="preserve">Potential Support Index (Working-Age per Elderly)</w:t>
            </w:r>
          </w:p>
        </w:tc>
        <w:tc>
          <w:tcPr>
            <w:tcBorders>
              <w:top w:val="single" w:sz="1" w:space="0" w:color="000000"/>
              <w:left w:val="single" w:sz="1" w:space="0" w:color="000000"/>
              <w:bottom w:val="single" w:sz="1" w:space="0" w:color="000000"/>
            </w:tcBorders>
          </w:tcPr>
          <w:p>
            <w:pPr>
              <w:spacing w:lineRule="auto"/>
            </w:pPr>
            <w:r>
              <w:rPr/>
              <w:t xml:space="preserve">Change vs. Baseline</w:t>
            </w:r>
          </w:p>
        </w:tc>
      </w:tr>
      <w:tr>
        <w:trPr>
          <w:cantSplit/>
        </w:trPr>
        <w:tc>
          <w:tcPr>
            <w:tcBorders>
              <w:top w:val="single" w:sz="1" w:space="0" w:color="000000"/>
              <w:bottom w:val="single" w:sz="1" w:space="0" w:color="000000"/>
            </w:tcBorders>
          </w:tcPr>
          <w:p>
            <w:pPr>
              <w:spacing w:lineRule="auto"/>
            </w:pPr>
            <w:r>
              <w:rPr/>
              <w:t xml:space="preserve">2020</w:t>
            </w:r>
          </w:p>
        </w:tc>
        <w:tc>
          <w:tcPr>
            <w:tcBorders>
              <w:top w:val="single" w:sz="1" w:space="0" w:color="000000"/>
              <w:left w:val="single" w:sz="1" w:space="0" w:color="000000"/>
              <w:bottom w:val="single" w:sz="1" w:space="0" w:color="000000"/>
            </w:tcBorders>
          </w:tcPr>
          <w:p>
            <w:pPr>
              <w:spacing w:lineRule="auto"/>
            </w:pPr>
            <w:r>
              <w:rPr/>
              <w:t xml:space="preserve">2.1</w:t>
            </w:r>
          </w:p>
        </w:tc>
        <w:tc>
          <w:tcPr>
            <w:tcBorders>
              <w:top w:val="single" w:sz="1" w:space="0" w:color="000000"/>
              <w:left w:val="single" w:sz="1" w:space="0" w:color="000000"/>
              <w:bottom w:val="single" w:sz="1" w:space="0" w:color="000000"/>
            </w:tcBorders>
          </w:tcPr>
          <w:p>
            <w:pPr>
              <w:spacing w:lineRule="auto"/>
            </w:pPr>
            <w:r>
              <w:rPr/>
              <w:t xml:space="preserve">Baseline</w:t>
            </w:r>
          </w:p>
        </w:tc>
      </w:tr>
      <w:tr>
        <w:trPr>
          <w:cantSplit/>
        </w:trPr>
        <w:tc>
          <w:tcPr>
            <w:tcBorders>
              <w:top w:val="single" w:sz="1" w:space="0" w:color="000000"/>
              <w:bottom w:val="single" w:sz="1" w:space="0" w:color="000000"/>
            </w:tcBorders>
          </w:tcPr>
          <w:p>
            <w:pPr>
              <w:spacing w:lineRule="auto"/>
            </w:pPr>
            <w:r>
              <w:rPr/>
              <w:t xml:space="preserve">2030</w:t>
            </w:r>
          </w:p>
        </w:tc>
        <w:tc>
          <w:tcPr>
            <w:tcBorders>
              <w:top w:val="single" w:sz="1" w:space="0" w:color="000000"/>
              <w:left w:val="single" w:sz="1" w:space="0" w:color="000000"/>
              <w:bottom w:val="single" w:sz="1" w:space="0" w:color="000000"/>
            </w:tcBorders>
          </w:tcPr>
          <w:p>
            <w:pPr>
              <w:spacing w:lineRule="auto"/>
            </w:pPr>
            <w:r>
              <w:rPr/>
              <w:t xml:space="preserve">1.9</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–9.5%</w:t>
            </w:r>
          </w:p>
        </w:tc>
      </w:tr>
      <w:tr>
        <w:trPr>
          <w:cantSplit/>
        </w:trPr>
        <w:tc>
          <w:tcPr>
            <w:tcBorders>
              <w:top w:val="single" w:sz="1" w:space="0" w:color="000000"/>
              <w:bottom w:val="single" w:sz="1" w:space="0" w:color="000000"/>
            </w:tcBorders>
          </w:tcPr>
          <w:p>
            <w:pPr>
              <w:spacing w:lineRule="auto"/>
            </w:pPr>
            <w:r>
              <w:rPr/>
              <w:t xml:space="preserve">2040</w:t>
            </w:r>
          </w:p>
        </w:tc>
        <w:tc>
          <w:tcPr>
            <w:tcBorders>
              <w:top w:val="single" w:sz="1" w:space="0" w:color="000000"/>
              <w:left w:val="single" w:sz="1" w:space="0" w:color="000000"/>
              <w:bottom w:val="single" w:sz="1" w:space="0" w:color="000000"/>
            </w:tcBorders>
          </w:tcPr>
          <w:p>
            <w:pPr>
              <w:spacing w:lineRule="auto"/>
            </w:pPr>
            <w:r>
              <w:rPr/>
              <w:t xml:space="preserve">1.6</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–23.8%</w:t>
            </w:r>
          </w:p>
        </w:tc>
      </w:tr>
      <w:tr>
        <w:trPr>
          <w:cantSplit/>
        </w:trPr>
        <w:tc>
          <w:tcPr>
            <w:tcBorders>
              <w:top w:val="single" w:sz="1" w:space="0" w:color="000000"/>
              <w:bottom w:val="single" w:sz="1" w:space="0" w:color="000000"/>
            </w:tcBorders>
          </w:tcPr>
          <w:p>
            <w:pPr>
              <w:spacing w:lineRule="auto"/>
            </w:pPr>
            <w:r>
              <w:rPr/>
              <w:t xml:space="preserve">2050</w:t>
            </w:r>
          </w:p>
        </w:tc>
        <w:tc>
          <w:tcPr>
            <w:tcBorders>
              <w:top w:val="single" w:sz="1" w:space="0" w:color="000000"/>
              <w:left w:val="single" w:sz="1" w:space="0" w:color="000000"/>
              <w:bottom w:val="single" w:sz="1" w:space="0" w:color="000000"/>
            </w:tcBorders>
          </w:tcPr>
          <w:p>
            <w:pPr>
              <w:spacing w:lineRule="auto"/>
            </w:pPr>
            <w:r>
              <w:rPr/>
              <w:t xml:space="preserve">1.3</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–38.1%</w:t>
            </w:r>
          </w:p>
        </w:tc>
      </w:tr>
    </w:tbl>
    <w:p>
      <w:pPr>
        <w:spacing w:lineRule="auto"/>
      </w:pPr>
    </w:p>
    <w:p>
      <w:pPr>
        <w:spacing w:after="210" w:lineRule="auto"/>
      </w:pPr>
      <w:r>
        <w:rPr>
          <w:rFonts w:eastAsia="Georgia" w:cs="Georgia" w:ascii="Georgia" w:hAnsi="Georgia"/>
        </w:rPr>
        <w:t xml:space="preserve">The potential support index declines from 2.1 working-age persons per elderly in 2020 to 1.3 by 2050—a compression of 38.1%—implying that fiscal contributions required per working-age person to maintain current transfer systems must escalate correspondingly.</w:t>
      </w:r>
    </w:p>
    <w:p>
      <w:pPr>
        <w:spacing w:line="271" w:before="240" w:lineRule="auto"/>
      </w:pPr>
      <w:bookmarkStart w:id="35" w:name="iii_b_2_pension_system_sustainabi_5aa561"/>
      <w:r>
        <w:rPr>
          <w:b/>
          <w:sz w:val="28"/>
        </w:rPr>
        <w:t xml:space="preserve">III.B.2. Pension System Sustainability Implications</w:t>
      </w:r>
      <w:bookmarkEnd w:id="35"/>
    </w:p>
    <w:p>
      <w:pPr>
        <w:spacing w:after="210" w:lineRule="auto"/>
      </w:pPr>
      <w:r>
        <w:rPr/>
        <w:t xml:space="preserve">Japan's public pension system, particularly the Employees' Pension Insurance (EPI), operates on a largely pay-as-you-go basis, wherein current workers' contributions finance current retiree benefits. Dependency ratio deterioration creates a structural mismatch between contribution capacity and benefit obligations.</w:t>
      </w:r>
    </w:p>
    <w:p>
      <w:pPr>
        <w:spacing w:after="210" w:lineRule="auto"/>
      </w:pPr>
      <w:r>
        <w:rPr>
          <w:b/>
        </w:rPr>
        <w:t xml:space="preserve">Fiscal pressure mechanisms:</w:t>
      </w:r>
    </w:p>
    <w:p>
      <w:pPr>
        <w:numPr>
          <w:ilvl w:val="0"/>
          <w:numId w:val="28"/>
        </w:numPr>
        <w:spacing w:after="210" w:lineRule="auto"/>
      </w:pPr>
      <w:r>
        <w:rPr>
          <w:b/>
        </w:rPr>
        <w:t xml:space="preserve">Contribution rate escalation</w:t>
      </w:r>
      <w:r>
        <w:rPr>
          <w:rFonts w:eastAsia="Georgia" w:cs="Georgia" w:ascii="Georgia" w:hAnsi="Georgia"/>
        </w:rPr>
        <w:t xml:space="preserve">: Maintaining benefit levels with fewer contributors requires higher payroll tax contributions on remaining workers. Current employee contribution rates of 9.15% (combined employer-employee 18.3%) may require escalation to 12–15% under central demographic scenarios.</w:t>
      </w:r>
    </w:p>
    <w:p>
      <w:pPr>
        <w:numPr>
          <w:ilvl w:val="0"/>
          <w:numId w:val="28"/>
        </w:numPr>
        <w:spacing w:after="210" w:lineRule="auto"/>
      </w:pPr>
      <w:r>
        <w:rPr>
          <w:b/>
        </w:rPr>
        <w:t xml:space="preserve">Benefit reduction</w:t>
      </w:r>
      <w:r>
        <w:rPr/>
        <w:t xml:space="preserve">: Alternatively, if contribution rates reach political acceptability ceilings, benefits may decline proportionally.</w:t>
      </w:r>
    </w:p>
    <w:p>
      <w:pPr>
        <w:numPr>
          <w:ilvl w:val="0"/>
          <w:numId w:val="28"/>
        </w:numPr>
        <w:spacing w:after="210" w:lineRule="auto"/>
      </w:pPr>
      <w:r>
        <w:rPr>
          <w:b/>
        </w:rPr>
        <w:t xml:space="preserve">General revenue supplementation</w:t>
      </w:r>
      <w:r>
        <w:rPr/>
        <w:t xml:space="preserve">: Government general budget revenues (taxation) may be redirected to supplement pension systems, crowding out other expenditures (education, defense, infrastructure).</w:t>
      </w:r>
    </w:p>
    <w:p>
      <w:pPr>
        <w:spacing w:after="210" w:lineRule="auto"/>
      </w:pPr>
      <w:r>
        <w:rPr>
          <w:b/>
        </w:rPr>
        <w:t xml:space="preserve">Adopted and Proposed Mitigation Strategies:</w:t>
      </w:r>
    </w:p>
    <w:p>
      <w:pPr>
        <w:numPr>
          <w:ilvl w:val="0"/>
          <w:numId w:val="29"/>
        </w:numPr>
        <w:spacing w:lineRule="auto"/>
      </w:pPr>
      <w:r>
        <w:rPr>
          <w:b/>
        </w:rPr>
        <w:t xml:space="preserve">Gradual retirement age increase</w:t>
      </w:r>
      <w:r>
        <w:rPr>
          <w:rFonts w:eastAsia="Georgia" w:cs="Georgia" w:ascii="Georgia" w:hAnsi="Georgia"/>
        </w:rPr>
        <w:t xml:space="preserve">: Successive legislative measures have increased the eligibility age from 60 (1994) to 65 (2013), with proposals for further increases to 67–70 under discussion</w:t>
      </w:r>
    </w:p>
    <w:p>
      <w:pPr>
        <w:numPr>
          <w:ilvl w:val="0"/>
          <w:numId w:val="29"/>
        </w:numPr>
        <w:spacing w:lineRule="auto"/>
      </w:pPr>
      <w:r>
        <w:rPr>
          <w:b/>
        </w:rPr>
        <w:t xml:space="preserve">Defined benefit-to-defined contribution conversion</w:t>
      </w:r>
      <w:r>
        <w:rPr/>
        <w:t xml:space="preserve">: Some schemes have shifted risk to retirees through contribution-based benefit calculations rather than flat defined benefits</w:t>
      </w:r>
    </w:p>
    <w:p>
      <w:pPr>
        <w:numPr>
          <w:ilvl w:val="0"/>
          <w:numId w:val="29"/>
        </w:numPr>
        <w:spacing w:lineRule="auto"/>
      </w:pPr>
      <w:r>
        <w:rPr>
          <w:b/>
        </w:rPr>
        <w:t xml:space="preserve">Immigration and labor force expansion</w:t>
      </w:r>
      <w:r>
        <w:rPr/>
        <w:t xml:space="preserve">: Japan has liberalized immigration policies for skilled workers and care workers, though net immigration remains modest relative to labor force needs</w:t>
      </w:r>
    </w:p>
    <w:p>
      <w:pPr>
        <w:numPr>
          <w:ilvl w:val="0"/>
          <w:numId w:val="29"/>
        </w:numPr>
        <w:spacing w:lineRule="auto"/>
      </w:pPr>
      <w:r>
        <w:rPr>
          <w:b/>
        </w:rPr>
        <w:t xml:space="preserve">Female labor force participation</w:t>
      </w:r>
      <w:r>
        <w:rPr/>
        <w:t xml:space="preserve">: Policies encouraging childcare provision and workplace accommodation for women have incrementally increased female participation; further expansion could partially offset male workforce contraction</w:t>
      </w:r>
    </w:p>
    <w:p>
      <w:pPr>
        <w:numPr>
          <w:ilvl w:val="0"/>
          <w:numId w:val="29"/>
        </w:numPr>
        <w:spacing w:lineRule="auto"/>
      </w:pPr>
      <w:r>
        <w:rPr>
          <w:b/>
        </w:rPr>
        <w:t xml:space="preserve">Elderly labor force participation incentives</w:t>
      </w:r>
      <w:r>
        <w:rPr/>
        <w:t xml:space="preserve">: Tax policies and anti-discrimination measures encourage extended work years, though with modest empirical effects to date</w:t>
      </w:r>
    </w:p>
    <w:p>
      <w:pPr>
        <w:spacing w:line="271" w:before="240" w:lineRule="auto"/>
      </w:pPr>
      <w:bookmarkStart w:id="36" w:name="iii_c_society_5_0_strategic_frame_cfe575"/>
      <w:r>
        <w:rPr>
          <w:b/>
          <w:sz w:val="33"/>
        </w:rPr>
        <w:t xml:space="preserve">III.C. Society 5.0: Strategic Framework for Elderly Care Innovation</w:t>
      </w:r>
      <w:bookmarkEnd w:id="36"/>
    </w:p>
    <w:p>
      <w:pPr>
        <w:spacing w:after="210" w:lineRule="auto"/>
      </w:pPr>
      <w:r>
        <w:rPr/>
        <w:t xml:space="preserve">Japan's government has articulated "Society 5.0," a comprehensive vision for transforming Japanese society through digital technologies, with explicit emphasis on addressing elderly care challenges.</w:t>
      </w:r>
    </w:p>
    <w:p>
      <w:pPr>
        <w:spacing w:line="271" w:before="240" w:lineRule="auto"/>
      </w:pPr>
      <w:bookmarkStart w:id="37" w:name="iii_c_1_society_5_0_concept_and_e_b8143b"/>
      <w:r>
        <w:rPr>
          <w:b/>
          <w:sz w:val="28"/>
        </w:rPr>
        <w:t xml:space="preserve">III.C.1. Society 5.0 Concept and Elderly Care Integration</w:t>
      </w:r>
      <w:bookmarkEnd w:id="37"/>
    </w:p>
    <w:p>
      <w:pPr>
        <w:spacing w:after="210" w:lineRule="auto"/>
      </w:pPr>
      <w:r>
        <w:rPr/>
        <w:t xml:space="preserve">Society 5.0, first articulated in Japan's Fifth Science and Technology Basic Plan (2016), envisions a "super-smart society" wherein:</w:t>
      </w:r>
    </w:p>
    <w:p>
      <w:pPr>
        <w:numPr>
          <w:ilvl w:val="0"/>
          <w:numId w:val="30"/>
        </w:numPr>
        <w:spacing w:lineRule="auto"/>
      </w:pPr>
      <w:r>
        <w:rPr>
          <w:b/>
        </w:rPr>
        <w:t xml:space="preserve">Cyberspace and physical space merge</w:t>
      </w:r>
      <w:r>
        <w:rPr/>
        <w:t xml:space="preserve">: Digital technologies (IoT, AI, big data analytics, robotics) are ubiquitously integrated into physical environments and services</w:t>
      </w:r>
    </w:p>
    <w:p>
      <w:pPr>
        <w:numPr>
          <w:ilvl w:val="0"/>
          <w:numId w:val="30"/>
        </w:numPr>
        <w:spacing w:lineRule="auto"/>
      </w:pPr>
      <w:r>
        <w:rPr>
          <w:b/>
        </w:rPr>
        <w:t xml:space="preserve">Customized service delivery</w:t>
      </w:r>
      <w:r>
        <w:rPr/>
        <w:t xml:space="preserve">: Services are optimally tailored to individual needs based on real-time data and predictive analytics</w:t>
      </w:r>
    </w:p>
    <w:p>
      <w:pPr>
        <w:numPr>
          <w:ilvl w:val="0"/>
          <w:numId w:val="30"/>
        </w:numPr>
        <w:spacing w:lineRule="auto"/>
      </w:pPr>
      <w:r>
        <w:rPr>
          <w:b/>
        </w:rPr>
        <w:t xml:space="preserve">Inclusive problem-solving</w:t>
      </w:r>
      <w:r>
        <w:rPr/>
        <w:t xml:space="preserve">: Technology addresses chronic social challenges including aging, depopulation, and labor shortages</w:t>
      </w:r>
    </w:p>
    <w:p>
      <w:pPr>
        <w:spacing w:after="210" w:lineRule="auto"/>
      </w:pPr>
      <w:r>
        <w:rPr/>
        <w:t xml:space="preserve">Within the elderly care context, Society 5.0 applications include:</w:t>
      </w:r>
    </w:p>
    <w:p>
      <w:pPr>
        <w:numPr>
          <w:ilvl w:val="0"/>
          <w:numId w:val="31"/>
        </w:numPr>
        <w:spacing w:lineRule="auto"/>
      </w:pPr>
      <w:r>
        <w:rPr>
          <w:b/>
        </w:rPr>
        <w:t xml:space="preserve">Autonomous vehicles and drone delivery</w:t>
      </w:r>
      <w:r>
        <w:rPr/>
        <w:t xml:space="preserve">: Delivering goods and services to elderly in depopulated rural areas, overcoming mobility limitations</w:t>
      </w:r>
    </w:p>
    <w:p>
      <w:pPr>
        <w:numPr>
          <w:ilvl w:val="0"/>
          <w:numId w:val="31"/>
        </w:numPr>
        <w:spacing w:lineRule="auto"/>
      </w:pPr>
      <w:r>
        <w:rPr>
          <w:b/>
        </w:rPr>
        <w:t xml:space="preserve">Remote medical consultation</w:t>
      </w:r>
      <w:r>
        <w:rPr/>
        <w:t xml:space="preserve">: Telemedicine platforms enabling physician consultations from home via specialized tablets and AI diagnostic support</w:t>
      </w:r>
    </w:p>
    <w:p>
      <w:pPr>
        <w:numPr>
          <w:ilvl w:val="0"/>
          <w:numId w:val="31"/>
        </w:numPr>
        <w:spacing w:lineRule="auto"/>
      </w:pPr>
      <w:r>
        <w:rPr>
          <w:b/>
        </w:rPr>
        <w:t xml:space="preserve">Home automation and robotics</w:t>
      </w:r>
      <w:r>
        <w:rPr/>
        <w:t xml:space="preserve">: Autonomous robots assisting with household tasks (vacuuming, food preparation), freeing caregiver time for higher-touch activities</w:t>
      </w:r>
    </w:p>
    <w:p>
      <w:pPr>
        <w:numPr>
          <w:ilvl w:val="0"/>
          <w:numId w:val="31"/>
        </w:numPr>
        <w:spacing w:lineRule="auto"/>
      </w:pPr>
      <w:r>
        <w:rPr>
          <w:b/>
        </w:rPr>
        <w:t xml:space="preserve">Integrated monitoring ecosystems</w:t>
      </w:r>
      <w:r>
        <w:rPr/>
        <w:t xml:space="preserve">: IoT-enabled homes and facilities generating continuous health and behavioral data, enabling early detection of deterioration and preventive intervention</w:t>
      </w:r>
    </w:p>
    <w:p>
      <w:pPr>
        <w:spacing w:line="271" w:before="240" w:lineRule="auto"/>
      </w:pPr>
      <w:bookmarkStart w:id="38" w:name="iii_c_2_government_funding_and_po_91fd9c"/>
      <w:r>
        <w:rPr>
          <w:b/>
          <w:sz w:val="28"/>
        </w:rPr>
        <w:t xml:space="preserve">III.C.2. Government Funding and Policy Implementation</w:t>
      </w:r>
      <w:bookmarkEnd w:id="38"/>
    </w:p>
    <w:p>
      <w:pPr>
        <w:spacing w:after="210" w:lineRule="auto"/>
      </w:pPr>
      <w:r>
        <w:rPr/>
        <w:t xml:space="preserve">Japan's government has allocated substantial resources to Society 5.0 initiatives:</w:t>
      </w:r>
    </w:p>
    <w:p>
      <w:pPr>
        <w:numPr>
          <w:ilvl w:val="0"/>
          <w:numId w:val="32"/>
        </w:numPr>
        <w:spacing w:lineRule="auto"/>
      </w:pPr>
      <w:r>
        <w:rPr>
          <w:b/>
        </w:rPr>
        <w:t xml:space="preserve">2025 Budget Technology Subsidies</w:t>
      </w:r>
      <w:r>
        <w:rPr>
          <w:rFonts w:eastAsia="Georgia" w:cs="Georgia" w:ascii="Georgia" w:hAnsi="Georgia"/>
        </w:rPr>
        <w:t xml:space="preserve">: ¥30 billion ($203.5 million USD) allocated to accelerate adoption of care technologies in long-term care facilities[2]</w:t>
      </w:r>
    </w:p>
    <w:p>
      <w:pPr>
        <w:numPr>
          <w:ilvl w:val="0"/>
          <w:numId w:val="32"/>
        </w:numPr>
        <w:spacing w:lineRule="auto"/>
      </w:pPr>
      <w:r>
        <w:rPr>
          <w:b/>
        </w:rPr>
        <w:t xml:space="preserve">AI Technology Strategy</w:t>
      </w:r>
      <w:r>
        <w:rPr/>
        <w:t xml:space="preserve">: Articulates three-phase AI development framework: (1) expanding data-driven AI in specific service domains, (2) general AI adoption across sectors, (3) ecosystem formation through service integration[2]</w:t>
      </w:r>
    </w:p>
    <w:p>
      <w:pPr>
        <w:numPr>
          <w:ilvl w:val="0"/>
          <w:numId w:val="32"/>
        </w:numPr>
        <w:spacing w:lineRule="auto"/>
      </w:pPr>
      <w:r>
        <w:rPr>
          <w:b/>
        </w:rPr>
        <w:t xml:space="preserve">Human-Centric AI Principles</w:t>
      </w:r>
      <w:r>
        <w:rPr/>
        <w:t xml:space="preserve">: Government developing ethical principles for AI development and deployment, addressing concerns regarding elderly data privacy and algorithmic fairness</w:t>
      </w:r>
    </w:p>
    <w:p>
      <w:pPr>
        <w:spacing w:line="271" w:before="240" w:lineRule="auto"/>
      </w:pPr>
      <w:bookmarkStart w:id="39" w:name="iii_c_3_alignment_with_sustainabl_d21345"/>
      <w:r>
        <w:rPr>
          <w:b/>
          <w:sz w:val="28"/>
        </w:rPr>
        <w:t xml:space="preserve">III.C.3. Alignment with Sustainable Development Goals</w:t>
      </w:r>
      <w:bookmarkEnd w:id="39"/>
    </w:p>
    <w:p>
      <w:pPr>
        <w:spacing w:after="210" w:lineRule="auto"/>
      </w:pPr>
      <w:r>
        <w:rPr/>
        <w:t xml:space="preserve">Society 5.0 has been explicitly linked to the United Nations Sustainable Development Goals (SDGs), positioning elderly care innovation as contributing to global sustainability objectives:</w:t>
      </w:r>
    </w:p>
    <w:p>
      <w:pPr>
        <w:numPr>
          <w:ilvl w:val="0"/>
          <w:numId w:val="33"/>
        </w:numPr>
        <w:spacing w:lineRule="auto"/>
      </w:pPr>
      <w:r>
        <w:rPr>
          <w:b/>
        </w:rPr>
        <w:t xml:space="preserve">SDG 3 (Good Health and Well-being)</w:t>
      </w:r>
      <w:r>
        <w:rPr/>
        <w:t xml:space="preserve">: Digital health monitoring and preventive care technologies align with universal health coverage goals</w:t>
      </w:r>
    </w:p>
    <w:p>
      <w:pPr>
        <w:numPr>
          <w:ilvl w:val="0"/>
          <w:numId w:val="33"/>
        </w:numPr>
        <w:spacing w:lineRule="auto"/>
      </w:pPr>
      <w:r>
        <w:rPr>
          <w:b/>
        </w:rPr>
        <w:t xml:space="preserve">SDG 5 (Gender Equality)</w:t>
      </w:r>
      <w:r>
        <w:rPr/>
        <w:t xml:space="preserve">: Automated household tasks and care robotics may reduce gender-skewed care responsibilities, promoting gender equity</w:t>
      </w:r>
    </w:p>
    <w:p>
      <w:pPr>
        <w:numPr>
          <w:ilvl w:val="0"/>
          <w:numId w:val="33"/>
        </w:numPr>
        <w:spacing w:lineRule="auto"/>
      </w:pPr>
      <w:r>
        <w:rPr>
          <w:b/>
        </w:rPr>
        <w:t xml:space="preserve">SDG 8 (Decent Work and Economic Growth)</w:t>
      </w:r>
      <w:r>
        <w:rPr/>
        <w:t xml:space="preserve">: Extended elderly labor force participation, coupled with technology-enabled productivity gains, supports sustainable economic growth</w:t>
      </w:r>
    </w:p>
    <w:p>
      <w:pPr>
        <w:numPr>
          <w:ilvl w:val="0"/>
          <w:numId w:val="33"/>
        </w:numPr>
        <w:spacing w:lineRule="auto"/>
      </w:pPr>
      <w:r>
        <w:rPr>
          <w:b/>
        </w:rPr>
        <w:t xml:space="preserve">SDG 10 (Reduced Inequalities)</w:t>
      </w:r>
      <w:r>
        <w:rPr/>
        <w:t xml:space="preserve">: Accessible digital platforms and subsidized technology adoption may reduce healthcare and care service disparities across socioeconomic strata</w:t>
      </w:r>
    </w:p>
    <w:p>
      <w:pPr>
        <w:spacing w:line="271" w:before="240" w:lineRule="auto"/>
      </w:pPr>
      <w:bookmarkStart w:id="40" w:name="iii_d_balanced_assessment_potenti_6668b4"/>
      <w:r>
        <w:rPr>
          <w:b/>
          <w:sz w:val="33"/>
        </w:rPr>
        <w:t xml:space="preserve">III.D. Balanced Assessment: Potential Advantages and Inherent Limitations of Elderly Market Expansion</w:t>
      </w:r>
      <w:bookmarkEnd w:id="40"/>
    </w:p>
    <w:p>
      <w:pPr>
        <w:spacing w:line="271" w:before="240" w:lineRule="auto"/>
      </w:pPr>
      <w:bookmarkStart w:id="41" w:name="iii_d_1_potential_advantages"/>
      <w:r>
        <w:rPr>
          <w:b/>
          <w:sz w:val="28"/>
        </w:rPr>
        <w:t xml:space="preserve">III.D.1. Potential Advantages</w:t>
      </w:r>
      <w:bookmarkEnd w:id="41"/>
    </w:p>
    <w:p>
      <w:pPr>
        <w:spacing w:after="210" w:lineRule="auto"/>
      </w:pPr>
      <w:r>
        <w:rPr>
          <w:b/>
        </w:rPr>
        <w:t xml:space="preserve">Economic Opportunities:</w:t>
      </w:r>
    </w:p>
    <w:p>
      <w:pPr>
        <w:numPr>
          <w:ilvl w:val="0"/>
          <w:numId w:val="34"/>
        </w:numPr>
        <w:spacing w:lineRule="auto"/>
      </w:pPr>
      <w:r>
        <w:rPr>
          <w:b/>
        </w:rPr>
        <w:t xml:space="preserve">Sustained demand growth</w:t>
      </w:r>
      <w:r>
        <w:rPr/>
        <w:t xml:space="preserve">: Demographic aging ensures structural demand growth for healthcare, care services, and specialized consumer goods, independent of macroeconomic cyclicality</w:t>
      </w:r>
    </w:p>
    <w:p>
      <w:pPr>
        <w:numPr>
          <w:ilvl w:val="0"/>
          <w:numId w:val="34"/>
        </w:numPr>
        <w:spacing w:lineRule="auto"/>
      </w:pPr>
      <w:r>
        <w:rPr>
          <w:b/>
        </w:rPr>
        <w:t xml:space="preserve">Export market potential</w:t>
      </w:r>
      <w:r>
        <w:rPr/>
        <w:t xml:space="preserve">: Japanese elderly-care expertise and technology can be exported to other aging societies (South Korea, Western Europe, North America, China)</w:t>
      </w:r>
    </w:p>
    <w:p>
      <w:pPr>
        <w:numPr>
          <w:ilvl w:val="0"/>
          <w:numId w:val="34"/>
        </w:numPr>
        <w:spacing w:lineRule="auto"/>
      </w:pPr>
      <w:r>
        <w:rPr>
          <w:b/>
        </w:rPr>
        <w:t xml:space="preserve">Innovation acceleration</w:t>
      </w:r>
      <w:r>
        <w:rPr/>
        <w:t xml:space="preserve">: High concentration of elderly-specific challenges (dementia, mobility limitations, social isolation) accelerates innovation in robotics, AI, pharmaceuticals, and medical devices</w:t>
      </w:r>
    </w:p>
    <w:p>
      <w:pPr>
        <w:numPr>
          <w:ilvl w:val="0"/>
          <w:numId w:val="34"/>
        </w:numPr>
        <w:spacing w:lineRule="auto"/>
      </w:pPr>
      <w:r>
        <w:rPr>
          <w:b/>
        </w:rPr>
        <w:t xml:space="preserve">Employment generation</w:t>
      </w:r>
      <w:r>
        <w:rPr/>
        <w:t xml:space="preserve">: Labor-intensive nature of care services creates employment opportunities for younger cohorts, partially offsetting overall labor force contraction</w:t>
      </w:r>
    </w:p>
    <w:p>
      <w:pPr>
        <w:numPr>
          <w:ilvl w:val="0"/>
          <w:numId w:val="34"/>
        </w:numPr>
        <w:spacing w:lineRule="auto"/>
      </w:pPr>
      <w:r>
        <w:rPr>
          <w:b/>
        </w:rPr>
        <w:t xml:space="preserve">Wealth preservation and transfer</w:t>
      </w:r>
      <w:r>
        <w:rPr>
          <w:rFonts w:eastAsia="Georgia" w:cs="Georgia" w:ascii="Georgia" w:hAnsi="Georgia"/>
        </w:rPr>
        <w:t xml:space="preserve">: Substantial elderly asset bases (¥24 million+ per household, 60+) provide financing for care services, supporting service provider sustainability</w:t>
      </w:r>
    </w:p>
    <w:p>
      <w:pPr>
        <w:spacing w:after="210" w:lineRule="auto"/>
      </w:pPr>
      <w:r>
        <w:rPr>
          <w:b/>
        </w:rPr>
        <w:t xml:space="preserve">Social and Health Benefits:</w:t>
      </w:r>
    </w:p>
    <w:p>
      <w:pPr>
        <w:numPr>
          <w:ilvl w:val="0"/>
          <w:numId w:val="35"/>
        </w:numPr>
        <w:spacing w:lineRule="auto"/>
      </w:pPr>
      <w:r>
        <w:rPr>
          <w:b/>
        </w:rPr>
        <w:t xml:space="preserve">Improved geriatric healthcare</w:t>
      </w:r>
      <w:r>
        <w:rPr/>
        <w:t xml:space="preserve">: Sustained investment in elderly-specific medicine enhances clinical understanding of age-related pathology and treatment optimization</w:t>
      </w:r>
    </w:p>
    <w:p>
      <w:pPr>
        <w:numPr>
          <w:ilvl w:val="0"/>
          <w:numId w:val="35"/>
        </w:numPr>
        <w:spacing w:lineRule="auto"/>
      </w:pPr>
      <w:r>
        <w:rPr>
          <w:b/>
        </w:rPr>
        <w:t xml:space="preserve">Social inclusion innovation</w:t>
      </w:r>
      <w:r>
        <w:rPr/>
        <w:t xml:space="preserve">: Conversation partner services and AI-driven social matching platforms address elderly isolation and mental health challenges</w:t>
      </w:r>
    </w:p>
    <w:p>
      <w:pPr>
        <w:numPr>
          <w:ilvl w:val="0"/>
          <w:numId w:val="35"/>
        </w:numPr>
        <w:spacing w:lineRule="auto"/>
      </w:pPr>
      <w:r>
        <w:rPr>
          <w:b/>
        </w:rPr>
        <w:t xml:space="preserve">Healthy aging advancement</w:t>
      </w:r>
      <w:r>
        <w:rPr/>
        <w:t xml:space="preserve">: Public health initiatives targeting elderly (physical activity, cognitive engagement, nutrition) may compress morbidity, improving quality of life</w:t>
      </w:r>
    </w:p>
    <w:p>
      <w:pPr>
        <w:numPr>
          <w:ilvl w:val="0"/>
          <w:numId w:val="35"/>
        </w:numPr>
        <w:spacing w:lineRule="auto"/>
      </w:pPr>
      <w:r>
        <w:rPr>
          <w:b/>
        </w:rPr>
        <w:t xml:space="preserve">Intergenerational knowledge transfer</w:t>
      </w:r>
      <w:r>
        <w:rPr/>
        <w:t xml:space="preserve">: Continued labor force participation and formal mentorship of elderly workers transfers accumulated expertise to younger generations</w:t>
      </w:r>
    </w:p>
    <w:p>
      <w:pPr>
        <w:spacing w:line="271" w:before="240" w:lineRule="auto"/>
      </w:pPr>
      <w:bookmarkStart w:id="42" w:name="iii_d_2_inherent_limitations_and_750a4e"/>
      <w:r>
        <w:rPr>
          <w:b/>
          <w:sz w:val="28"/>
        </w:rPr>
        <w:t xml:space="preserve">III.D.2. Inherent Limitations and Constraints</w:t>
      </w:r>
      <w:bookmarkEnd w:id="42"/>
    </w:p>
    <w:p>
      <w:pPr>
        <w:spacing w:after="210" w:lineRule="auto"/>
      </w:pPr>
      <w:r>
        <w:rPr>
          <w:b/>
        </w:rPr>
        <w:t xml:space="preserve">Economic Constraints:</w:t>
      </w:r>
    </w:p>
    <w:p>
      <w:pPr>
        <w:numPr>
          <w:ilvl w:val="0"/>
          <w:numId w:val="36"/>
        </w:numPr>
        <w:spacing w:lineRule="auto"/>
      </w:pPr>
      <w:r>
        <w:rPr>
          <w:b/>
        </w:rPr>
        <w:t xml:space="preserve">Absolute fiscal capacity</w:t>
      </w:r>
      <w:r>
        <w:rPr/>
        <w:t xml:space="preserve">: Dependency ratio deterioration creates zero-sum fiscal pressures; expansion of elderly services requires either reduced services to younger populations, tax increases (imposing economic drag), or debt accumulation (creating future fiscal stress)</w:t>
      </w:r>
    </w:p>
    <w:p>
      <w:pPr>
        <w:numPr>
          <w:ilvl w:val="0"/>
          <w:numId w:val="36"/>
        </w:numPr>
        <w:spacing w:lineRule="auto"/>
      </w:pPr>
      <w:r>
        <w:rPr>
          <w:b/>
        </w:rPr>
        <w:t xml:space="preserve">Reimbursement rate compression</w:t>
      </w:r>
      <w:r>
        <w:rPr/>
        <w:t xml:space="preserve">: Public insurance systems control healthcare and care service reimbursement rates, limiting provider profitability and investment returns; private-sector capital may not flow readily to sectors with artificially constrained pricing</w:t>
      </w:r>
    </w:p>
    <w:p>
      <w:pPr>
        <w:numPr>
          <w:ilvl w:val="0"/>
          <w:numId w:val="36"/>
        </w:numPr>
        <w:spacing w:lineRule="auto"/>
      </w:pPr>
      <w:r>
        <w:rPr>
          <w:b/>
        </w:rPr>
        <w:t xml:space="preserve">Labor market tightness</w:t>
      </w:r>
      <w:r>
        <w:rPr/>
        <w:t xml:space="preserve">: Care services are inherently labor-intensive and difficult to automate; sustained labor cost escalation may outpace productivity gains, compressing margins and limiting service expansion</w:t>
      </w:r>
    </w:p>
    <w:p>
      <w:pPr>
        <w:numPr>
          <w:ilvl w:val="0"/>
          <w:numId w:val="36"/>
        </w:numPr>
        <w:spacing w:lineRule="auto"/>
      </w:pPr>
      <w:r>
        <w:rPr>
          <w:b/>
        </w:rPr>
        <w:t xml:space="preserve">Capital intensity vs. automation trade-off</w:t>
      </w:r>
      <w:r>
        <w:rPr/>
        <w:t xml:space="preserve">: Highly automated solutions (robotics, AI systems) require substantial upfront capital; yet insurance reimbursement structures designed for traditional labor-intensive care may not justify such capital intensity</w:t>
      </w:r>
    </w:p>
    <w:p>
      <w:pPr>
        <w:numPr>
          <w:ilvl w:val="0"/>
          <w:numId w:val="36"/>
        </w:numPr>
        <w:spacing w:lineRule="auto"/>
      </w:pPr>
      <w:r>
        <w:rPr>
          <w:b/>
        </w:rPr>
        <w:t xml:space="preserve">Consumption elasticity uncertainty</w:t>
      </w:r>
      <w:r>
        <w:rPr/>
        <w:t xml:space="preserve">: While elderly have accumulated wealth, propensity to spend on non-essential services (e.g., conversation partner services, premium housing) remains uncertain and may reflect luxury consumption concentrated among high-wealth elderly</w:t>
      </w:r>
    </w:p>
    <w:p>
      <w:pPr>
        <w:spacing w:after="210" w:lineRule="auto"/>
      </w:pPr>
      <w:r>
        <w:rPr>
          <w:b/>
        </w:rPr>
        <w:t xml:space="preserve">Social and Implementation Constraints:</w:t>
      </w:r>
    </w:p>
    <w:p>
      <w:pPr>
        <w:numPr>
          <w:ilvl w:val="0"/>
          <w:numId w:val="37"/>
        </w:numPr>
        <w:spacing w:lineRule="auto"/>
      </w:pPr>
      <w:r>
        <w:rPr>
          <w:b/>
        </w:rPr>
        <w:t xml:space="preserve">Technology acceptance and humanization concerns</w:t>
      </w:r>
      <w:r>
        <w:rPr/>
        <w:t xml:space="preserve">: Elderly populations and families express concerns regarding robot-mediated care; overreliance on automation may trigger psychological distress and quality-of-life deterioration despite operational efficiency gains</w:t>
      </w:r>
    </w:p>
    <w:p>
      <w:pPr>
        <w:numPr>
          <w:ilvl w:val="0"/>
          <w:numId w:val="37"/>
        </w:numPr>
        <w:spacing w:lineRule="auto"/>
      </w:pPr>
      <w:r>
        <w:rPr>
          <w:b/>
        </w:rPr>
        <w:t xml:space="preserve">Data privacy and cybersecurity risks</w:t>
      </w:r>
      <w:r>
        <w:rPr/>
        <w:t xml:space="preserve">: Ubiquitous IoT and AI monitoring systems generate sensitive personal health and behavioral data; breaches or algorithmic bias may undermine elderly trust and create regulatory backlash</w:t>
      </w:r>
    </w:p>
    <w:p>
      <w:pPr>
        <w:numPr>
          <w:ilvl w:val="0"/>
          <w:numId w:val="37"/>
        </w:numPr>
        <w:spacing w:lineRule="auto"/>
      </w:pPr>
      <w:r>
        <w:rPr>
          <w:b/>
        </w:rPr>
        <w:t xml:space="preserve">Equity and access disparities</w:t>
      </w:r>
      <w:r>
        <w:rPr/>
        <w:t xml:space="preserve">: Technology-intensive care solutions may benefit wealthy elderly in urban centers while exacerbating inequities in rural and economically disadvantaged areas lacking digital infrastructure</w:t>
      </w:r>
    </w:p>
    <w:p>
      <w:pPr>
        <w:numPr>
          <w:ilvl w:val="0"/>
          <w:numId w:val="37"/>
        </w:numPr>
        <w:spacing w:lineRule="auto"/>
      </w:pPr>
      <w:r>
        <w:rPr>
          <w:b/>
        </w:rPr>
        <w:t xml:space="preserve">Caregiver well-being</w:t>
      </w:r>
      <w:r>
        <w:rPr/>
        <w:t xml:space="preserve">: Substantial care service expansion may depend on recruitment and retention of care workers in physically and emotionally demanding roles; wage escalation sufficient to attract labor may not be politically feasible and could compress system-wide margins</w:t>
      </w:r>
    </w:p>
    <w:p>
      <w:pPr>
        <w:numPr>
          <w:ilvl w:val="0"/>
          <w:numId w:val="37"/>
        </w:numPr>
        <w:spacing w:lineRule="auto"/>
      </w:pPr>
      <w:r>
        <w:rPr>
          <w:b/>
        </w:rPr>
        <w:t xml:space="preserve">Aging of the care workforce itself</w:t>
      </w:r>
      <w:r>
        <w:rPr/>
        <w:t xml:space="preserve">: The care workforce, disproportionately female and average age rising, itself ages; succession planning and knowledge transfer in care professions faces challenges distinct from and potentially as severe as elderly care capacity building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3" w:name="iv_sectoral_growth_projections_an_a47e1d"/>
      <w:r>
        <w:rPr>
          <w:b/>
          <w:sz w:val="42"/>
        </w:rPr>
        <w:t xml:space="preserve">IV. SECTORAL GROWTH PROJECTIONS AND STRATEGIC IMPLICATIONS</w:t>
      </w:r>
      <w:bookmarkEnd w:id="43"/>
    </w:p>
    <w:p>
      <w:pPr>
        <w:spacing w:line="271" w:before="240" w:lineRule="auto"/>
      </w:pPr>
      <w:bookmarkStart w:id="44" w:name="iv_a_comparative_sector_cagr_anal_3bdd79"/>
      <w:r>
        <w:rPr>
          <w:rFonts w:eastAsia="Georgia" w:cs="Georgia" w:ascii="Georgia" w:hAnsi="Georgia"/>
          <w:b/>
          <w:sz w:val="33"/>
        </w:rPr>
        <w:t xml:space="preserve">IV.A. Comparative Sector CAGR Analysis (2023–2050)</w:t>
      </w:r>
      <w:bookmarkEnd w:id="44"/>
    </w:p>
    <w:p>
      <w:pPr>
        <w:spacing w:after="210" w:lineRule="auto"/>
      </w:pPr>
      <w:r>
        <w:rPr/>
        <w:t xml:space="preserve">To contextualize growth trajectories across the three primary elderly market sectors, the following table synthesizes available market sizing and growth rate evidence:</w:t>
      </w:r>
    </w:p>
    <w:p>
      <w:pPr>
        <w:spacing w:after="210" w:lineRule="auto"/>
      </w:pPr>
      <w:r>
        <w:rPr>
          <w:b/>
        </w:rPr>
        <w:t xml:space="preserve">Table 5: Elderly Market Sectors—Projected Growth Rates (2023–2050)</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1" w:space="0" w:color="000000"/>
              <w:bottom w:val="single" w:sz="1" w:space="0" w:color="000000"/>
            </w:tcBorders>
          </w:tcPr>
          <w:p>
            <w:pPr>
              <w:spacing w:lineRule="auto"/>
            </w:pPr>
            <w:r>
              <w:rPr/>
              <w:t xml:space="preserve">Sector</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2023 Market Size (¥ Trillion)</w:t>
            </w:r>
          </w:p>
        </w:tc>
        <w:tc>
          <w:tcPr>
            <w:tcBorders>
              <w:top w:val="single" w:sz="1" w:space="0" w:color="000000"/>
              <w:left w:val="single" w:sz="1" w:space="0" w:color="000000"/>
              <w:bottom w:val="single" w:sz="1" w:space="0" w:color="000000"/>
            </w:tcBorders>
          </w:tcPr>
          <w:p>
            <w:pPr>
              <w:spacing w:lineRule="auto"/>
            </w:pPr>
            <w:r>
              <w:rPr/>
              <w:t xml:space="preserve">2023 Market Size (USD Billion)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Projected 2050 Market Size (¥ Trillion)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Estimated CAGR 2023–2050 (%)</w:t>
            </w:r>
          </w:p>
        </w:tc>
        <w:tc>
          <w:tcPr>
            <w:tcBorders>
              <w:top w:val="single" w:sz="1" w:space="0" w:color="000000"/>
              <w:left w:val="single" w:sz="1" w:space="0" w:color="000000"/>
              <w:bottom w:val="single" w:sz="1" w:space="0" w:color="000000"/>
            </w:tcBorders>
          </w:tcPr>
          <w:p>
            <w:pPr>
              <w:spacing w:lineRule="auto"/>
            </w:pPr>
            <w:r>
              <w:rPr/>
              <w:t xml:space="preserve">Growth Driver Priority</w:t>
            </w:r>
          </w:p>
        </w:tc>
      </w:tr>
      <w:tr>
        <w:trPr>
          <w:cantSplit/>
        </w:trPr>
        <w:tc>
          <w:tcPr>
            <w:tcBorders>
              <w:top w:val="single" w:sz="1" w:space="0" w:color="000000"/>
              <w:bottom w:val="single" w:sz="1" w:space="0" w:color="000000"/>
            </w:tcBorders>
          </w:tcPr>
          <w:p>
            <w:pPr>
              <w:spacing w:lineRule="auto"/>
            </w:pPr>
            <w:r>
              <w:rPr/>
              <w:t xml:space="preserve">Healthcare</w:t>
            </w:r>
          </w:p>
        </w:tc>
        <w:tc>
          <w:tcPr>
            <w:tcBorders>
              <w:top w:val="single" w:sz="1" w:space="0" w:color="000000"/>
              <w:left w:val="single" w:sz="1" w:space="0" w:color="000000"/>
              <w:bottom w:val="single" w:sz="1" w:space="0" w:color="000000"/>
            </w:tcBorders>
          </w:tcPr>
          <w:p>
            <w:pPr>
              <w:spacing w:lineRule="auto"/>
            </w:pPr>
            <w:r>
              <w:rPr/>
              <w:t xml:space="preserve">29.0</w:t>
            </w:r>
          </w:p>
        </w:tc>
        <w:tc>
          <w:tcPr>
            <w:tcBorders>
              <w:top w:val="single" w:sz="1" w:space="0" w:color="000000"/>
              <w:left w:val="single" w:sz="1" w:space="0" w:color="000000"/>
              <w:bottom w:val="single" w:sz="1" w:space="0" w:color="000000"/>
            </w:tcBorders>
          </w:tcPr>
          <w:p>
            <w:pPr>
              <w:spacing w:lineRule="auto"/>
            </w:pPr>
            <w:r>
              <w:rPr/>
              <w:t xml:space="preserve">195</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38.6–46.0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1.0–1.9%</w:t>
            </w:r>
          </w:p>
        </w:tc>
        <w:tc>
          <w:tcPr>
            <w:tcBorders>
              <w:top w:val="single" w:sz="1" w:space="0" w:color="000000"/>
              <w:left w:val="single" w:sz="1" w:space="0" w:color="000000"/>
              <w:bottom w:val="single" w:sz="1" w:space="0" w:color="000000"/>
            </w:tcBorders>
          </w:tcPr>
          <w:p>
            <w:pPr>
              <w:spacing w:lineRule="auto"/>
            </w:pPr>
            <w:r>
              <w:rPr/>
              <w:t xml:space="preserve">Morbidity escalation, elderly population expansion to 2043</w:t>
            </w:r>
          </w:p>
        </w:tc>
      </w:tr>
      <w:tr>
        <w:trPr>
          <w:cantSplit/>
        </w:trPr>
        <w:tc>
          <w:tcPr>
            <w:tcBorders>
              <w:top w:val="single" w:sz="1" w:space="0" w:color="000000"/>
              <w:bottom w:val="single" w:sz="1" w:space="0" w:color="000000"/>
            </w:tcBorders>
          </w:tcPr>
          <w:p>
            <w:pPr>
              <w:spacing w:lineRule="auto"/>
            </w:pPr>
            <w:r>
              <w:rPr/>
              <w:t xml:space="preserve">Long-Term Care</w:t>
            </w:r>
          </w:p>
        </w:tc>
        <w:tc>
          <w:tcPr>
            <w:tcBorders>
              <w:top w:val="single" w:sz="1" w:space="0" w:color="000000"/>
              <w:left w:val="single" w:sz="1" w:space="0" w:color="000000"/>
              <w:bottom w:val="single" w:sz="1" w:space="0" w:color="000000"/>
            </w:tcBorders>
          </w:tcPr>
          <w:p>
            <w:pPr>
              <w:spacing w:lineRule="auto"/>
            </w:pPr>
            <w:r>
              <w:rPr/>
              <w:t xml:space="preserve">11.7</w:t>
            </w:r>
          </w:p>
        </w:tc>
        <w:tc>
          <w:tcPr>
            <w:tcBorders>
              <w:top w:val="single" w:sz="1" w:space="0" w:color="000000"/>
              <w:left w:val="single" w:sz="1" w:space="0" w:color="000000"/>
              <w:bottom w:val="single" w:sz="1" w:space="0" w:color="000000"/>
            </w:tcBorders>
          </w:tcPr>
          <w:p>
            <w:pPr>
              <w:spacing w:lineRule="auto"/>
            </w:pPr>
            <w:r>
              <w:rPr/>
              <w:t xml:space="preserve">79</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18.5–21.0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1.8–2.3%</w:t>
            </w:r>
          </w:p>
        </w:tc>
        <w:tc>
          <w:tcPr>
            <w:tcBorders>
              <w:top w:val="single" w:sz="1" w:space="0" w:color="000000"/>
              <w:left w:val="single" w:sz="1" w:space="0" w:color="000000"/>
              <w:bottom w:val="single" w:sz="1" w:space="0" w:color="000000"/>
            </w:tcBorders>
          </w:tcPr>
          <w:p>
            <w:pPr>
              <w:spacing w:lineRule="auto"/>
            </w:pPr>
            <w:r>
              <w:rPr/>
              <w:t xml:space="preserve">Care dependency growth, 75+ cohort expansion, family structure change</w:t>
            </w:r>
          </w:p>
        </w:tc>
      </w:tr>
      <w:tr>
        <w:trPr>
          <w:cantSplit/>
        </w:trPr>
        <w:tc>
          <w:tcPr>
            <w:tcBorders>
              <w:top w:val="single" w:sz="1" w:space="0" w:color="000000"/>
              <w:bottom w:val="single" w:sz="1" w:space="0" w:color="000000"/>
            </w:tcBorders>
          </w:tcPr>
          <w:p>
            <w:pPr>
              <w:spacing w:lineRule="auto"/>
            </w:pPr>
            <w:r>
              <w:rPr/>
              <w:t xml:space="preserve">Lifestyle Industries</w:t>
            </w:r>
          </w:p>
        </w:tc>
        <w:tc>
          <w:tcPr>
            <w:tcBorders>
              <w:top w:val="single" w:sz="1" w:space="0" w:color="000000"/>
              <w:left w:val="single" w:sz="1" w:space="0" w:color="000000"/>
              <w:bottom w:val="single" w:sz="1" w:space="0" w:color="000000"/>
            </w:tcBorders>
          </w:tcPr>
          <w:p>
            <w:pPr>
              <w:spacing w:lineRule="auto"/>
            </w:pPr>
            <w:r>
              <w:rPr/>
              <w:t xml:space="preserve">55.7</w:t>
            </w:r>
          </w:p>
        </w:tc>
        <w:tc>
          <w:tcPr>
            <w:tcBorders>
              <w:top w:val="single" w:sz="1" w:space="0" w:color="000000"/>
              <w:left w:val="single" w:sz="1" w:space="0" w:color="000000"/>
              <w:bottom w:val="single" w:sz="1" w:space="0" w:color="000000"/>
            </w:tcBorders>
          </w:tcPr>
          <w:p>
            <w:pPr>
              <w:spacing w:lineRule="auto"/>
            </w:pPr>
            <w:r>
              <w:rPr/>
              <w:t xml:space="preserve">378</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85–105</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1.6–2.5%</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Heterogeneous: real estate (2.0–2.5%), robotics (5–8%), nutrition/food (1.5–2.0%), conversation/AI services (8–12%)</w:t>
            </w:r>
          </w:p>
        </w:tc>
      </w:tr>
      <w:tr>
        <w:trPr>
          <w:cantSplit/>
        </w:trPr>
        <w:tc>
          <w:tcPr>
            <w:tcBorders>
              <w:top w:val="single" w:sz="1" w:space="0" w:color="000000"/>
              <w:bottom w:val="single" w:sz="1" w:space="0" w:color="000000"/>
            </w:tcBorders>
          </w:tcPr>
          <w:p>
            <w:pPr>
              <w:spacing w:lineRule="auto"/>
            </w:pPr>
            <w:r>
              <w:rPr>
                <w:b/>
              </w:rPr>
              <w:t xml:space="preserve">Total Elderly Market</w:t>
            </w:r>
          </w:p>
        </w:tc>
        <w:tc>
          <w:tcPr>
            <w:tcBorders>
              <w:top w:val="single" w:sz="1" w:space="0" w:color="000000"/>
              <w:left w:val="single" w:sz="1" w:space="0" w:color="000000"/>
              <w:bottom w:val="single" w:sz="1" w:space="0" w:color="000000"/>
            </w:tcBorders>
          </w:tcPr>
          <w:p>
            <w:pPr>
              <w:spacing w:lineRule="auto"/>
            </w:pPr>
            <w:r>
              <w:rPr>
                <w:b/>
              </w:rPr>
              <w:t xml:space="preserve">96.4</w:t>
            </w:r>
          </w:p>
        </w:tc>
        <w:tc>
          <w:tcPr>
            <w:tcBorders>
              <w:top w:val="single" w:sz="1" w:space="0" w:color="000000"/>
              <w:left w:val="single" w:sz="1" w:space="0" w:color="000000"/>
              <w:bottom w:val="single" w:sz="1" w:space="0" w:color="000000"/>
            </w:tcBorders>
          </w:tcPr>
          <w:p>
            <w:pPr>
              <w:spacing w:lineRule="auto"/>
            </w:pPr>
            <w:r>
              <w:rPr>
                <w:b/>
              </w:rPr>
              <w:t xml:space="preserve">652</w:t>
            </w:r>
          </w:p>
        </w:tc>
        <w:tc>
          <w:tcPr>
            <w:tcBorders>
              <w:top w:val="single" w:sz="1" w:space="0" w:color="000000"/>
              <w:left w:val="single" w:sz="1" w:space="0" w:color="000000"/>
              <w:bottom w:val="single" w:sz="1" w:space="0" w:color="000000"/>
            </w:tcBorders>
          </w:tcPr>
          <w:p>
            <w:pPr>
              <w:spacing w:lineRule="auto"/>
            </w:pPr>
            <w:r>
              <w:rPr>
                <w:b/>
              </w:rPr>
              <w:t xml:space="preserve">142–172</w:t>
            </w:r>
          </w:p>
        </w:tc>
        <w:tc>
          <w:tcPr>
            <w:tcBorders>
              <w:top w:val="single" w:sz="1" w:space="0" w:color="000000"/>
              <w:left w:val="single" w:sz="1" w:space="0" w:color="000000"/>
              <w:bottom w:val="single" w:sz="1" w:space="0" w:color="000000"/>
            </w:tcBorders>
          </w:tcPr>
          <w:p>
            <w:pPr>
              <w:spacing w:lineRule="auto"/>
            </w:pPr>
            <w:r>
              <w:rPr>
                <w:b/>
              </w:rPr>
              <w:t xml:space="preserve">1.6–2.3%</w:t>
            </w:r>
          </w:p>
        </w:tc>
        <w:tc>
          <w:tcPr>
            <w:tcBorders>
              <w:top w:val="single" w:sz="1" w:space="0" w:color="000000"/>
              <w:left w:val="single" w:sz="1" w:space="0" w:color="000000"/>
              <w:bottom w:val="single" w:sz="1" w:space="0" w:color="000000"/>
            </w:tcBorders>
          </w:tcPr>
          <w:p>
            <w:pPr>
              <w:spacing w:lineRule="auto"/>
            </w:pPr>
            <w:r>
              <w:rPr/>
              <w:t xml:space="preserve">Composite: demographic aging, technology integration, formal service substitution for family care</w:t>
            </w:r>
          </w:p>
        </w:tc>
      </w:tr>
    </w:tbl>
    <w:p>
      <w:pPr>
        <w:spacing w:lineRule="auto"/>
      </w:pPr>
    </w:p>
    <w:p>
      <w:pPr>
        <w:spacing w:after="210" w:lineRule="auto"/>
      </w:pPr>
      <w:r>
        <w:rPr>
          <w:b/>
        </w:rPr>
        <w:t xml:space="preserve">Aggregate Market Growth to 2050:</w:t>
      </w:r>
    </w:p>
    <w:p>
      <w:pPr>
        <w:spacing w:after="210" w:lineRule="auto"/>
      </w:pPr>
      <w:r>
        <w:rPr>
          <w:rFonts w:eastAsia="Georgia" w:cs="Georgia" w:ascii="Georgia" w:hAnsi="Georgia"/>
        </w:rPr>
        <w:t xml:space="preserve">Under the central demographic scenario and moderate technology adoption assumptions, the total elderly market is projected to expand from ¥96.4 trillion (2023) to approximately ¥142–172 trillion (2050)—a 48–78% increase over 27 years, or 1.6–2.3% annualized growth. This growth trajectory, while substantial in absolute terms, is materially slower than growth in advanced technology sectors (semiconductors, biotechnology, renewable energy) or in comparable elderly markets in other high-income aging societies.</w:t>
      </w:r>
    </w:p>
    <w:p>
      <w:pPr>
        <w:spacing w:line="271" w:before="240" w:lineRule="auto"/>
      </w:pPr>
      <w:bookmarkStart w:id="45" w:name="iv_b_healthcare_sector_strategic_f0bfc4"/>
      <w:r>
        <w:rPr>
          <w:b/>
          <w:sz w:val="33"/>
        </w:rPr>
        <w:t xml:space="preserve">IV.B. Healthcare Sector Strategic Positioning</w:t>
      </w:r>
      <w:bookmarkEnd w:id="45"/>
    </w:p>
    <w:p>
      <w:pPr>
        <w:spacing w:line="271" w:before="240" w:lineRule="auto"/>
      </w:pPr>
      <w:bookmarkStart w:id="46" w:name="iv_b_1_pharmaceutical_and_biotech_975457"/>
      <w:r>
        <w:rPr>
          <w:b/>
          <w:sz w:val="28"/>
        </w:rPr>
        <w:t xml:space="preserve">IV.B.1. Pharmaceutical and Biotechnology Opportunities</w:t>
      </w:r>
      <w:bookmarkEnd w:id="46"/>
    </w:p>
    <w:p>
      <w:pPr>
        <w:spacing w:after="210" w:lineRule="auto"/>
      </w:pPr>
      <w:r>
        <w:rPr/>
        <w:t xml:space="preserve">Japan's pharmaceutical sector is heavily weighted toward elderly-related therapeutics:</w:t>
      </w:r>
    </w:p>
    <w:p>
      <w:pPr>
        <w:numPr>
          <w:ilvl w:val="0"/>
          <w:numId w:val="38"/>
        </w:numPr>
        <w:spacing w:lineRule="auto"/>
      </w:pPr>
      <w:r>
        <w:rPr>
          <w:b/>
        </w:rPr>
        <w:t xml:space="preserve">Chronic disease management</w:t>
      </w:r>
      <w:r>
        <w:rPr/>
        <w:t xml:space="preserve">: Antihypertensive, antidiabetic, anticoagulant, and statin therapies represent core pharmaceutical demand driven by elderly prevalence of cardiovascular and metabolic disease</w:t>
      </w:r>
    </w:p>
    <w:p>
      <w:pPr>
        <w:numPr>
          <w:ilvl w:val="0"/>
          <w:numId w:val="38"/>
        </w:numPr>
        <w:spacing w:lineRule="auto"/>
      </w:pPr>
      <w:r>
        <w:rPr>
          <w:b/>
        </w:rPr>
        <w:t xml:space="preserve">Neurodegenerative disease treatment</w:t>
      </w:r>
      <w:r>
        <w:rPr/>
        <w:t xml:space="preserve">: Dementia therapeutics, Parkinson's disease treatments, and neuropathic pain management address prevalent elderly conditions</w:t>
      </w:r>
    </w:p>
    <w:p>
      <w:pPr>
        <w:numPr>
          <w:ilvl w:val="0"/>
          <w:numId w:val="38"/>
        </w:numPr>
        <w:spacing w:lineRule="auto"/>
      </w:pPr>
      <w:r>
        <w:rPr>
          <w:b/>
        </w:rPr>
        <w:t xml:space="preserve">Oncology expansion</w:t>
      </w:r>
      <w:r>
        <w:rPr/>
        <w:t xml:space="preserve">: Cancer incidence escalates sharply with age; elderly populations drive demand for oncologic pharmaceuticals, though with challenges in managing polypharmacy and organ dysfunction</w:t>
      </w:r>
    </w:p>
    <w:p>
      <w:pPr>
        <w:spacing w:after="210" w:lineRule="auto"/>
      </w:pPr>
      <w:r>
        <w:rPr>
          <w:b/>
        </w:rPr>
        <w:t xml:space="preserve">Constraints:</w:t>
      </w:r>
    </w:p>
    <w:p>
      <w:pPr>
        <w:numPr>
          <w:ilvl w:val="0"/>
          <w:numId w:val="39"/>
        </w:numPr>
        <w:spacing w:lineRule="auto"/>
      </w:pPr>
      <w:r>
        <w:rPr>
          <w:b/>
        </w:rPr>
        <w:t xml:space="preserve">Generic competition and patent expiration</w:t>
      </w:r>
      <w:r>
        <w:rPr/>
        <w:t xml:space="preserve">: Blockbuster elderly-directed pharmaceuticals face patent expiration, with generic entry compressing pricing and revenue</w:t>
      </w:r>
    </w:p>
    <w:p>
      <w:pPr>
        <w:numPr>
          <w:ilvl w:val="0"/>
          <w:numId w:val="39"/>
        </w:numPr>
        <w:spacing w:lineRule="auto"/>
      </w:pPr>
      <w:r>
        <w:rPr>
          <w:b/>
        </w:rPr>
        <w:t xml:space="preserve">Public reimbursement pressure</w:t>
      </w:r>
      <w:r>
        <w:rPr/>
        <w:t xml:space="preserve">: Japan's government imposes increasingly stringent health technology assessment (HTA) standards for pharmaceutical cost-effectiveness, potentially limiting pricing power for marginal therapeutic innovations</w:t>
      </w:r>
    </w:p>
    <w:p>
      <w:pPr>
        <w:numPr>
          <w:ilvl w:val="0"/>
          <w:numId w:val="39"/>
        </w:numPr>
        <w:spacing w:lineRule="auto"/>
      </w:pPr>
      <w:r>
        <w:rPr>
          <w:b/>
        </w:rPr>
        <w:t xml:space="preserve">Clinical trial complexity</w:t>
      </w:r>
      <w:r>
        <w:rPr/>
        <w:t xml:space="preserve">: Development of geriatric-appropriate therapeutics must address polypharmacy interactions, organ dysfunction, and pharmacokinetic alterations in elderly populations, increasing clinical development complexity and cost</w:t>
      </w:r>
    </w:p>
    <w:p>
      <w:pPr>
        <w:spacing w:line="271" w:before="240" w:lineRule="auto"/>
      </w:pPr>
      <w:bookmarkStart w:id="47" w:name="iv_b_2_medical_device_and_diagnos_65bbcd"/>
      <w:r>
        <w:rPr>
          <w:b/>
          <w:sz w:val="28"/>
        </w:rPr>
        <w:t xml:space="preserve">IV.B.2. Medical Device and Diagnostic Innovation</w:t>
      </w:r>
      <w:bookmarkEnd w:id="47"/>
    </w:p>
    <w:p>
      <w:pPr>
        <w:spacing w:after="210" w:lineRule="auto"/>
      </w:pPr>
      <w:r>
        <w:rPr/>
        <w:t xml:space="preserve">Opportunities exist for specialized medical devices addressing elderly-specific pathology:</w:t>
      </w:r>
    </w:p>
    <w:p>
      <w:pPr>
        <w:numPr>
          <w:ilvl w:val="0"/>
          <w:numId w:val="40"/>
        </w:numPr>
        <w:spacing w:lineRule="auto"/>
      </w:pPr>
      <w:r>
        <w:rPr>
          <w:b/>
        </w:rPr>
        <w:t xml:space="preserve">Diagnostic devices</w:t>
      </w:r>
      <w:r>
        <w:rPr/>
        <w:t xml:space="preserve">: Point-of-care testing devices for rapid glucose, lipid, renal function, and coagulation assessment facilitate home-based chronic disease monitoring</w:t>
      </w:r>
    </w:p>
    <w:p>
      <w:pPr>
        <w:numPr>
          <w:ilvl w:val="0"/>
          <w:numId w:val="40"/>
        </w:numPr>
        <w:spacing w:lineRule="auto"/>
      </w:pPr>
      <w:r>
        <w:rPr>
          <w:b/>
        </w:rPr>
        <w:t xml:space="preserve">Cardiovascular devices</w:t>
      </w:r>
      <w:r>
        <w:rPr/>
        <w:t xml:space="preserve">: Implantable cardioverter-defibrillators (ICDs), ventricular assist devices, and cardiac pacemakers address elderly arrhythmia and heart failure prevalence</w:t>
      </w:r>
    </w:p>
    <w:p>
      <w:pPr>
        <w:numPr>
          <w:ilvl w:val="0"/>
          <w:numId w:val="40"/>
        </w:numPr>
        <w:spacing w:lineRule="auto"/>
      </w:pPr>
      <w:r>
        <w:rPr>
          <w:b/>
        </w:rPr>
        <w:t xml:space="preserve">Orthopedic and mobility devices</w:t>
      </w:r>
      <w:r>
        <w:rPr/>
        <w:t xml:space="preserve">: Prosthetics, joint replacements, and mobility aids address age-related skeletal and muscular degeneration</w:t>
      </w:r>
    </w:p>
    <w:p>
      <w:pPr>
        <w:spacing w:after="210" w:lineRule="auto"/>
      </w:pPr>
      <w:r>
        <w:rPr>
          <w:b/>
        </w:rPr>
        <w:t xml:space="preserve">Opportunities and Constraints:</w:t>
      </w:r>
    </w:p>
    <w:p>
      <w:pPr>
        <w:spacing w:after="210" w:lineRule="auto"/>
      </w:pPr>
      <w:r>
        <w:rPr/>
        <w:t xml:space="preserve">Opportunities include sustained demand, potential for premium pricing on value-based reimbursement, and possibilities for AI-enabled remote monitoring and diagnostic support. Constraints include high regulatory hurdles, need for post-market surveillance in complex elderly populations, and reimbursement rate pressures under cost-containment policies.</w:t>
      </w:r>
    </w:p>
    <w:p>
      <w:pPr>
        <w:spacing w:line="271" w:before="240" w:lineRule="auto"/>
      </w:pPr>
      <w:bookmarkStart w:id="48" w:name="iv_c_long_term_care_sector_strate_9699ea"/>
      <w:r>
        <w:rPr>
          <w:b/>
          <w:sz w:val="33"/>
        </w:rPr>
        <w:t xml:space="preserve">IV.C. Long-Term Care Sector Strategic Positioning</w:t>
      </w:r>
      <w:bookmarkEnd w:id="48"/>
    </w:p>
    <w:p>
      <w:pPr>
        <w:spacing w:line="271" w:before="240" w:lineRule="auto"/>
      </w:pPr>
      <w:bookmarkStart w:id="49" w:name="iv_c_1_facility_based_care_models_8939c6"/>
      <w:r>
        <w:rPr>
          <w:b/>
          <w:sz w:val="28"/>
        </w:rPr>
        <w:t xml:space="preserve">IV.C.1. Facility-Based Care Models: Standardization and Technology Integration</w:t>
      </w:r>
      <w:bookmarkEnd w:id="49"/>
    </w:p>
    <w:p>
      <w:pPr>
        <w:spacing w:after="210" w:lineRule="auto"/>
      </w:pPr>
      <w:r>
        <w:rPr/>
        <w:t xml:space="preserve">Japan's long-term care sector, historically characterized by small-scale, family-operated facilities, is gradually consolidating toward larger operators capable of implementing standardized care protocols and technology integration.</w:t>
      </w:r>
    </w:p>
    <w:p>
      <w:pPr>
        <w:spacing w:after="210" w:lineRule="auto"/>
      </w:pPr>
      <w:r>
        <w:rPr>
          <w:b/>
        </w:rPr>
        <w:t xml:space="preserve">Strategic initiatives by major operators:</w:t>
      </w:r>
    </w:p>
    <w:p>
      <w:pPr>
        <w:numPr>
          <w:ilvl w:val="0"/>
          <w:numId w:val="41"/>
        </w:numPr>
        <w:spacing w:lineRule="auto"/>
      </w:pPr>
      <w:r>
        <w:rPr>
          <w:b/>
        </w:rPr>
        <w:t xml:space="preserve">Real estate consolidation</w:t>
      </w:r>
      <w:r>
        <w:rPr/>
        <w:t xml:space="preserve">: Large operators (such as Benesse Style Care, Recruit Lifestyle, and others) are expanding facilities geographically, achieving economies of scale in purchasing, staffing, and technology adoption</w:t>
      </w:r>
    </w:p>
    <w:p>
      <w:pPr>
        <w:numPr>
          <w:ilvl w:val="0"/>
          <w:numId w:val="41"/>
        </w:numPr>
        <w:spacing w:lineRule="auto"/>
      </w:pPr>
      <w:r>
        <w:rPr>
          <w:b/>
        </w:rPr>
        <w:t xml:space="preserve">Care technology integration</w:t>
      </w:r>
      <w:r>
        <w:rPr/>
        <w:t xml:space="preserve">: Introduction of monitoring devices (fall detection, vital sign monitoring), robotic assistance (transfer aids, mobility support), and digital care documentation systems</w:t>
      </w:r>
    </w:p>
    <w:p>
      <w:pPr>
        <w:numPr>
          <w:ilvl w:val="0"/>
          <w:numId w:val="41"/>
        </w:numPr>
        <w:spacing w:lineRule="auto"/>
      </w:pPr>
      <w:r>
        <w:rPr>
          <w:b/>
        </w:rPr>
        <w:t xml:space="preserve">Tiered care models</w:t>
      </w:r>
      <w:r>
        <w:rPr/>
        <w:t xml:space="preserve">: Facilities increasingly offer multiple care intensity levels (assisted living to skilled nursing), capturing broader elderly population segments</w:t>
      </w:r>
    </w:p>
    <w:p>
      <w:pPr>
        <w:spacing w:after="210" w:lineRule="auto"/>
      </w:pPr>
      <w:r>
        <w:rPr>
          <w:b/>
        </w:rPr>
        <w:t xml:space="preserve">Sustainability considerations:</w:t>
      </w:r>
    </w:p>
    <w:p>
      <w:pPr>
        <w:spacing w:after="210" w:lineRule="auto"/>
      </w:pPr>
      <w:r>
        <w:rPr/>
        <w:t xml:space="preserve">The viability of large-scale, technology-intensive care models depends on whether public insurance reimbursement adequacy can be maintained. Current reimbursement rates, set by government rate-setting for Kaigo Hoken, do not fully reflect the cost of advanced care technology and specialized staff training; private-pay supplementation by residents is necessary for many operators to achieve profitability. This creates equity concerns and access barriers for lower-income elderly.</w:t>
      </w:r>
    </w:p>
    <w:p>
      <w:pPr>
        <w:spacing w:line="271" w:before="240" w:lineRule="auto"/>
      </w:pPr>
      <w:bookmarkStart w:id="50" w:name="iv_c_2_home_based_care_service_expansion"/>
      <w:r>
        <w:rPr>
          <w:b/>
          <w:sz w:val="28"/>
        </w:rPr>
        <w:t xml:space="preserve">IV.C.2. Home-Based Care Service Expansion</w:t>
      </w:r>
      <w:bookmarkEnd w:id="50"/>
    </w:p>
    <w:p>
      <w:pPr>
        <w:spacing w:after="210" w:lineRule="auto"/>
      </w:pPr>
      <w:r>
        <w:rPr/>
        <w:t xml:space="preserve">An alternative to facility-based care is expansion of home-based services, leveraging existing housing stock and elderly preferences for aging in place:</w:t>
      </w:r>
    </w:p>
    <w:p>
      <w:pPr>
        <w:numPr>
          <w:ilvl w:val="0"/>
          <w:numId w:val="42"/>
        </w:numPr>
        <w:spacing w:lineRule="auto"/>
      </w:pPr>
      <w:r>
        <w:rPr>
          <w:b/>
        </w:rPr>
        <w:t xml:space="preserve">In-home nursing and personal care</w:t>
      </w:r>
      <w:r>
        <w:rPr/>
        <w:t xml:space="preserve">: Certified care workers (kaigofukushishi) provide bathing, dressing, toileting assistance, and medication management in elderly residences</w:t>
      </w:r>
    </w:p>
    <w:p>
      <w:pPr>
        <w:numPr>
          <w:ilvl w:val="0"/>
          <w:numId w:val="42"/>
        </w:numPr>
        <w:spacing w:lineRule="auto"/>
      </w:pPr>
      <w:r>
        <w:rPr>
          <w:b/>
        </w:rPr>
        <w:t xml:space="preserve">Telehealth and remote monitoring</w:t>
      </w:r>
      <w:r>
        <w:rPr/>
        <w:t xml:space="preserve">: Digital health platforms enable nurses and physicians to monitor elderly patients at home, reducing unnecessary hospitalizations</w:t>
      </w:r>
    </w:p>
    <w:p>
      <w:pPr>
        <w:numPr>
          <w:ilvl w:val="0"/>
          <w:numId w:val="42"/>
        </w:numPr>
        <w:spacing w:lineRule="auto"/>
      </w:pPr>
      <w:r>
        <w:rPr>
          <w:b/>
        </w:rPr>
        <w:t xml:space="preserve">Family caregiver support</w:t>
      </w:r>
      <w:r>
        <w:rPr/>
        <w:t xml:space="preserve">: Programs providing respite care, caregiver training, and psychosocial support for family members providing informal care</w:t>
      </w:r>
    </w:p>
    <w:p>
      <w:pPr>
        <w:spacing w:after="210" w:lineRule="auto"/>
      </w:pPr>
      <w:r>
        <w:rPr>
          <w:b/>
        </w:rPr>
        <w:t xml:space="preserve">Advantages and constraints:</w:t>
      </w:r>
    </w:p>
    <w:p>
      <w:pPr>
        <w:spacing w:after="210" w:lineRule="auto"/>
      </w:pPr>
      <w:r>
        <w:rPr/>
        <w:t xml:space="preserve">Home-based care allows elderly to remain in preferred environments, potentially improving quality of life and psychological well-being. However, home-based service delivery requires substantial care worker time in travel, is difficult to standardize, and may limit economies of scale. Care worker shortages are particularly acute in rural areas, where home visit times are extensive.</w:t>
      </w:r>
    </w:p>
    <w:p>
      <w:pPr>
        <w:spacing w:line="271" w:before="240" w:lineRule="auto"/>
      </w:pPr>
      <w:bookmarkStart w:id="51" w:name="iv_d_lifestyle_industries_selecti_6afd04"/>
      <w:r>
        <w:rPr>
          <w:b/>
          <w:sz w:val="33"/>
        </w:rPr>
        <w:t xml:space="preserve">IV.D. Lifestyle Industries: Selective High-Growth Subsectors</w:t>
      </w:r>
      <w:bookmarkEnd w:id="51"/>
    </w:p>
    <w:p>
      <w:pPr>
        <w:spacing w:line="271" w:before="240" w:lineRule="auto"/>
      </w:pPr>
      <w:bookmarkStart w:id="52" w:name="iv_d_1_robotics_and_assistive_tec_8e5c2f"/>
      <w:r>
        <w:rPr>
          <w:b/>
          <w:sz w:val="28"/>
        </w:rPr>
        <w:t xml:space="preserve">IV.D.1. Robotics and Assistive Technology: Accelerated Adoption Pathway</w:t>
      </w:r>
      <w:bookmarkEnd w:id="52"/>
    </w:p>
    <w:p>
      <w:pPr>
        <w:spacing w:after="210" w:lineRule="auto"/>
      </w:pPr>
      <w:r>
        <w:rPr>
          <w:rFonts w:eastAsia="Georgia" w:cs="Georgia" w:ascii="Georgia" w:hAnsi="Georgia"/>
        </w:rPr>
        <w:t xml:space="preserve">Robotics and AI-driven assistive technologies represent the highest-growth subsector within lifestyle industries, with projected CAGRs of 5–12% depending on specific technology category:</w:t>
      </w:r>
    </w:p>
    <w:p>
      <w:pPr>
        <w:spacing w:after="210" w:lineRule="auto"/>
      </w:pPr>
      <w:r>
        <w:rPr>
          <w:b/>
        </w:rPr>
        <w:t xml:space="preserve">Technology categories with highest adoption potential:</w:t>
      </w:r>
    </w:p>
    <w:p>
      <w:pPr>
        <w:numPr>
          <w:ilvl w:val="0"/>
          <w:numId w:val="43"/>
        </w:numPr>
        <w:spacing w:after="210" w:lineRule="auto"/>
      </w:pPr>
      <w:r>
        <w:rPr>
          <w:b/>
        </w:rPr>
        <w:t xml:space="preserve">Fall detection and prevention</w:t>
      </w:r>
      <w:r>
        <w:rPr>
          <w:rFonts w:eastAsia="Georgia" w:cs="Georgia" w:ascii="Georgia" w:hAnsi="Georgia"/>
        </w:rPr>
        <w:t xml:space="preserve">: IoT-enabled wearable devices and environmental sensors detecting falls or abnormal movement patterns; actuating alarms to activate human intervention. High disease burden of elderly falls (leading cause of injury death in 65+ population) justifies technology investment. Estimated CAGR 7–10%.</w:t>
      </w:r>
    </w:p>
    <w:p>
      <w:pPr>
        <w:numPr>
          <w:ilvl w:val="0"/>
          <w:numId w:val="43"/>
        </w:numPr>
        <w:spacing w:after="210" w:lineRule="auto"/>
      </w:pPr>
      <w:r>
        <w:rPr>
          <w:b/>
        </w:rPr>
        <w:t xml:space="preserve">Transfer and mobility assistance</w:t>
      </w:r>
      <w:r>
        <w:rPr>
          <w:rFonts w:eastAsia="Georgia" w:cs="Georgia" w:ascii="Georgia" w:hAnsi="Georgia"/>
        </w:rPr>
        <w:t xml:space="preserve">: Robotic exoskeletons and gait-assist devices supporting mobility and reducing physical strain on caregivers. High labor-intensive transfer tasks make automation appealing. Estimated CAGR 6–9%.</w:t>
      </w:r>
    </w:p>
    <w:p>
      <w:pPr>
        <w:numPr>
          <w:ilvl w:val="0"/>
          <w:numId w:val="43"/>
        </w:numPr>
        <w:spacing w:after="210" w:lineRule="auto"/>
      </w:pPr>
      <w:r>
        <w:rPr>
          <w:b/>
        </w:rPr>
        <w:t xml:space="preserve">Conversation partner and social engagement AI</w:t>
      </w:r>
      <w:r>
        <w:rPr>
          <w:rFonts w:eastAsia="Georgia" w:cs="Georgia" w:ascii="Georgia" w:hAnsi="Georgia"/>
        </w:rPr>
        <w:t xml:space="preserve">: AI-driven platforms matching elderly for companionship, or standalone AI conversation interfaces providing responsive interaction. Addresses documented mental health burden of elderly social isolation. Market expanding from near-zero baseline; estimated CAGR 10–15%.</w:t>
      </w:r>
    </w:p>
    <w:p>
      <w:pPr>
        <w:numPr>
          <w:ilvl w:val="0"/>
          <w:numId w:val="43"/>
        </w:numPr>
        <w:spacing w:after="210" w:lineRule="auto"/>
      </w:pPr>
      <w:r>
        <w:rPr>
          <w:b/>
        </w:rPr>
        <w:t xml:space="preserve">Home monitoring and predictive analytics</w:t>
      </w:r>
      <w:r>
        <w:rPr>
          <w:rFonts w:eastAsia="Georgia" w:cs="Georgia" w:ascii="Georgia" w:hAnsi="Georgia"/>
        </w:rPr>
        <w:t xml:space="preserve">: Integrated IoT systems (motion sensors, vital sign monitors, door/window contacts) generating continuous behavioral and health data analyzed via AI algorithms to detect early signs of deterioration. Enables preventive intervention and reduces unnecessary emergent care. Estimated CAGR 6–9%.</w:t>
      </w:r>
    </w:p>
    <w:p>
      <w:pPr>
        <w:spacing w:after="210" w:lineRule="auto"/>
      </w:pPr>
      <w:r>
        <w:rPr>
          <w:b/>
        </w:rPr>
        <w:t xml:space="preserve">Barriers to adoption:</w:t>
      </w:r>
    </w:p>
    <w:p>
      <w:pPr>
        <w:numPr>
          <w:ilvl w:val="0"/>
          <w:numId w:val="44"/>
        </w:numPr>
        <w:spacing w:lineRule="auto"/>
      </w:pPr>
      <w:r>
        <w:rPr>
          <w:b/>
        </w:rPr>
        <w:t xml:space="preserve">Capital cost justification</w:t>
      </w:r>
      <w:r>
        <w:rPr>
          <w:rFonts w:eastAsia="Georgia" w:cs="Georgia" w:ascii="Georgia" w:hAnsi="Georgia"/>
        </w:rPr>
        <w:t xml:space="preserve">: High upfront costs (¥5–20 million per facility for robotic systems) require demonstration of cost offsets through reduced labor requirements or improved outcomes; current evidence remains limited</w:t>
      </w:r>
    </w:p>
    <w:p>
      <w:pPr>
        <w:numPr>
          <w:ilvl w:val="0"/>
          <w:numId w:val="44"/>
        </w:numPr>
        <w:spacing w:lineRule="auto"/>
      </w:pPr>
      <w:r>
        <w:rPr>
          <w:b/>
        </w:rPr>
        <w:t xml:space="preserve">Technology maturation and reliability</w:t>
      </w:r>
      <w:r>
        <w:rPr/>
        <w:t xml:space="preserve">: Robotic systems experience periodic failures requiring technical support; reliability must improve substantially to justify capital investment</w:t>
      </w:r>
    </w:p>
    <w:p>
      <w:pPr>
        <w:numPr>
          <w:ilvl w:val="0"/>
          <w:numId w:val="44"/>
        </w:numPr>
        <w:spacing w:lineRule="auto"/>
      </w:pPr>
      <w:r>
        <w:rPr>
          <w:b/>
        </w:rPr>
        <w:t xml:space="preserve">Regulatory pathways</w:t>
      </w:r>
      <w:r>
        <w:rPr/>
        <w:t xml:space="preserve">: Medical devices and AI systems require regulatory clearance; approval timelines may slow adoption relative to emerging alternatives</w:t>
      </w:r>
    </w:p>
    <w:p>
      <w:pPr>
        <w:numPr>
          <w:ilvl w:val="0"/>
          <w:numId w:val="44"/>
        </w:numPr>
        <w:spacing w:lineRule="auto"/>
      </w:pPr>
      <w:r>
        <w:rPr>
          <w:b/>
        </w:rPr>
        <w:t xml:space="preserve">Workforce skill requirements</w:t>
      </w:r>
      <w:r>
        <w:rPr/>
        <w:t xml:space="preserve">: Facilities require technical expertise to operate and maintain advanced systems, necessitating training investments and potentially higher staffing costs</w:t>
      </w:r>
    </w:p>
    <w:p>
      <w:pPr>
        <w:spacing w:line="271" w:before="240" w:lineRule="auto"/>
      </w:pPr>
      <w:bookmarkStart w:id="53" w:name="iv_d_2_senior_housing_and_real_es_35085a"/>
      <w:r>
        <w:rPr>
          <w:b/>
          <w:sz w:val="28"/>
        </w:rPr>
        <w:t xml:space="preserve">IV.D.2. Senior Housing and Real Estate Development</w:t>
      </w:r>
      <w:bookmarkEnd w:id="53"/>
    </w:p>
    <w:p>
      <w:pPr>
        <w:spacing w:after="210" w:lineRule="auto"/>
      </w:pPr>
      <w:r>
        <w:rPr>
          <w:rFonts w:eastAsia="Georgia" w:cs="Georgia" w:ascii="Georgia" w:hAnsi="Georgia"/>
        </w:rPr>
        <w:t xml:space="preserve">Senior housing development offers moderate growth opportunity (estimated CAGR 2.0–2.5%) driven by:</w:t>
      </w:r>
    </w:p>
    <w:p>
      <w:pPr>
        <w:numPr>
          <w:ilvl w:val="0"/>
          <w:numId w:val="45"/>
        </w:numPr>
        <w:spacing w:lineRule="auto"/>
      </w:pPr>
      <w:r>
        <w:rPr>
          <w:b/>
        </w:rPr>
        <w:t xml:space="preserve">Demographic expansion</w:t>
      </w:r>
      <w:r>
        <w:rPr/>
        <w:t xml:space="preserve">: Absolute elderly population increase through 2043</w:t>
      </w:r>
    </w:p>
    <w:p>
      <w:pPr>
        <w:numPr>
          <w:ilvl w:val="0"/>
          <w:numId w:val="45"/>
        </w:numPr>
        <w:spacing w:lineRule="auto"/>
      </w:pPr>
      <w:r>
        <w:rPr>
          <w:b/>
        </w:rPr>
        <w:t xml:space="preserve">Asset availability</w:t>
      </w:r>
      <w:r>
        <w:rPr/>
        <w:t xml:space="preserve">: Elderly household wealth provides financing capacity</w:t>
      </w:r>
    </w:p>
    <w:p>
      <w:pPr>
        <w:numPr>
          <w:ilvl w:val="0"/>
          <w:numId w:val="45"/>
        </w:numPr>
        <w:spacing w:lineRule="auto"/>
      </w:pPr>
      <w:r>
        <w:rPr>
          <w:b/>
        </w:rPr>
        <w:t xml:space="preserve">Cultural shift</w:t>
      </w:r>
      <w:r>
        <w:rPr/>
        <w:t xml:space="preserve">: Gradual erosion of multi-generational household model increases demand for institutional housing</w:t>
      </w:r>
    </w:p>
    <w:p>
      <w:pPr>
        <w:spacing w:after="210" w:lineRule="auto"/>
      </w:pPr>
      <w:r>
        <w:rPr>
          <w:b/>
        </w:rPr>
        <w:t xml:space="preserve">Constraints:</w:t>
      </w:r>
    </w:p>
    <w:p>
      <w:pPr>
        <w:numPr>
          <w:ilvl w:val="0"/>
          <w:numId w:val="46"/>
        </w:numPr>
        <w:spacing w:lineRule="auto"/>
      </w:pPr>
      <w:r>
        <w:rPr>
          <w:b/>
        </w:rPr>
        <w:t xml:space="preserve">Land availability and cost</w:t>
      </w:r>
      <w:r>
        <w:rPr/>
        <w:t xml:space="preserve">: High land costs in desirable urban locations constrain development feasibility</w:t>
      </w:r>
    </w:p>
    <w:p>
      <w:pPr>
        <w:numPr>
          <w:ilvl w:val="0"/>
          <w:numId w:val="46"/>
        </w:numPr>
        <w:spacing w:lineRule="auto"/>
      </w:pPr>
      <w:r>
        <w:rPr>
          <w:b/>
        </w:rPr>
        <w:t xml:space="preserve">Zoning restrictions</w:t>
      </w:r>
      <w:r>
        <w:rPr/>
        <w:t xml:space="preserve">: Many municipalities restrict senior facility development through land-use regulations</w:t>
      </w:r>
    </w:p>
    <w:p>
      <w:pPr>
        <w:numPr>
          <w:ilvl w:val="0"/>
          <w:numId w:val="46"/>
        </w:numPr>
        <w:spacing w:lineRule="auto"/>
      </w:pPr>
      <w:r>
        <w:rPr>
          <w:b/>
        </w:rPr>
        <w:t xml:space="preserve">Regulatory complexity</w:t>
      </w:r>
      <w:r>
        <w:rPr/>
        <w:t xml:space="preserve">: Requirements for care services licensure, staffing standards, and health &amp; safety compliance add operational complexity</w:t>
      </w:r>
    </w:p>
    <w:p>
      <w:pPr>
        <w:numPr>
          <w:ilvl w:val="0"/>
          <w:numId w:val="46"/>
        </w:numPr>
        <w:spacing w:lineRule="auto"/>
      </w:pPr>
      <w:r>
        <w:rPr>
          <w:b/>
        </w:rPr>
        <w:t xml:space="preserve">Profitability sensitivity to occupancy rates</w:t>
      </w:r>
      <w:r>
        <w:rPr/>
        <w:t xml:space="preserve">: High fixed costs necessitate sustained high occupancy rates; vacancy risk is material</w:t>
      </w:r>
    </w:p>
    <w:p>
      <w:pPr>
        <w:spacing w:line="271" w:before="240" w:lineRule="auto"/>
      </w:pPr>
      <w:bookmarkStart w:id="54" w:name="iv_d_3_conversation_partner_servi_668811"/>
      <w:r>
        <w:rPr>
          <w:b/>
          <w:sz w:val="28"/>
        </w:rPr>
        <w:t xml:space="preserve">IV.D.3. Conversation Partner Services and Social AI: Emerging High-Growth Niche</w:t>
      </w:r>
      <w:bookmarkEnd w:id="54"/>
    </w:p>
    <w:p>
      <w:pPr>
        <w:spacing w:after="210" w:lineRule="auto"/>
      </w:pPr>
      <w:r>
        <w:rPr>
          <w:rFonts w:eastAsia="Georgia" w:cs="Georgia" w:ascii="Georgia" w:hAnsi="Georgia"/>
        </w:rPr>
        <w:t xml:space="preserve">The conversation partner service market, addressing elderly social isolation and mental health needs, represents an emerging high-growth niche with projected CAGR of 8–12%:</w:t>
      </w:r>
    </w:p>
    <w:p>
      <w:pPr>
        <w:spacing w:after="210" w:lineRule="auto"/>
      </w:pPr>
      <w:r>
        <w:rPr>
          <w:b/>
        </w:rPr>
        <w:t xml:space="preserve">Market characteristics:</w:t>
      </w:r>
    </w:p>
    <w:p>
      <w:pPr>
        <w:numPr>
          <w:ilvl w:val="0"/>
          <w:numId w:val="47"/>
        </w:numPr>
        <w:spacing w:lineRule="auto"/>
      </w:pPr>
      <w:r>
        <w:rPr>
          <w:b/>
        </w:rPr>
        <w:t xml:space="preserve">Current market size</w:t>
      </w:r>
      <w:r>
        <w:rPr>
          <w:rFonts w:eastAsia="Georgia" w:cs="Georgia" w:ascii="Georgia" w:hAnsi="Georgia"/>
        </w:rPr>
        <w:t xml:space="preserve">: Estimated ¥100 billion+ ($670 million USD) and expanding</w:t>
      </w:r>
    </w:p>
    <w:p>
      <w:pPr>
        <w:numPr>
          <w:ilvl w:val="0"/>
          <w:numId w:val="47"/>
        </w:numPr>
        <w:spacing w:lineRule="auto"/>
      </w:pPr>
      <w:r>
        <w:rPr>
          <w:b/>
        </w:rPr>
        <w:t xml:space="preserve">Service models</w:t>
      </w:r>
      <w:r>
        <w:rPr>
          <w:rFonts w:eastAsia="Georgia" w:cs="Georgia" w:ascii="Georgia" w:hAnsi="Georgia"/>
        </w:rPr>
        <w:t xml:space="preserve">: Ranging from human companion matching platforms (e.g., Hahalol—AI-matched romantic/platonic partners; raised ¥560 million in venture funding) to AI-driven conversation interfaces</w:t>
      </w:r>
    </w:p>
    <w:p>
      <w:pPr>
        <w:numPr>
          <w:ilvl w:val="0"/>
          <w:numId w:val="47"/>
        </w:numPr>
        <w:spacing w:lineRule="auto"/>
      </w:pPr>
      <w:r>
        <w:rPr>
          <w:b/>
        </w:rPr>
        <w:t xml:space="preserve">Market drivers</w:t>
      </w:r>
      <w:r>
        <w:rPr/>
        <w:t xml:space="preserve">: 9+ million single-person elderly households, wherein 61.7% are 75+; documented mental health burdens of isolation (depression, cognitive decline, suicide risk)</w:t>
      </w:r>
    </w:p>
    <w:p>
      <w:pPr>
        <w:numPr>
          <w:ilvl w:val="0"/>
          <w:numId w:val="47"/>
        </w:numPr>
        <w:spacing w:lineRule="auto"/>
      </w:pPr>
      <w:r>
        <w:rPr>
          <w:b/>
        </w:rPr>
        <w:t xml:space="preserve">Entry barriers</w:t>
      </w:r>
      <w:r>
        <w:rPr/>
        <w:t xml:space="preserve">: Relatively low compared to healthcare and facility-based care; technology platforms can scale to large user bases with modest capital</w:t>
      </w:r>
    </w:p>
    <w:p>
      <w:pPr>
        <w:spacing w:after="210" w:lineRule="auto"/>
      </w:pPr>
      <w:r>
        <w:rPr>
          <w:b/>
        </w:rPr>
        <w:t xml:space="preserve">Sustainability considerations:</w:t>
      </w:r>
    </w:p>
    <w:p>
      <w:pPr>
        <w:spacing w:after="210" w:lineRule="auto"/>
      </w:pPr>
      <w:r>
        <w:rPr/>
        <w:t xml:space="preserve">This subsector's viability depends on willingness-to-pay among elderly consumers and families, as conversation services are typically not covered by public insurance. Profitability requires either:</w:t>
      </w:r>
    </w:p>
    <w:p>
      <w:pPr>
        <w:numPr>
          <w:ilvl w:val="0"/>
          <w:numId w:val="48"/>
        </w:numPr>
        <w:spacing w:lineRule="auto"/>
      </w:pPr>
      <w:r>
        <w:rPr>
          <w:rFonts w:eastAsia="Georgia" w:cs="Georgia" w:ascii="Georgia" w:hAnsi="Georgia"/>
        </w:rPr>
        <w:t xml:space="preserve">High premium pricing ($10–30 USD monthly) accepted by affluent elderly segments, or</w:t>
      </w:r>
    </w:p>
    <w:p>
      <w:pPr>
        <w:numPr>
          <w:ilvl w:val="0"/>
          <w:numId w:val="48"/>
        </w:numPr>
        <w:spacing w:lineRule="auto"/>
      </w:pPr>
      <w:r>
        <w:rPr/>
        <w:t xml:space="preserve">B2B revenue models (reimbursement from care facilities, municipalities, or health insurers for depression/isolation prevention)</w:t>
      </w:r>
    </w:p>
    <w:p>
      <w:pPr>
        <w:spacing w:after="210" w:lineRule="auto"/>
      </w:pPr>
      <w:r>
        <w:rPr/>
        <w:t xml:space="preserve">The latter pathway is emerging, with some local governments subsidizing conversation services as preventive mental health intervention.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5" w:name="v_risk_factors_and_scenario_analysis"/>
      <w:r>
        <w:rPr>
          <w:b/>
          <w:sz w:val="42"/>
        </w:rPr>
        <w:t xml:space="preserve">V. RISK FACTORS AND SCENARIO ANALYSIS</w:t>
      </w:r>
      <w:bookmarkEnd w:id="55"/>
    </w:p>
    <w:p>
      <w:pPr>
        <w:spacing w:line="271" w:before="240" w:lineRule="auto"/>
      </w:pPr>
      <w:bookmarkStart w:id="56" w:name="v_a_demographic_scenario_sensitivity"/>
      <w:r>
        <w:rPr>
          <w:b/>
          <w:sz w:val="33"/>
        </w:rPr>
        <w:t xml:space="preserve">V.A. Demographic Scenario Sensitivity</w:t>
      </w:r>
      <w:bookmarkEnd w:id="56"/>
    </w:p>
    <w:p>
      <w:pPr>
        <w:spacing w:after="210" w:lineRule="auto"/>
      </w:pPr>
      <w:r>
        <w:rPr/>
        <w:t xml:space="preserve">Market sizing projections are sensitive to demographic assumptions. Alternative demographic scenarios produce materially different market implications:</w:t>
      </w:r>
    </w:p>
    <w:p>
      <w:pPr>
        <w:spacing w:line="271" w:before="240" w:lineRule="auto"/>
      </w:pPr>
      <w:bookmarkStart w:id="57" w:name="v_a_1_low_fertility_scenario_high_9fc25b"/>
      <w:r>
        <w:rPr>
          <w:b/>
          <w:sz w:val="28"/>
        </w:rPr>
        <w:t xml:space="preserve">V.A.1. Low-Fertility Scenario (Higher Elderly Proportion)</w:t>
      </w:r>
      <w:bookmarkEnd w:id="57"/>
    </w:p>
    <w:p>
      <w:pPr>
        <w:spacing w:after="210" w:lineRule="auto"/>
      </w:pPr>
      <w:r>
        <w:rPr>
          <w:rFonts w:eastAsia="Georgia" w:cs="Georgia" w:ascii="Georgia" w:hAnsi="Georgia"/>
        </w:rPr>
        <w:t xml:space="preserve">Under low-fertility assumptions (TFR 1.13), the elderly proportion by 2050 reaches 42.0%—2.8 percentage points higher than the central scenario. This produces:</w:t>
      </w:r>
    </w:p>
    <w:p>
      <w:pPr>
        <w:numPr>
          <w:ilvl w:val="0"/>
          <w:numId w:val="49"/>
        </w:numPr>
        <w:spacing w:lineRule="auto"/>
      </w:pPr>
      <w:r>
        <w:rPr>
          <w:b/>
        </w:rPr>
        <w:t xml:space="preserve">Increased healthcare expenditure intensity</w:t>
      </w:r>
      <w:r>
        <w:rPr/>
        <w:t xml:space="preserve">: Higher elderly proportion concentrates consumption toward healthcare-intensive services</w:t>
      </w:r>
    </w:p>
    <w:p>
      <w:pPr>
        <w:numPr>
          <w:ilvl w:val="0"/>
          <w:numId w:val="49"/>
        </w:numPr>
        <w:spacing w:lineRule="auto"/>
      </w:pPr>
      <w:r>
        <w:rPr>
          <w:b/>
        </w:rPr>
        <w:t xml:space="preserve">More acute fiscal pressures</w:t>
      </w:r>
      <w:r>
        <w:rPr>
          <w:rFonts w:eastAsia="Georgia" w:cs="Georgia" w:ascii="Georgia" w:hAnsi="Georgia"/>
        </w:rPr>
        <w:t xml:space="preserve">: Dependency ratio reaches 78–80 (vs. 74.2 in central scenario), intensifying sustainability challenges for public pensions and healthcare</w:t>
      </w:r>
    </w:p>
    <w:p>
      <w:pPr>
        <w:numPr>
          <w:ilvl w:val="0"/>
          <w:numId w:val="49"/>
        </w:numPr>
        <w:spacing w:lineRule="auto"/>
      </w:pPr>
      <w:r>
        <w:rPr>
          <w:b/>
        </w:rPr>
        <w:t xml:space="preserve">Constrained investment in younger population services</w:t>
      </w:r>
      <w:r>
        <w:rPr/>
        <w:t xml:space="preserve">: Education, family support, and child-rearing services face budgetary pressure from elderly-concentrated expenditures</w:t>
      </w:r>
    </w:p>
    <w:p>
      <w:pPr>
        <w:spacing w:line="271" w:before="240" w:lineRule="auto"/>
      </w:pPr>
      <w:bookmarkStart w:id="58" w:name="v_a_2_high_fertility_scenario_low_307226"/>
      <w:r>
        <w:rPr>
          <w:b/>
          <w:sz w:val="28"/>
        </w:rPr>
        <w:t xml:space="preserve">V.A.2. High-Fertility Scenario (Lower Elderly Proportion)</w:t>
      </w:r>
      <w:bookmarkEnd w:id="58"/>
    </w:p>
    <w:p>
      <w:pPr>
        <w:spacing w:after="210" w:lineRule="auto"/>
      </w:pPr>
      <w:r>
        <w:rPr>
          <w:rFonts w:eastAsia="Georgia" w:cs="Georgia" w:ascii="Georgia" w:hAnsi="Georgia"/>
        </w:rPr>
        <w:t xml:space="preserve">Under high-fertility assumptions (TFR 1.64), the elderly proportion by 2050 reaches 35.3%—0.8 percentage points lower than central scenario, producing:</w:t>
      </w:r>
    </w:p>
    <w:p>
      <w:pPr>
        <w:numPr>
          <w:ilvl w:val="0"/>
          <w:numId w:val="50"/>
        </w:numPr>
        <w:spacing w:lineRule="auto"/>
      </w:pPr>
      <w:r>
        <w:rPr>
          <w:b/>
        </w:rPr>
        <w:t xml:space="preserve">Moderate market growth</w:t>
      </w:r>
      <w:r>
        <w:rPr/>
        <w:t xml:space="preserve">: Larger absolute elderly population (33.6 million) partially offset by lower proportion, resulting in moderate market expansion</w:t>
      </w:r>
    </w:p>
    <w:p>
      <w:pPr>
        <w:numPr>
          <w:ilvl w:val="0"/>
          <w:numId w:val="50"/>
        </w:numPr>
        <w:spacing w:lineRule="auto"/>
      </w:pPr>
      <w:r>
        <w:rPr>
          <w:b/>
        </w:rPr>
        <w:t xml:space="preserve">Improved but still challenged dependency ratios</w:t>
      </w:r>
      <w:r>
        <w:rPr>
          <w:rFonts w:eastAsia="Georgia" w:cs="Georgia" w:ascii="Georgia" w:hAnsi="Georgia"/>
        </w:rPr>
        <w:t xml:space="preserve">: Potential support index of approximately 1.4–1.5 (vs. 1.3 in central scenario) eases but does not eliminate fiscal pressures</w:t>
      </w:r>
    </w:p>
    <w:p>
      <w:pPr>
        <w:numPr>
          <w:ilvl w:val="0"/>
          <w:numId w:val="50"/>
        </w:numPr>
        <w:spacing w:lineRule="auto"/>
      </w:pPr>
      <w:r>
        <w:rPr>
          <w:b/>
        </w:rPr>
        <w:t xml:space="preserve">Potential for intergenerational rebalancing</w:t>
      </w:r>
      <w:r>
        <w:rPr/>
        <w:t xml:space="preserve">: Larger younger cohorts may increase future labor force, improving long-term fiscal sustainability</w:t>
      </w:r>
    </w:p>
    <w:p>
      <w:pPr>
        <w:spacing w:line="271" w:before="240" w:lineRule="auto"/>
      </w:pPr>
      <w:bookmarkStart w:id="59" w:name="v_b_technology_adoption_variability"/>
      <w:r>
        <w:rPr>
          <w:b/>
          <w:sz w:val="33"/>
        </w:rPr>
        <w:t xml:space="preserve">V.B. Technology Adoption Variability</w:t>
      </w:r>
      <w:bookmarkEnd w:id="59"/>
    </w:p>
    <w:p>
      <w:pPr>
        <w:spacing w:after="210" w:lineRule="auto"/>
      </w:pPr>
      <w:r>
        <w:rPr>
          <w:rFonts w:eastAsia="Georgia" w:cs="Georgia" w:ascii="Georgia" w:hAnsi="Georgia"/>
        </w:rPr>
        <w:t xml:space="preserve">Projections assume moderate technology adoption (robots, AI systems integrated at 20–40% of facilities by 2050). Alternative adoption scenarios produce divergent market impacts:</w:t>
      </w:r>
    </w:p>
    <w:p>
      <w:pPr>
        <w:spacing w:line="271" w:before="240" w:lineRule="auto"/>
      </w:pPr>
      <w:bookmarkStart w:id="60" w:name="v_b_1_accelerated_technology_adop_3311cf"/>
      <w:r>
        <w:rPr>
          <w:b/>
          <w:sz w:val="28"/>
        </w:rPr>
        <w:t xml:space="preserve">V.B.1. Accelerated Technology Adoption Scenario</w:t>
      </w:r>
      <w:bookmarkEnd w:id="60"/>
    </w:p>
    <w:p>
      <w:pPr>
        <w:spacing w:after="210" w:lineRule="auto"/>
      </w:pPr>
      <w:r>
        <w:rPr>
          <w:rFonts w:eastAsia="Georgia" w:cs="Georgia" w:ascii="Georgia" w:hAnsi="Georgia"/>
        </w:rPr>
        <w:t xml:space="preserve">If technology adoption accelerates (robots, AI monitoring systems integrated at 60–80% of facilities by 2050) due to breakthroughs in affordability, reliability, or reimbursement changes:</w:t>
      </w:r>
    </w:p>
    <w:p>
      <w:pPr>
        <w:numPr>
          <w:ilvl w:val="0"/>
          <w:numId w:val="51"/>
        </w:numPr>
        <w:spacing w:lineRule="auto"/>
      </w:pPr>
      <w:r>
        <w:rPr>
          <w:b/>
        </w:rPr>
        <w:t xml:space="preserve">Labor productivity gains</w:t>
      </w:r>
      <w:r>
        <w:rPr/>
        <w:t xml:space="preserve">: Reduced per-capita care labor requirements, potentially mitigating workforce shortage constraints</w:t>
      </w:r>
    </w:p>
    <w:p>
      <w:pPr>
        <w:numPr>
          <w:ilvl w:val="0"/>
          <w:numId w:val="51"/>
        </w:numPr>
        <w:spacing w:lineRule="auto"/>
      </w:pPr>
      <w:r>
        <w:rPr>
          <w:b/>
        </w:rPr>
        <w:t xml:space="preserve">Market consolidation</w:t>
      </w:r>
      <w:r>
        <w:rPr/>
        <w:t xml:space="preserve">: Technology investments favor large operators with capital capacity, accelerating industry consolidation</w:t>
      </w:r>
    </w:p>
    <w:p>
      <w:pPr>
        <w:numPr>
          <w:ilvl w:val="0"/>
          <w:numId w:val="51"/>
        </w:numPr>
        <w:spacing w:lineRule="auto"/>
      </w:pPr>
      <w:r>
        <w:rPr>
          <w:b/>
        </w:rPr>
        <w:t xml:space="preserve">Reimbursement pressure</w:t>
      </w:r>
      <w:r>
        <w:rPr/>
        <w:t xml:space="preserve">: If technology reduces per-unit labor costs, insurance reimbursement rates may be compressed, limiting profitability</w:t>
      </w:r>
    </w:p>
    <w:p>
      <w:pPr>
        <w:numPr>
          <w:ilvl w:val="0"/>
          <w:numId w:val="51"/>
        </w:numPr>
        <w:spacing w:lineRule="auto"/>
      </w:pPr>
      <w:r>
        <w:rPr>
          <w:b/>
        </w:rPr>
        <w:t xml:space="preserve">International competitive exposure</w:t>
      </w:r>
      <w:r>
        <w:rPr/>
        <w:t xml:space="preserve">: Japanese robotics suppliers gain international market share in elderly-care technology</w:t>
      </w:r>
    </w:p>
    <w:p>
      <w:pPr>
        <w:spacing w:line="271" w:before="240" w:lineRule="auto"/>
      </w:pPr>
      <w:bookmarkStart w:id="61" w:name="v_b_2_technology_adoption_stagnat_6e675f"/>
      <w:r>
        <w:rPr>
          <w:b/>
          <w:sz w:val="28"/>
        </w:rPr>
        <w:t xml:space="preserve">V.B.2. Technology Adoption Stagnation Scenario</w:t>
      </w:r>
      <w:bookmarkEnd w:id="61"/>
    </w:p>
    <w:p>
      <w:pPr>
        <w:spacing w:after="210" w:lineRule="auto"/>
      </w:pPr>
      <w:r>
        <w:rPr/>
        <w:t xml:space="preserve">If technology adoption remains slow (robots, AI systems in &lt;15% of facilities by 2050) due to cost barriers, regulatory obstacles, or cultural resistance:</w:t>
      </w:r>
    </w:p>
    <w:p>
      <w:pPr>
        <w:numPr>
          <w:ilvl w:val="0"/>
          <w:numId w:val="52"/>
        </w:numPr>
        <w:spacing w:lineRule="auto"/>
      </w:pPr>
      <w:r>
        <w:rPr>
          <w:b/>
        </w:rPr>
        <w:t xml:space="preserve">Labor dependency intensification</w:t>
      </w:r>
      <w:r>
        <w:rPr/>
        <w:t xml:space="preserve">: Care services remain labor-intensive, exacerbating workforce shortage constraints</w:t>
      </w:r>
    </w:p>
    <w:p>
      <w:pPr>
        <w:numPr>
          <w:ilvl w:val="0"/>
          <w:numId w:val="52"/>
        </w:numPr>
        <w:spacing w:lineRule="auto"/>
      </w:pPr>
      <w:r>
        <w:rPr>
          <w:b/>
        </w:rPr>
        <w:t xml:space="preserve">Wage escalation pressure</w:t>
      </w:r>
      <w:r>
        <w:rPr/>
        <w:t xml:space="preserve">: Inability to substitute capital for labor drives care worker wage escalation, potentially outpacing inflation and compressing operator margins</w:t>
      </w:r>
    </w:p>
    <w:p>
      <w:pPr>
        <w:numPr>
          <w:ilvl w:val="0"/>
          <w:numId w:val="52"/>
        </w:numPr>
        <w:spacing w:lineRule="auto"/>
      </w:pPr>
      <w:r>
        <w:rPr>
          <w:b/>
        </w:rPr>
        <w:t xml:space="preserve">Market fragmentation</w:t>
      </w:r>
      <w:r>
        <w:rPr/>
        <w:t xml:space="preserve">: Continued dominance by small-scale operators limits standardization and efficiency gains</w:t>
      </w:r>
    </w:p>
    <w:p>
      <w:pPr>
        <w:numPr>
          <w:ilvl w:val="0"/>
          <w:numId w:val="52"/>
        </w:numPr>
        <w:spacing w:lineRule="auto"/>
      </w:pPr>
      <w:r>
        <w:rPr>
          <w:b/>
        </w:rPr>
        <w:t xml:space="preserve">Fiscal pressure amplification</w:t>
      </w:r>
      <w:r>
        <w:rPr/>
        <w:t xml:space="preserve">: Without labor productivity gains, care service cost growth may exceed healthcare and pension cost growth, intensifying fiscal pressures</w:t>
      </w:r>
    </w:p>
    <w:p>
      <w:pPr>
        <w:spacing w:line="271" w:before="240" w:lineRule="auto"/>
      </w:pPr>
      <w:bookmarkStart w:id="62" w:name="v_c_healthy_aging_realization_var_6d0781"/>
      <w:r>
        <w:rPr>
          <w:b/>
          <w:sz w:val="33"/>
        </w:rPr>
        <w:t xml:space="preserve">V.C. Healthy Aging Realization Variability</w:t>
      </w:r>
      <w:bookmarkEnd w:id="62"/>
    </w:p>
    <w:p>
      <w:pPr>
        <w:spacing w:after="210" w:lineRule="auto"/>
      </w:pPr>
      <w:r>
        <w:rPr>
          <w:rFonts w:eastAsia="Georgia" w:cs="Georgia" w:ascii="Georgia" w:hAnsi="Georgia"/>
        </w:rPr>
        <w:t xml:space="preserve">Healthcare expenditure projections are sensitive to whether "healthy aging" scenarios materialize—wherein elderly populations maintain functional capacity longer and compress morbidity toward end of life:</w:t>
      </w:r>
    </w:p>
    <w:p>
      <w:pPr>
        <w:spacing w:line="271" w:before="240" w:lineRule="auto"/>
      </w:pPr>
      <w:bookmarkStart w:id="63" w:name="v_c_1_healthy_aging_realization_scenario"/>
      <w:r>
        <w:rPr>
          <w:b/>
          <w:sz w:val="28"/>
        </w:rPr>
        <w:t xml:space="preserve">V.C.1. Healthy Aging Realization Scenario</w:t>
      </w:r>
      <w:bookmarkEnd w:id="63"/>
    </w:p>
    <w:p>
      <w:pPr>
        <w:spacing w:after="210" w:lineRule="auto"/>
      </w:pPr>
      <w:r>
        <w:rPr/>
        <w:t xml:space="preserve">If Japan achieves improved healthy aging outcomes (through preventive care, physical activity promotion, cognitive engagement, and early detection of chronic disease):</w:t>
      </w:r>
    </w:p>
    <w:p>
      <w:pPr>
        <w:numPr>
          <w:ilvl w:val="0"/>
          <w:numId w:val="53"/>
        </w:numPr>
        <w:spacing w:lineRule="auto"/>
      </w:pPr>
      <w:r>
        <w:rPr>
          <w:b/>
        </w:rPr>
        <w:t xml:space="preserve">Reduced per-capita healthcare costs</w:t>
      </w:r>
      <w:r>
        <w:rPr/>
        <w:t xml:space="preserve">: Elderly populations maintain independence longer, reducing need for intensive long-term care services</w:t>
      </w:r>
    </w:p>
    <w:p>
      <w:pPr>
        <w:numPr>
          <w:ilvl w:val="0"/>
          <w:numId w:val="53"/>
        </w:numPr>
        <w:spacing w:lineRule="auto"/>
      </w:pPr>
      <w:r>
        <w:rPr>
          <w:b/>
        </w:rPr>
        <w:t xml:space="preserve">Extended productive years</w:t>
      </w:r>
      <w:r>
        <w:rPr/>
        <w:t xml:space="preserve">: Healthier elderly remain in labor force longer, expanding contribution base for public systems</w:t>
      </w:r>
    </w:p>
    <w:p>
      <w:pPr>
        <w:numPr>
          <w:ilvl w:val="0"/>
          <w:numId w:val="53"/>
        </w:numPr>
        <w:spacing w:lineRule="auto"/>
      </w:pPr>
      <w:r>
        <w:rPr>
          <w:b/>
        </w:rPr>
        <w:t xml:space="preserve">Consumption pattern shift</w:t>
      </w:r>
      <w:r>
        <w:rPr/>
        <w:t xml:space="preserve">: Reduced medical spending may shift toward lifestyle and leisure consumption, benefiting tourism, cultural, and consumer goods sectors</w:t>
      </w:r>
    </w:p>
    <w:p>
      <w:pPr>
        <w:numPr>
          <w:ilvl w:val="0"/>
          <w:numId w:val="53"/>
        </w:numPr>
        <w:spacing w:lineRule="auto"/>
      </w:pPr>
      <w:r>
        <w:rPr>
          <w:b/>
        </w:rPr>
        <w:t xml:space="preserve">Healthcare expenditure constraint</w:t>
      </w:r>
      <w:r>
        <w:rPr>
          <w:rFonts w:eastAsia="Georgia" w:cs="Georgia" w:ascii="Georgia" w:hAnsi="Georgia"/>
        </w:rPr>
        <w:t xml:space="preserve">: WHO modeling indicates healthy aging could limit 2020–2060 health spending increase to 2.22% of GDP (vs. 2.92% under premature morbidity scenario)</w:t>
      </w:r>
    </w:p>
    <w:p>
      <w:pPr>
        <w:spacing w:line="271" w:before="240" w:lineRule="auto"/>
      </w:pPr>
      <w:bookmarkStart w:id="64" w:name="v_c_2_morbidity_concentration_scenario"/>
      <w:r>
        <w:rPr>
          <w:b/>
          <w:sz w:val="28"/>
        </w:rPr>
        <w:t xml:space="preserve">V.C.2. Morbidity Concentration Scenario</w:t>
      </w:r>
      <w:bookmarkEnd w:id="64"/>
    </w:p>
    <w:p>
      <w:pPr>
        <w:spacing w:after="210" w:lineRule="auto"/>
      </w:pPr>
      <w:r>
        <w:rPr/>
        <w:t xml:space="preserve">If healthy aging does not materialize and morbidity burden remains concentrated in elderly years:</w:t>
      </w:r>
    </w:p>
    <w:p>
      <w:pPr>
        <w:numPr>
          <w:ilvl w:val="0"/>
          <w:numId w:val="54"/>
        </w:numPr>
        <w:spacing w:lineRule="auto"/>
      </w:pPr>
      <w:r>
        <w:rPr>
          <w:b/>
        </w:rPr>
        <w:t xml:space="preserve">Sustained healthcare cost escalation</w:t>
      </w:r>
      <w:r>
        <w:rPr/>
        <w:t xml:space="preserve">: Prevalence of chronic disease (diabetes, cognitive decline, multiple comorbidities) increases per-capita healthcare intensity</w:t>
      </w:r>
    </w:p>
    <w:p>
      <w:pPr>
        <w:numPr>
          <w:ilvl w:val="0"/>
          <w:numId w:val="54"/>
        </w:numPr>
        <w:spacing w:lineRule="auto"/>
      </w:pPr>
      <w:r>
        <w:rPr>
          <w:b/>
        </w:rPr>
        <w:t xml:space="preserve">Care service demand concentration</w:t>
      </w:r>
      <w:r>
        <w:rPr/>
        <w:t xml:space="preserve">: Long-term care and nursing services concentrated in 80+ cohort create "cliff" in service demand and costs</w:t>
      </w:r>
    </w:p>
    <w:p>
      <w:pPr>
        <w:numPr>
          <w:ilvl w:val="0"/>
          <w:numId w:val="54"/>
        </w:numPr>
        <w:spacing w:lineRule="auto"/>
      </w:pPr>
      <w:r>
        <w:rPr>
          <w:b/>
        </w:rPr>
        <w:t xml:space="preserve">Fiscal pressure amplification</w:t>
      </w:r>
      <w:r>
        <w:rPr/>
        <w:t xml:space="preserve">: Healthcare and care services consume increasing share of government budget, crowding out other public investments</w:t>
      </w:r>
    </w:p>
    <w:p>
      <w:pPr>
        <w:numPr>
          <w:ilvl w:val="0"/>
          <w:numId w:val="54"/>
        </w:numPr>
        <w:spacing w:lineRule="auto"/>
      </w:pPr>
      <w:r>
        <w:rPr>
          <w:b/>
        </w:rPr>
        <w:t xml:space="preserve">Labor force participation constraints</w:t>
      </w:r>
      <w:r>
        <w:rPr/>
        <w:t xml:space="preserve">: Functional disability in elderly populations limits ability to extend working years, constraining contribution base expansion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5" w:name="vi_policy_considerations_and_gove_e17039"/>
      <w:r>
        <w:rPr>
          <w:b/>
          <w:sz w:val="42"/>
        </w:rPr>
        <w:t xml:space="preserve">VI. POLICY CONSIDERATIONS AND GOVERNMENT STRATEGY ALIGNMENT</w:t>
      </w:r>
      <w:bookmarkEnd w:id="65"/>
    </w:p>
    <w:p>
      <w:pPr>
        <w:spacing w:line="271" w:before="240" w:lineRule="auto"/>
      </w:pPr>
      <w:bookmarkStart w:id="66" w:name="vi_a_intersection_with_society_5_449807"/>
      <w:r>
        <w:rPr>
          <w:b/>
          <w:sz w:val="33"/>
        </w:rPr>
        <w:t xml:space="preserve">VI.A. Intersection with Society 5.0 and Strategic Priorities</w:t>
      </w:r>
      <w:bookmarkEnd w:id="66"/>
    </w:p>
    <w:p>
      <w:pPr>
        <w:spacing w:after="210" w:lineRule="auto"/>
      </w:pPr>
      <w:r>
        <w:rPr>
          <w:rFonts w:eastAsia="Georgia" w:cs="Georgia" w:ascii="Georgia" w:hAnsi="Georgia"/>
        </w:rPr>
        <w:t xml:space="preserve">Japan's Society 5.0 framework explicitly positions elderly care innovation as a priority application domain for digital technologies. Government budgetary allocations (¥30 billion in 2025 care technology subsidies) and regulatory initiatives (prioritized technology focus areas, AI ethical principles development) reflect this strategic orientation.</w:t>
      </w:r>
    </w:p>
    <w:p>
      <w:pPr>
        <w:spacing w:after="210" w:lineRule="auto"/>
      </w:pPr>
      <w:r>
        <w:rPr>
          <w:b/>
        </w:rPr>
        <w:t xml:space="preserve">Policy mechanisms supporting elderly market development:</w:t>
      </w:r>
    </w:p>
    <w:p>
      <w:pPr>
        <w:numPr>
          <w:ilvl w:val="0"/>
          <w:numId w:val="55"/>
        </w:numPr>
        <w:spacing w:lineRule="auto"/>
      </w:pPr>
      <w:r>
        <w:rPr>
          <w:b/>
        </w:rPr>
        <w:t xml:space="preserve">Regulatory streamlining</w:t>
      </w:r>
      <w:r>
        <w:rPr/>
        <w:t xml:space="preserve">: Government has expedited approval pathways for care robotics and remote monitoring technologies, reducing time-to-market</w:t>
      </w:r>
    </w:p>
    <w:p>
      <w:pPr>
        <w:numPr>
          <w:ilvl w:val="0"/>
          <w:numId w:val="55"/>
        </w:numPr>
        <w:spacing w:lineRule="auto"/>
      </w:pPr>
      <w:r>
        <w:rPr>
          <w:b/>
        </w:rPr>
        <w:t xml:space="preserve">Public-private partnerships</w:t>
      </w:r>
      <w:r>
        <w:rPr/>
        <w:t xml:space="preserve">: Joint government-industry initiatives (particularly through METI and MEXT) develop care technology standards and demonstrate implementation in public facilities</w:t>
      </w:r>
    </w:p>
    <w:p>
      <w:pPr>
        <w:numPr>
          <w:ilvl w:val="0"/>
          <w:numId w:val="55"/>
        </w:numPr>
        <w:spacing w:lineRule="auto"/>
      </w:pPr>
      <w:r>
        <w:rPr>
          <w:b/>
        </w:rPr>
        <w:t xml:space="preserve">International recruitment liberalization</w:t>
      </w:r>
      <w:r>
        <w:rPr/>
        <w:t xml:space="preserve">: Visa policy changes enabling care workers from Southeast Asian nations (Philippines, Indonesia, Vietnam) expand labor supply, though with integration challenges</w:t>
      </w:r>
    </w:p>
    <w:p>
      <w:pPr>
        <w:spacing w:line="271" w:before="240" w:lineRule="auto"/>
      </w:pPr>
      <w:bookmarkStart w:id="67" w:name="vi_b_sustainable_development_goal_d91b4e"/>
      <w:r>
        <w:rPr>
          <w:b/>
          <w:sz w:val="33"/>
        </w:rPr>
        <w:t xml:space="preserve">VI.B. Sustainable Development Goal Alignment</w:t>
      </w:r>
      <w:bookmarkEnd w:id="67"/>
    </w:p>
    <w:p>
      <w:pPr>
        <w:spacing w:after="210" w:lineRule="auto"/>
      </w:pPr>
      <w:r>
        <w:rPr/>
        <w:t xml:space="preserve">Elderly care market expansion has been explicitly linked to SDG achievement, framing market growth as contributing to global sustainability:</w:t>
      </w:r>
    </w:p>
    <w:p>
      <w:pPr>
        <w:numPr>
          <w:ilvl w:val="0"/>
          <w:numId w:val="56"/>
        </w:numPr>
        <w:spacing w:lineRule="auto"/>
      </w:pPr>
      <w:r>
        <w:rPr>
          <w:b/>
        </w:rPr>
        <w:t xml:space="preserve">SDG 3 (Health &amp; Well-being)</w:t>
      </w:r>
      <w:r>
        <w:rPr/>
        <w:t xml:space="preserve">: Digital health technologies and preventive care initiatives support universal health coverage aspirations</w:t>
      </w:r>
    </w:p>
    <w:p>
      <w:pPr>
        <w:numPr>
          <w:ilvl w:val="0"/>
          <w:numId w:val="56"/>
        </w:numPr>
        <w:spacing w:lineRule="auto"/>
      </w:pPr>
      <w:r>
        <w:rPr>
          <w:b/>
        </w:rPr>
        <w:t xml:space="preserve">SDG 5 (Gender Equality)</w:t>
      </w:r>
      <w:r>
        <w:rPr/>
        <w:t xml:space="preserve">: Automation of household care tasks and care robotics may reduce gender-skewed care responsibilities</w:t>
      </w:r>
    </w:p>
    <w:p>
      <w:pPr>
        <w:numPr>
          <w:ilvl w:val="0"/>
          <w:numId w:val="56"/>
        </w:numPr>
        <w:spacing w:lineRule="auto"/>
      </w:pPr>
      <w:r>
        <w:rPr>
          <w:b/>
        </w:rPr>
        <w:t xml:space="preserve">SDG 10 (Reduced Inequalities)</w:t>
      </w:r>
      <w:r>
        <w:rPr/>
        <w:t xml:space="preserve">: Technology-enabled universal healthcare could reduce disparities, though implementation challenges remain</w:t>
      </w:r>
    </w:p>
    <w:p>
      <w:pPr>
        <w:spacing w:line="271" w:before="240" w:lineRule="auto"/>
      </w:pPr>
      <w:bookmarkStart w:id="68" w:name="vi_c_fiscal_sustainability_strategy"/>
      <w:r>
        <w:rPr>
          <w:b/>
          <w:sz w:val="33"/>
        </w:rPr>
        <w:t xml:space="preserve">VI.C. Fiscal Sustainability Strategy</w:t>
      </w:r>
      <w:bookmarkEnd w:id="68"/>
    </w:p>
    <w:p>
      <w:pPr>
        <w:spacing w:after="210" w:lineRule="auto"/>
      </w:pPr>
      <w:r>
        <w:rPr/>
        <w:t xml:space="preserve">Japan's long-term fiscal strategy addresses elderly demographic pressures through multiple mechanisms:</w:t>
      </w:r>
    </w:p>
    <w:p>
      <w:pPr>
        <w:numPr>
          <w:ilvl w:val="0"/>
          <w:numId w:val="57"/>
        </w:numPr>
        <w:spacing w:lineRule="auto"/>
      </w:pPr>
      <w:r>
        <w:rPr>
          <w:b/>
        </w:rPr>
        <w:t xml:space="preserve">Gradual retirement age increases</w:t>
      </w:r>
      <w:r>
        <w:rPr>
          <w:rFonts w:eastAsia="Georgia" w:cs="Georgia" w:ascii="Georgia" w:hAnsi="Georgia"/>
        </w:rPr>
        <w:t xml:space="preserve">: Successive increases in pension eligibility age (currently 65, with proposals for 67–70) extend working years and reduce per-capita benefit duration</w:t>
      </w:r>
    </w:p>
    <w:p>
      <w:pPr>
        <w:numPr>
          <w:ilvl w:val="0"/>
          <w:numId w:val="57"/>
        </w:numPr>
        <w:spacing w:lineRule="auto"/>
      </w:pPr>
      <w:r>
        <w:rPr>
          <w:b/>
        </w:rPr>
        <w:t xml:space="preserve">Contribution rate adjustments</w:t>
      </w:r>
      <w:r>
        <w:rPr/>
        <w:t xml:space="preserve">: Periodic increases in healthcare and pension contribution rates distribute fiscal burden across generations</w:t>
      </w:r>
    </w:p>
    <w:p>
      <w:pPr>
        <w:numPr>
          <w:ilvl w:val="0"/>
          <w:numId w:val="57"/>
        </w:numPr>
        <w:spacing w:lineRule="auto"/>
      </w:pPr>
      <w:r>
        <w:rPr>
          <w:b/>
        </w:rPr>
        <w:t xml:space="preserve">Benefit adjustment mechanisms</w:t>
      </w:r>
      <w:r>
        <w:rPr/>
        <w:t xml:space="preserve">: Some public pension systems employ automatic stabilization mechanisms adjusting benefits based on demographic and financial indicators, limiting sudden shocks</w:t>
      </w:r>
    </w:p>
    <w:p>
      <w:pPr>
        <w:spacing w:after="210" w:lineRule="auto"/>
      </w:pPr>
      <w:r>
        <w:rPr>
          <w:b/>
        </w:rPr>
        <w:t xml:space="preserve">Ongoing policy debates:</w:t>
      </w:r>
    </w:p>
    <w:p>
      <w:pPr>
        <w:numPr>
          <w:ilvl w:val="0"/>
          <w:numId w:val="58"/>
        </w:numPr>
        <w:spacing w:lineRule="auto"/>
      </w:pPr>
      <w:r>
        <w:rPr>
          <w:b/>
        </w:rPr>
        <w:t xml:space="preserve">Coverage thresholds and means-testing</w:t>
      </w:r>
      <w:r>
        <w:rPr/>
        <w:t xml:space="preserve">: Whether to apply means-testing to elderly benefits (restricting high-income elderly benefits) to improve fiscal targeting</w:t>
      </w:r>
    </w:p>
    <w:p>
      <w:pPr>
        <w:numPr>
          <w:ilvl w:val="0"/>
          <w:numId w:val="58"/>
        </w:numPr>
        <w:spacing w:lineRule="auto"/>
      </w:pPr>
      <w:r>
        <w:rPr>
          <w:b/>
        </w:rPr>
        <w:t xml:space="preserve">Healthcare system sustainability</w:t>
      </w:r>
      <w:r>
        <w:rPr/>
        <w:t xml:space="preserve">: Whether further increases in elderly cost-sharing (raising copay percentages from current 10%) are politically feasible</w:t>
      </w:r>
    </w:p>
    <w:p>
      <w:pPr>
        <w:numPr>
          <w:ilvl w:val="0"/>
          <w:numId w:val="58"/>
        </w:numPr>
        <w:spacing w:lineRule="auto"/>
      </w:pPr>
      <w:r>
        <w:rPr>
          <w:b/>
        </w:rPr>
        <w:t xml:space="preserve">Public-private care service balance</w:t>
      </w:r>
      <w:r>
        <w:rPr/>
        <w:t xml:space="preserve">: Degree to which responsibility for elderly care should shift from public systems to private and family provision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9" w:name="vii_synthesis_and_forward_looking_f95c2a"/>
      <w:r>
        <w:rPr>
          <w:b/>
          <w:sz w:val="42"/>
        </w:rPr>
        <w:t xml:space="preserve">VII. SYNTHESIS AND FORWARD-LOOKING ASSESSMENT</w:t>
      </w:r>
      <w:bookmarkEnd w:id="69"/>
    </w:p>
    <w:p>
      <w:pPr>
        <w:spacing w:line="271" w:before="240" w:lineRule="auto"/>
      </w:pPr>
      <w:bookmarkStart w:id="70" w:name="vii_a_central_market_growth_thesis"/>
      <w:r>
        <w:rPr>
          <w:b/>
          <w:sz w:val="33"/>
        </w:rPr>
        <w:t xml:space="preserve">VII.A. Central Market Growth Thesis</w:t>
      </w:r>
      <w:bookmarkEnd w:id="70"/>
    </w:p>
    <w:p>
      <w:pPr>
        <w:spacing w:after="210" w:lineRule="auto"/>
      </w:pPr>
      <w:r>
        <w:rPr>
          <w:rFonts w:eastAsia="Georgia" w:cs="Georgia" w:ascii="Georgia" w:hAnsi="Georgia"/>
        </w:rPr>
        <w:t xml:space="preserve">Japan's elderly demographic market is projected to expand from ¥96.4 trillion (2023) to ¥142–172 trillion (2050)—a 48–78% increase representing an annualized growth rate of 1.6–2.3%. This growth trajectory, while substantial in absolute terms, reflects:</w:t>
      </w:r>
    </w:p>
    <w:p>
      <w:pPr>
        <w:numPr>
          <w:ilvl w:val="0"/>
          <w:numId w:val="59"/>
        </w:numPr>
        <w:spacing w:lineRule="auto"/>
      </w:pPr>
      <w:r>
        <w:rPr>
          <w:b/>
        </w:rPr>
        <w:t xml:space="preserve">Demographic expansion through 2043</w:t>
      </w:r>
      <w:r>
        <w:rPr/>
        <w:t xml:space="preserve">: Absolute elderly population growth through 2043 (peak of 39.35 million) drives incremental market demand</w:t>
      </w:r>
    </w:p>
    <w:p>
      <w:pPr>
        <w:numPr>
          <w:ilvl w:val="0"/>
          <w:numId w:val="59"/>
        </w:numPr>
        <w:spacing w:lineRule="auto"/>
      </w:pPr>
      <w:r>
        <w:rPr>
          <w:b/>
        </w:rPr>
        <w:t xml:space="preserve">Dependency ratio deterioration creating fiscal pressures</w:t>
      </w:r>
      <w:r>
        <w:rPr/>
        <w:t xml:space="preserve">: Contracting working-age population relative to elderly creates structural fiscal challenges, potentially constraining per-capita service growth and reimbursement rate escalation</w:t>
      </w:r>
    </w:p>
    <w:p>
      <w:pPr>
        <w:numPr>
          <w:ilvl w:val="0"/>
          <w:numId w:val="59"/>
        </w:numPr>
        <w:spacing w:lineRule="auto"/>
      </w:pPr>
      <w:r>
        <w:rPr>
          <w:b/>
        </w:rPr>
        <w:t xml:space="preserve">Technology integration opportunities</w:t>
      </w:r>
      <w:r>
        <w:rPr>
          <w:rFonts w:eastAsia="Georgia" w:cs="Georgia" w:ascii="Georgia" w:hAnsi="Georgia"/>
        </w:rPr>
        <w:t xml:space="preserve">: Robotics, AI monitoring, and digital health technologies create supplementary markets alongside traditional services, with potential CAGRs of 5–12% in innovative subsectors</w:t>
      </w:r>
    </w:p>
    <w:p>
      <w:pPr>
        <w:numPr>
          <w:ilvl w:val="0"/>
          <w:numId w:val="59"/>
        </w:numPr>
        <w:spacing w:lineRule="auto"/>
      </w:pPr>
      <w:r>
        <w:rPr>
          <w:b/>
        </w:rPr>
        <w:t xml:space="preserve">Sectoral heterogeneity</w:t>
      </w:r>
      <w:r>
        <w:rPr>
          <w:rFonts w:eastAsia="Georgia" w:cs="Georgia" w:ascii="Georgia" w:hAnsi="Georgia"/>
        </w:rPr>
        <w:t xml:space="preserve">: Growth rates vary materially across sectors—healthcare (1.0–1.9%), long-term care (1.8–2.3%), and lifestyle industries (1.6–2.5%)—with emerging subsectors (conversation services, robotics) experiencing higher growth</w:t>
      </w:r>
    </w:p>
    <w:p>
      <w:pPr>
        <w:spacing w:line="271" w:before="240" w:lineRule="auto"/>
      </w:pPr>
      <w:bookmarkStart w:id="71" w:name="vii_b_strategic_implications_for_e04589"/>
      <w:r>
        <w:rPr>
          <w:b/>
          <w:sz w:val="33"/>
        </w:rPr>
        <w:t xml:space="preserve">VII.B. Strategic Implications for Market Participants</w:t>
      </w:r>
      <w:bookmarkEnd w:id="71"/>
    </w:p>
    <w:p>
      <w:pPr>
        <w:spacing w:line="271" w:before="240" w:lineRule="auto"/>
      </w:pPr>
      <w:bookmarkStart w:id="72" w:name="vii_b_1_pharmaceutical_and_biotec_4a23ca"/>
      <w:r>
        <w:rPr>
          <w:b/>
          <w:sz w:val="28"/>
        </w:rPr>
        <w:t xml:space="preserve">VII.B.1. Pharmaceutical and Biotech Companies</w:t>
      </w:r>
      <w:bookmarkEnd w:id="72"/>
    </w:p>
    <w:p>
      <w:pPr>
        <w:numPr>
          <w:ilvl w:val="0"/>
          <w:numId w:val="60"/>
        </w:numPr>
        <w:spacing w:lineRule="auto"/>
      </w:pPr>
      <w:r>
        <w:rPr>
          <w:b/>
        </w:rPr>
        <w:t xml:space="preserve">Opportunity</w:t>
      </w:r>
      <w:r>
        <w:rPr/>
        <w:t xml:space="preserve">: Sustained demand for elderly-directed therapeutics (cardiovascular, metabolic, neurodegenerative) ensures market growth independent of macroeconomic conditions</w:t>
      </w:r>
    </w:p>
    <w:p>
      <w:pPr>
        <w:numPr>
          <w:ilvl w:val="0"/>
          <w:numId w:val="60"/>
        </w:numPr>
        <w:spacing w:lineRule="auto"/>
      </w:pPr>
      <w:r>
        <w:rPr>
          <w:b/>
        </w:rPr>
        <w:t xml:space="preserve">Risk</w:t>
      </w:r>
      <w:r>
        <w:rPr/>
        <w:t xml:space="preserve">: Public reimbursement pressures and generic competition limit pricing power; HTA mechanisms increasingly stringent</w:t>
      </w:r>
    </w:p>
    <w:p>
      <w:pPr>
        <w:numPr>
          <w:ilvl w:val="0"/>
          <w:numId w:val="60"/>
        </w:numPr>
        <w:spacing w:lineRule="auto"/>
      </w:pPr>
      <w:r>
        <w:rPr>
          <w:b/>
        </w:rPr>
        <w:t xml:space="preserve">Strategic positioning</w:t>
      </w:r>
      <w:r>
        <w:rPr/>
        <w:t xml:space="preserve">: Companies investing in geriatric-appropriate drug formulations, polypharmacy management solutions, and AI-enabled diagnostics may capture premium segments</w:t>
      </w:r>
    </w:p>
    <w:p>
      <w:pPr>
        <w:spacing w:line="271" w:before="240" w:lineRule="auto"/>
      </w:pPr>
      <w:bookmarkStart w:id="73" w:name="vii_b_2_care_service_operators_an_85a842"/>
      <w:r>
        <w:rPr>
          <w:b/>
          <w:sz w:val="28"/>
        </w:rPr>
        <w:t xml:space="preserve">VII.B.2. Care Service Operators and Facility Developers</w:t>
      </w:r>
      <w:bookmarkEnd w:id="73"/>
    </w:p>
    <w:p>
      <w:pPr>
        <w:numPr>
          <w:ilvl w:val="0"/>
          <w:numId w:val="61"/>
        </w:numPr>
        <w:spacing w:lineRule="auto"/>
      </w:pPr>
      <w:r>
        <w:rPr>
          <w:b/>
        </w:rPr>
        <w:t xml:space="preserve">Opportunity</w:t>
      </w:r>
      <w:r>
        <w:rPr/>
        <w:t xml:space="preserve">: Structural demand growth, particularly in skilled nursing and assisted living, creates market expansion opportunity</w:t>
      </w:r>
    </w:p>
    <w:p>
      <w:pPr>
        <w:numPr>
          <w:ilvl w:val="0"/>
          <w:numId w:val="61"/>
        </w:numPr>
        <w:spacing w:lineRule="auto"/>
      </w:pPr>
      <w:r>
        <w:rPr>
          <w:b/>
        </w:rPr>
        <w:t xml:space="preserve">Risk</w:t>
      </w:r>
      <w:r>
        <w:rPr/>
        <w:t xml:space="preserve">: Labor shortages, wage escalation pressures, and reimbursement rate compression constrain operator profitability; small-scale operators face consolidation pressure</w:t>
      </w:r>
    </w:p>
    <w:p>
      <w:pPr>
        <w:numPr>
          <w:ilvl w:val="0"/>
          <w:numId w:val="61"/>
        </w:numPr>
        <w:spacing w:lineRule="auto"/>
      </w:pPr>
      <w:r>
        <w:rPr>
          <w:b/>
        </w:rPr>
        <w:t xml:space="preserve">Strategic positioning</w:t>
      </w:r>
      <w:r>
        <w:rPr/>
        <w:t xml:space="preserve">: Operators investing in technology integration, standardized care protocols, and international recruitment may achieve scale and efficiency advantages; alternatively, boutique providers serving high-income elderly may differentiate through premium service positioning</w:t>
      </w:r>
    </w:p>
    <w:p>
      <w:pPr>
        <w:spacing w:line="271" w:before="240" w:lineRule="auto"/>
      </w:pPr>
      <w:bookmarkStart w:id="74" w:name="vii_b_3_robotics_and_technology_c_6a8896"/>
      <w:r>
        <w:rPr>
          <w:b/>
          <w:sz w:val="28"/>
        </w:rPr>
        <w:t xml:space="preserve">VII.B.3. Robotics and Technology Companies</w:t>
      </w:r>
      <w:bookmarkEnd w:id="74"/>
    </w:p>
    <w:p>
      <w:pPr>
        <w:numPr>
          <w:ilvl w:val="0"/>
          <w:numId w:val="62"/>
        </w:numPr>
        <w:spacing w:lineRule="auto"/>
      </w:pPr>
      <w:r>
        <w:rPr>
          <w:b/>
        </w:rPr>
        <w:t xml:space="preserve">Opportunity</w:t>
      </w:r>
      <w:r>
        <w:rPr>
          <w:rFonts w:eastAsia="Georgia" w:cs="Georgia" w:ascii="Georgia" w:hAnsi="Georgia"/>
        </w:rPr>
        <w:t xml:space="preserve">: High-growth subsector (5–12% CAGR) addressing acute labor shortages; strong government support through subsidies and regulatory streamlining; international export potential as other nations age</w:t>
      </w:r>
    </w:p>
    <w:p>
      <w:pPr>
        <w:numPr>
          <w:ilvl w:val="0"/>
          <w:numId w:val="62"/>
        </w:numPr>
        <w:spacing w:lineRule="auto"/>
      </w:pPr>
      <w:r>
        <w:rPr>
          <w:b/>
        </w:rPr>
        <w:t xml:space="preserve">Risk</w:t>
      </w:r>
      <w:r>
        <w:rPr/>
        <w:t xml:space="preserve">: Capital cost justification challenges, technology maturation requirements, and regulatory approval complexities; consumer acceptance concerns regarding automation-intensive care</w:t>
      </w:r>
    </w:p>
    <w:p>
      <w:pPr>
        <w:numPr>
          <w:ilvl w:val="0"/>
          <w:numId w:val="62"/>
        </w:numPr>
        <w:spacing w:lineRule="auto"/>
      </w:pPr>
      <w:r>
        <w:rPr>
          <w:b/>
        </w:rPr>
        <w:t xml:space="preserve">Strategic positioning</w:t>
      </w:r>
      <w:r>
        <w:rPr/>
        <w:t xml:space="preserve">: Companies demonstrating clear ROI (cost reduction or outcome improvement), achieving regulatory clearance, and engaging care providers in implementation partnerships may achieve rapid market penetration</w:t>
      </w:r>
    </w:p>
    <w:p>
      <w:pPr>
        <w:spacing w:line="271" w:before="240" w:lineRule="auto"/>
      </w:pPr>
      <w:bookmarkStart w:id="75" w:name="vii_b_4_real_estate_and_senior_ho_7d5165"/>
      <w:r>
        <w:rPr>
          <w:b/>
          <w:sz w:val="28"/>
        </w:rPr>
        <w:t xml:space="preserve">VII.B.4. Real Estate and Senior Housing Developers</w:t>
      </w:r>
      <w:bookmarkEnd w:id="75"/>
    </w:p>
    <w:p>
      <w:pPr>
        <w:numPr>
          <w:ilvl w:val="0"/>
          <w:numId w:val="63"/>
        </w:numPr>
        <w:spacing w:lineRule="auto"/>
      </w:pPr>
      <w:r>
        <w:rPr>
          <w:b/>
        </w:rPr>
        <w:t xml:space="preserve">Opportunity</w:t>
      </w:r>
      <w:r>
        <w:rPr/>
        <w:t xml:space="preserve">: Demographic expansion and asset availability (elderly household wealth) support senior housing development, particularly in urban markets</w:t>
      </w:r>
    </w:p>
    <w:p>
      <w:pPr>
        <w:numPr>
          <w:ilvl w:val="0"/>
          <w:numId w:val="63"/>
        </w:numPr>
        <w:spacing w:lineRule="auto"/>
      </w:pPr>
      <w:r>
        <w:rPr>
          <w:b/>
        </w:rPr>
        <w:t xml:space="preserve">Risk</w:t>
      </w:r>
      <w:r>
        <w:rPr/>
        <w:t xml:space="preserve">: High land costs, zoning restrictions, and occupancy rate sensitivity constrain profitability; regulatory compliance complexity</w:t>
      </w:r>
    </w:p>
    <w:p>
      <w:pPr>
        <w:numPr>
          <w:ilvl w:val="0"/>
          <w:numId w:val="63"/>
        </w:numPr>
        <w:spacing w:lineRule="auto"/>
      </w:pPr>
      <w:r>
        <w:rPr>
          <w:b/>
        </w:rPr>
        <w:t xml:space="preserve">Strategic positioning</w:t>
      </w:r>
      <w:r>
        <w:rPr/>
        <w:t xml:space="preserve">: Developers capturing attractive land, obtaining regulatory approvals early, and creating compelling lifestyle amenities may capture premium pricing from affluent elderly cohorts</w:t>
      </w:r>
    </w:p>
    <w:p>
      <w:pPr>
        <w:spacing w:line="271" w:before="240" w:lineRule="auto"/>
      </w:pPr>
      <w:bookmarkStart w:id="76" w:name="vii_c_policy_considerations_for_s_d8bb3e"/>
      <w:r>
        <w:rPr>
          <w:b/>
          <w:sz w:val="33"/>
        </w:rPr>
        <w:t xml:space="preserve">VII.C. Policy Considerations for Stakeholders and Government</w:t>
      </w:r>
      <w:bookmarkEnd w:id="76"/>
    </w:p>
    <w:p>
      <w:pPr>
        <w:spacing w:line="271" w:before="240" w:lineRule="auto"/>
      </w:pPr>
      <w:bookmarkStart w:id="77" w:name="vii_c_1_fiscal_sustainability_strategies"/>
      <w:r>
        <w:rPr>
          <w:b/>
          <w:sz w:val="28"/>
        </w:rPr>
        <w:t xml:space="preserve">VII.C.1. Fiscal Sustainability Strategies</w:t>
      </w:r>
      <w:bookmarkEnd w:id="77"/>
    </w:p>
    <w:p>
      <w:pPr>
        <w:spacing w:after="210" w:lineRule="auto"/>
      </w:pPr>
      <w:r>
        <w:rPr/>
        <w:t xml:space="preserve">Japan's government faces ongoing challenges in maintaining fiscal sustainability for public pension and healthcare systems under dependency ratio deterioration. Potential strategies, each with distinct trade-offs: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Strategy</w:t>
            </w:r>
          </w:p>
        </w:tc>
        <w:tc>
          <w:tcPr>
            <w:tcBorders>
              <w:top w:val="single" w:sz="1" w:space="0" w:color="000000"/>
              <w:left w:val="single" w:sz="1" w:space="0" w:color="000000"/>
              <w:bottom w:val="single" w:sz="1" w:space="0" w:color="000000"/>
            </w:tcBorders>
          </w:tcPr>
          <w:p>
            <w:pPr>
              <w:spacing w:lineRule="auto"/>
            </w:pPr>
            <w:r>
              <w:rPr/>
              <w:t xml:space="preserve">Potential Effects</w:t>
            </w:r>
          </w:p>
        </w:tc>
        <w:tc>
          <w:tcPr>
            <w:tcBorders>
              <w:top w:val="single" w:sz="1" w:space="0" w:color="000000"/>
              <w:left w:val="single" w:sz="1" w:space="0" w:color="000000"/>
              <w:bottom w:val="single" w:sz="1" w:space="0" w:color="000000"/>
            </w:tcBorders>
          </w:tcPr>
          <w:p>
            <w:pPr>
              <w:spacing w:lineRule="auto"/>
            </w:pPr>
            <w:r>
              <w:rPr/>
              <w:t xml:space="preserve">Trade-Offs</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Gradual retirement age increases (to 67–70)</w:t>
            </w:r>
          </w:p>
        </w:tc>
        <w:tc>
          <w:tcPr>
            <w:tcBorders>
              <w:top w:val="single" w:sz="1" w:space="0" w:color="000000"/>
              <w:left w:val="single" w:sz="1" w:space="0" w:color="000000"/>
              <w:bottom w:val="single" w:sz="1" w:space="0" w:color="000000"/>
            </w:tcBorders>
          </w:tcPr>
          <w:p>
            <w:pPr>
              <w:spacing w:lineRule="auto"/>
            </w:pPr>
            <w:r>
              <w:rPr/>
              <w:t xml:space="preserve">Extends working years, reduces per-capita benefit duration</w:t>
            </w:r>
          </w:p>
        </w:tc>
        <w:tc>
          <w:tcPr>
            <w:tcBorders>
              <w:top w:val="single" w:sz="1" w:space="0" w:color="000000"/>
              <w:left w:val="single" w:sz="1" w:space="0" w:color="000000"/>
              <w:bottom w:val="single" w:sz="1" w:space="0" w:color="000000"/>
            </w:tcBorders>
          </w:tcPr>
          <w:p>
            <w:pPr>
              <w:spacing w:lineRule="auto"/>
            </w:pPr>
            <w:r>
              <w:rPr/>
              <w:t xml:space="preserve">May create age discrimination; functional disabilities limit feasibility for manual workers</w:t>
            </w:r>
          </w:p>
        </w:tc>
      </w:tr>
      <w:tr>
        <w:trPr>
          <w:cantSplit/>
        </w:trPr>
        <w:tc>
          <w:tcPr>
            <w:tcBorders>
              <w:top w:val="single" w:sz="1" w:space="0" w:color="000000"/>
              <w:bottom w:val="single" w:sz="1" w:space="0" w:color="000000"/>
            </w:tcBorders>
          </w:tcPr>
          <w:p>
            <w:pPr>
              <w:spacing w:lineRule="auto"/>
            </w:pPr>
            <w:r>
              <w:rPr/>
              <w:t xml:space="preserve">Contribution rate increases (healthcare/pension payroll taxes)</w:t>
            </w:r>
          </w:p>
        </w:tc>
        <w:tc>
          <w:tcPr>
            <w:tcBorders>
              <w:top w:val="single" w:sz="1" w:space="0" w:color="000000"/>
              <w:left w:val="single" w:sz="1" w:space="0" w:color="000000"/>
              <w:bottom w:val="single" w:sz="1" w:space="0" w:color="000000"/>
            </w:tcBorders>
          </w:tcPr>
          <w:p>
            <w:pPr>
              <w:spacing w:lineRule="auto"/>
            </w:pPr>
            <w:r>
              <w:rPr/>
              <w:t xml:space="preserve">Distributes burden to working-age population</w:t>
            </w:r>
          </w:p>
        </w:tc>
        <w:tc>
          <w:tcPr>
            <w:tcBorders>
              <w:top w:val="single" w:sz="1" w:space="0" w:color="000000"/>
              <w:left w:val="single" w:sz="1" w:space="0" w:color="000000"/>
              <w:bottom w:val="single" w:sz="1" w:space="0" w:color="000000"/>
            </w:tcBorders>
          </w:tcPr>
          <w:p>
            <w:pPr>
              <w:spacing w:lineRule="auto"/>
            </w:pPr>
            <w:r>
              <w:rPr/>
              <w:t xml:space="preserve">May reduce labor force participation, competitiveness, wages; regressive impact on lower-income workers</w:t>
            </w:r>
          </w:p>
        </w:tc>
      </w:tr>
      <w:tr>
        <w:trPr>
          <w:cantSplit/>
        </w:trPr>
        <w:tc>
          <w:tcPr>
            <w:tcBorders>
              <w:top w:val="single" w:sz="1" w:space="0" w:color="000000"/>
              <w:bottom w:val="single" w:sz="1" w:space="0" w:color="000000"/>
            </w:tcBorders>
          </w:tcPr>
          <w:p>
            <w:pPr>
              <w:spacing w:lineRule="auto"/>
            </w:pPr>
            <w:r>
              <w:rPr/>
              <w:t xml:space="preserve">Benefit adjustments and means-testing</w:t>
            </w:r>
          </w:p>
        </w:tc>
        <w:tc>
          <w:tcPr>
            <w:tcBorders>
              <w:top w:val="single" w:sz="1" w:space="0" w:color="000000"/>
              <w:left w:val="single" w:sz="1" w:space="0" w:color="000000"/>
              <w:bottom w:val="single" w:sz="1" w:space="0" w:color="000000"/>
            </w:tcBorders>
          </w:tcPr>
          <w:p>
            <w:pPr>
              <w:spacing w:lineRule="auto"/>
            </w:pPr>
            <w:r>
              <w:rPr/>
              <w:t xml:space="preserve">Targets transfers to lower-income elderly; improves fiscal targeting</w:t>
            </w:r>
          </w:p>
        </w:tc>
        <w:tc>
          <w:tcPr>
            <w:tcBorders>
              <w:top w:val="single" w:sz="1" w:space="0" w:color="000000"/>
              <w:left w:val="single" w:sz="1" w:space="0" w:color="000000"/>
              <w:bottom w:val="single" w:sz="1" w:space="0" w:color="000000"/>
            </w:tcBorders>
          </w:tcPr>
          <w:p>
            <w:pPr>
              <w:spacing w:lineRule="auto"/>
            </w:pPr>
            <w:r>
              <w:rPr/>
              <w:t xml:space="preserve">May reduce political legitimacy of social insurance; creates work disincentives among near-elderly</w:t>
            </w:r>
          </w:p>
        </w:tc>
      </w:tr>
      <w:tr>
        <w:trPr>
          <w:cantSplit/>
        </w:trPr>
        <w:tc>
          <w:tcPr>
            <w:tcBorders>
              <w:top w:val="single" w:sz="1" w:space="0" w:color="000000"/>
              <w:bottom w:val="single" w:sz="1" w:space="0" w:color="000000"/>
            </w:tcBorders>
          </w:tcPr>
          <w:p>
            <w:pPr>
              <w:spacing w:lineRule="auto"/>
            </w:pPr>
            <w:r>
              <w:rPr/>
              <w:t xml:space="preserve">Public-private responsibility rebalancing</w:t>
            </w:r>
          </w:p>
        </w:tc>
        <w:tc>
          <w:tcPr>
            <w:tcBorders>
              <w:top w:val="single" w:sz="1" w:space="0" w:color="000000"/>
              <w:left w:val="single" w:sz="1" w:space="0" w:color="000000"/>
              <w:bottom w:val="single" w:sz="1" w:space="0" w:color="000000"/>
            </w:tcBorders>
          </w:tcPr>
          <w:p>
            <w:pPr>
              <w:spacing w:lineRule="auto"/>
            </w:pPr>
            <w:r>
              <w:rPr/>
              <w:t xml:space="preserve">Increases family and private-market role; reduces public fiscal burden</w:t>
            </w:r>
          </w:p>
        </w:tc>
        <w:tc>
          <w:tcPr>
            <w:tcBorders>
              <w:top w:val="single" w:sz="1" w:space="0" w:color="000000"/>
              <w:left w:val="single" w:sz="1" w:space="0" w:color="000000"/>
              <w:bottom w:val="single" w:sz="1" w:space="0" w:color="000000"/>
            </w:tcBorders>
          </w:tcPr>
          <w:p>
            <w:pPr>
              <w:spacing w:lineRule="auto"/>
            </w:pPr>
            <w:r>
              <w:rPr/>
              <w:t xml:space="preserve">May increase inequality in elderly care access; erodes social insurance social contract</w:t>
            </w:r>
          </w:p>
        </w:tc>
      </w:tr>
      <w:tr>
        <w:trPr>
          <w:cantSplit/>
        </w:trPr>
        <w:tc>
          <w:tcPr>
            <w:tcBorders>
              <w:top w:val="single" w:sz="1" w:space="0" w:color="000000"/>
              <w:bottom w:val="single" w:sz="1" w:space="0" w:color="000000"/>
            </w:tcBorders>
          </w:tcPr>
          <w:p>
            <w:pPr>
              <w:spacing w:lineRule="auto"/>
            </w:pPr>
            <w:r>
              <w:rPr/>
              <w:t xml:space="preserve">Immigration and labor force expansion</w:t>
            </w:r>
          </w:p>
        </w:tc>
        <w:tc>
          <w:tcPr>
            <w:tcBorders>
              <w:top w:val="single" w:sz="1" w:space="0" w:color="000000"/>
              <w:left w:val="single" w:sz="1" w:space="0" w:color="000000"/>
              <w:bottom w:val="single" w:sz="1" w:space="0" w:color="000000"/>
            </w:tcBorders>
          </w:tcPr>
          <w:p>
            <w:pPr>
              <w:spacing w:lineRule="auto"/>
            </w:pPr>
            <w:r>
              <w:rPr/>
              <w:t xml:space="preserve">Increases contribution base, reduces dependency ratio</w:t>
            </w:r>
          </w:p>
        </w:tc>
        <w:tc>
          <w:tcPr>
            <w:tcBorders>
              <w:top w:val="single" w:sz="1" w:space="0" w:color="000000"/>
              <w:left w:val="single" w:sz="1" w:space="0" w:color="000000"/>
              <w:bottom w:val="single" w:sz="1" w:space="0" w:color="000000"/>
            </w:tcBorders>
          </w:tcPr>
          <w:p>
            <w:pPr>
              <w:spacing w:lineRule="auto"/>
            </w:pPr>
            <w:r>
              <w:rPr/>
              <w:t xml:space="preserve">Raises social integration challenges, wage competition concerns; modest scale relative to need</w:t>
            </w:r>
          </w:p>
        </w:tc>
      </w:tr>
    </w:tbl>
    <w:p>
      <w:pPr>
        <w:spacing w:lineRule="auto"/>
      </w:pPr>
    </w:p>
    <w:p>
      <w:pPr>
        <w:spacing w:line="271" w:before="240" w:lineRule="auto"/>
      </w:pPr>
      <w:bookmarkStart w:id="78" w:name="vii_c_2_technology_adoption_facilitation"/>
      <w:r>
        <w:rPr>
          <w:b/>
          <w:sz w:val="28"/>
        </w:rPr>
        <w:t xml:space="preserve">VII.C.2. Technology Adoption Facilitation</w:t>
      </w:r>
      <w:bookmarkEnd w:id="78"/>
    </w:p>
    <w:p>
      <w:pPr>
        <w:spacing w:after="210" w:lineRule="auto"/>
      </w:pPr>
      <w:r>
        <w:rPr/>
        <w:t xml:space="preserve">Government policies facilitating technology adoption (subsidies, regulatory streamlining, public-private partnerships) may enhance productivity and care quality. However, care must be taken to:</w:t>
      </w:r>
    </w:p>
    <w:p>
      <w:pPr>
        <w:numPr>
          <w:ilvl w:val="0"/>
          <w:numId w:val="64"/>
        </w:numPr>
        <w:spacing w:lineRule="auto"/>
      </w:pPr>
      <w:r>
        <w:rPr/>
        <w:t xml:space="preserve">Ensure equitable access across socioeconomic strata, preventing digital divide in elderly care quality</w:t>
      </w:r>
    </w:p>
    <w:p>
      <w:pPr>
        <w:numPr>
          <w:ilvl w:val="0"/>
          <w:numId w:val="64"/>
        </w:numPr>
        <w:spacing w:lineRule="auto"/>
      </w:pPr>
      <w:r>
        <w:rPr/>
        <w:t xml:space="preserve">Establish robust cybersecurity and data privacy safeguards as IoT and AI monitoring systems proliferate</w:t>
      </w:r>
    </w:p>
    <w:p>
      <w:pPr>
        <w:numPr>
          <w:ilvl w:val="0"/>
          <w:numId w:val="64"/>
        </w:numPr>
        <w:spacing w:lineRule="auto"/>
      </w:pPr>
      <w:r>
        <w:rPr/>
        <w:t xml:space="preserve">Maintain emphasis on human contact and relationship in elderly care despite automation temptations</w:t>
      </w:r>
    </w:p>
    <w:p>
      <w:pPr>
        <w:numPr>
          <w:ilvl w:val="0"/>
          <w:numId w:val="64"/>
        </w:numPr>
        <w:spacing w:lineRule="auto"/>
      </w:pPr>
      <w:r>
        <w:rPr/>
        <w:t xml:space="preserve">Support care workforce transitions through training and wage adjustment policies</w:t>
      </w:r>
    </w:p>
    <w:p>
      <w:pPr>
        <w:spacing w:line="271" w:before="240" w:lineRule="auto"/>
      </w:pPr>
      <w:bookmarkStart w:id="79" w:name="vii_c_3_healthy_aging_and_prevent_ec2fde"/>
      <w:r>
        <w:rPr>
          <w:b/>
          <w:sz w:val="28"/>
        </w:rPr>
        <w:t xml:space="preserve">VII.C.3. Healthy Aging and Prevention Investment</w:t>
      </w:r>
      <w:bookmarkEnd w:id="79"/>
    </w:p>
    <w:p>
      <w:pPr>
        <w:spacing w:after="210" w:lineRule="auto"/>
      </w:pPr>
      <w:r>
        <w:rPr/>
        <w:t xml:space="preserve">Public health investments promoting healthy aging (physical activity, cognitive engagement, nutritional guidance, early chronic disease detection) may offer high returns by compressing morbidity and extending healthy functional years. Such investments may be cost-effective relative to treatment-focused healthcare expenditures.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0" w:name="viii_conclusion"/>
      <w:r>
        <w:rPr>
          <w:b/>
          <w:sz w:val="42"/>
        </w:rPr>
        <w:t xml:space="preserve">VIII. CONCLUSION</w:t>
      </w:r>
      <w:bookmarkEnd w:id="80"/>
    </w:p>
    <w:p>
      <w:pPr>
        <w:spacing w:after="210" w:lineRule="auto"/>
      </w:pPr>
      <w:r>
        <w:rPr>
          <w:rFonts w:eastAsia="Georgia" w:cs="Georgia" w:ascii="Georgia" w:hAnsi="Georgia"/>
        </w:rPr>
        <w:t xml:space="preserve">Japan's elderly demographic market represents a defining economic and social challenge of the 21st century. The demographic transition—from 28.6% elderly in 2020 to projected 36.1% by 2050—is unprecedented in scale and speed, creating both substantial market opportunities and structural economic pressures.</w:t>
      </w:r>
    </w:p>
    <w:p>
      <w:pPr>
        <w:spacing w:after="210" w:lineRule="auto"/>
      </w:pPr>
      <w:r>
        <w:rPr>
          <w:rFonts w:eastAsia="Georgia" w:cs="Georgia" w:ascii="Georgia" w:hAnsi="Georgia"/>
        </w:rPr>
        <w:t xml:space="preserve">The elderly market is projected to expand from ¥96.4 trillion in 2023 to ¥142–172 trillion by 2050, driven by demographic aging through 2043, formal service substitution for family care, and technology integration. However, this expansion occurs within the context of a shrinking working-age population and deteriorating dependency ratios (from 2.1 to 1.3 working-age per elderly person), creating zero-sum fiscal pressures on public systems.</w:t>
      </w:r>
    </w:p>
    <w:p>
      <w:pPr>
        <w:spacing w:after="210" w:lineRule="auto"/>
      </w:pPr>
      <w:r>
        <w:rPr>
          <w:b/>
        </w:rPr>
        <w:t xml:space="preserve">Strategic insights:</w:t>
      </w:r>
    </w:p>
    <w:p>
      <w:pPr>
        <w:numPr>
          <w:ilvl w:val="0"/>
          <w:numId w:val="65"/>
        </w:numPr>
        <w:spacing w:after="210" w:lineRule="auto"/>
      </w:pPr>
      <w:r>
        <w:rPr>
          <w:b/>
        </w:rPr>
        <w:t xml:space="preserve">Sectoral heterogeneity</w:t>
      </w:r>
      <w:r>
        <w:rPr>
          <w:rFonts w:eastAsia="Georgia" w:cs="Georgia" w:ascii="Georgia" w:hAnsi="Georgia"/>
        </w:rPr>
        <w:t xml:space="preserve">: Growth opportunities are concentrated in technology-intensive subsectors (robotics, AI monitoring, conversation services) with CAGRs of 5–12%, while traditional healthcare and care services grow more slowly (1.0–2.3% CAGR)</w:t>
      </w:r>
    </w:p>
    <w:p>
      <w:pPr>
        <w:numPr>
          <w:ilvl w:val="0"/>
          <w:numId w:val="65"/>
        </w:numPr>
        <w:spacing w:after="210" w:lineRule="auto"/>
      </w:pPr>
      <w:r>
        <w:rPr>
          <w:b/>
        </w:rPr>
        <w:t xml:space="preserve">Technology as labor complement, not substitute</w:t>
      </w:r>
      <w:r>
        <w:rPr/>
        <w:t xml:space="preserve">: Robotics and AI systems offer potential to extend caregiver capacity without replacing human interaction, addressing acute labor shortages without sacrificing care quality</w:t>
      </w:r>
    </w:p>
    <w:p>
      <w:pPr>
        <w:numPr>
          <w:ilvl w:val="0"/>
          <w:numId w:val="65"/>
        </w:numPr>
        <w:spacing w:after="210" w:lineRule="auto"/>
      </w:pPr>
      <w:r>
        <w:rPr>
          <w:b/>
        </w:rPr>
        <w:t xml:space="preserve">Policy leverage through healthy aging</w:t>
      </w:r>
      <w:r>
        <w:rPr/>
        <w:t xml:space="preserve">: Public health investments promoting healthy aging may have disproportionate returns by compressing morbidity and extending functional independence</w:t>
      </w:r>
    </w:p>
    <w:p>
      <w:pPr>
        <w:numPr>
          <w:ilvl w:val="0"/>
          <w:numId w:val="65"/>
        </w:numPr>
        <w:spacing w:after="210" w:lineRule="auto"/>
      </w:pPr>
      <w:r>
        <w:rPr>
          <w:b/>
        </w:rPr>
        <w:t xml:space="preserve">Fiscal sustainability interdependence</w:t>
      </w:r>
      <w:r>
        <w:rPr/>
        <w:t xml:space="preserve">: Elderly market sustainability depends fundamentally on public pension and healthcare system viability; fiscal reforms (contribution increases, benefit adjustments, retirement age increases) are prerequisites for market stability</w:t>
      </w:r>
    </w:p>
    <w:p>
      <w:pPr>
        <w:numPr>
          <w:ilvl w:val="0"/>
          <w:numId w:val="65"/>
        </w:numPr>
        <w:spacing w:after="210" w:lineRule="auto"/>
      </w:pPr>
      <w:r>
        <w:rPr>
          <w:b/>
        </w:rPr>
        <w:t xml:space="preserve">Society 5.0 integration</w:t>
      </w:r>
      <w:r>
        <w:rPr/>
        <w:t xml:space="preserve">: Explicit government linkage of elderly care innovation to Society 5.0 framework positions elderly care as pilot domain for broader digital transformation, with potential spillover benefits to other sectors</w:t>
      </w:r>
    </w:p>
    <w:p>
      <w:pPr>
        <w:spacing w:after="210" w:lineRule="auto"/>
      </w:pPr>
      <w:r>
        <w:rPr>
          <w:rFonts w:eastAsia="Georgia" w:cs="Georgia" w:ascii="Georgia" w:hAnsi="Georgia"/>
        </w:rPr>
        <w:t xml:space="preserve">Japan's experience as the world's most rapidly aging society offers lessons for other developed nations and emerging economies facing comparable demographic transitions. Success in addressing elderly care challenges through technology, policy innovation, and sustained investment may position Japan as a global leader in longevity economy solutions—converting demographic challenge into strategic advantage.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1" w:name="references"/>
      <w:r>
        <w:rPr>
          <w:b/>
          <w:sz w:val="42"/>
        </w:rPr>
        <w:t xml:space="preserve">References</w:t>
      </w:r>
      <w:bookmarkEnd w:id="81"/>
    </w:p>
    <w:p>
      <w:pPr>
        <w:spacing w:after="210" w:lineRule="auto"/>
      </w:pPr>
      <w:r>
        <w:rPr/>
        <w:t xml:space="preserve">[1] Ministry of Internal Affairs and Communications, Japan. (2024). Statistical Bureau: Population Census Data. </w:t>
      </w:r>
      <w:hyperlink r:id="rId5">
        <w:r>
          <w:rPr>
            <w:color w:val="4472C4"/>
          </w:rPr>
          <w:t xml:space="preserve">https://www.stat.go.jp/</w:t>
        </w:r>
      </w:hyperlink>
    </w:p>
    <w:p>
      <w:pPr>
        <w:spacing w:after="210" w:lineRule="auto"/>
      </w:pPr>
      <w:r>
        <w:rPr/>
        <w:t xml:space="preserve">[2] World Economic Forum. (2025). How Japan's longevity economy is creating new opportunities. Retrieved September 18, 2025, from </w:t>
      </w:r>
      <w:hyperlink r:id="rId6">
        <w:r>
          <w:rPr>
            <w:color w:val="4472C4"/>
          </w:rPr>
          <w:t xml:space="preserve">https://www.weforum.org/stories/2025/09/japans-longevity-economy/</w:t>
        </w:r>
      </w:hyperlink>
    </w:p>
    <w:p>
      <w:pPr>
        <w:spacing w:after="210" w:lineRule="auto"/>
      </w:pPr>
      <w:r>
        <w:rPr/>
        <w:t xml:space="preserve">[3] National Institute of Population and Social Security Research (IPSS). (2023). Population Projections for Japan (2023 revision): 2021 to 2070. Retrieved from </w:t>
      </w:r>
      <w:hyperlink r:id="rId7">
        <w:r>
          <w:rPr>
            <w:rFonts w:eastAsia="Georgia" w:cs="Georgia" w:ascii="Georgia" w:hAnsi="Georgia"/>
            <w:color w:val="4472C4"/>
          </w:rPr>
          <w:t xml:space="preserve">https://www.ipss.go.jp/pp-zenkoku/e/zenkoku_e2023/</w:t>
        </w:r>
      </w:hyperlink>
    </w:p>
    <w:p>
      <w:pPr>
        <w:spacing w:after="210" w:lineRule="auto"/>
      </w:pPr>
      <w:r>
        <w:rPr/>
        <w:t xml:space="preserve">[4] Mariye, A., Kusumastuti, W., Teo, K., &amp; Nakao, H. (2024). Geographic variation in inpatient medical expenditure among older adults in Japan. Frontiers in Public Health, 12, 1306013. </w:t>
      </w:r>
      <w:hyperlink r:id="rId8">
        <w:r>
          <w:rPr>
            <w:color w:val="4472C4"/>
          </w:rPr>
          <w:t xml:space="preserve">https://www.frontiersin.org/journals/public-health/articles/10.3389/fpubh.2024.1306013/</w:t>
        </w:r>
      </w:hyperlink>
    </w:p>
    <w:p>
      <w:pPr>
        <w:spacing w:after="210" w:lineRule="auto"/>
      </w:pPr>
      <w:r>
        <w:rPr/>
        <w:t xml:space="preserve">[5] Grand View Research. (2024). Japan Private Nursing Services Market Size &amp; Outlook, 2030. Retrieved from </w:t>
      </w:r>
      <w:hyperlink r:id="rId9">
        <w:r>
          <w:rPr>
            <w:color w:val="4472C4"/>
          </w:rPr>
          <w:t xml:space="preserve">https://www.grandviewresearch.com/horizon/outlook/private-nursing-services-market/japan</w:t>
        </w:r>
      </w:hyperlink>
    </w:p>
    <w:p>
      <w:pPr>
        <w:spacing w:after="210" w:lineRule="auto"/>
      </w:pPr>
      <w:r>
        <w:rPr/>
        <w:t xml:space="preserve">[6] World Health Organization, Western Pacific Regional Office. (2020). How will population ageing affect health expenditure trends in Japan? Policy Brief. Retrieved from </w:t>
      </w:r>
      <w:hyperlink r:id="rId10">
        <w:r>
          <w:rPr>
            <w:rFonts w:eastAsia="Georgia" w:cs="Georgia" w:ascii="Georgia" w:hAnsi="Georgia"/>
            <w:color w:val="4472C4"/>
          </w:rPr>
          <w:t xml:space="preserve">https://extranet.who.int/kobe_centre/</w:t>
        </w:r>
      </w:hyperlink>
    </w:p>
    <w:p>
      <w:pPr>
        <w:spacing w:after="210" w:lineRule="auto"/>
      </w:pPr>
      <w:r>
        <w:rPr/>
        <w:t xml:space="preserve">[7] Ministry of Health, Labour and Welfare. (2021). Long-Term Care Insurance Survey. Annual Report on Health and Welfare. Tokyo: Government of Japan.</w:t>
      </w:r>
    </w:p>
    <w:p>
      <w:pPr>
        <w:spacing w:after="210" w:lineRule="auto"/>
      </w:pPr>
      <w:r>
        <w:rPr/>
        <w:t xml:space="preserve">[8] Japanese Ministry of Health, Labour and Welfare. (2023). White Paper on Aging Society: Annual Report. Retrieved from </w:t>
      </w:r>
      <w:hyperlink r:id="rId11">
        <w:r>
          <w:rPr>
            <w:color w:val="4472C4"/>
          </w:rPr>
          <w:t xml:space="preserve">https://www.mhlw.go.jp/</w:t>
        </w:r>
      </w:hyperlink>
    </w:p>
    <w:p>
      <w:pPr>
        <w:spacing w:after="210" w:lineRule="auto"/>
      </w:pPr>
      <w:r>
        <w:rPr/>
        <w:t xml:space="preserve">[9] Demographic Challenge Institute. (2009). Silver Business in Japan. Retrieved from </w:t>
      </w:r>
      <w:hyperlink r:id="rId12">
        <w:r>
          <w:rPr>
            <w:rFonts w:eastAsia="Georgia" w:cs="Georgia" w:ascii="Georgia" w:hAnsi="Georgia"/>
            <w:color w:val="4472C4"/>
          </w:rPr>
          <w:t xml:space="preserve">https://demographic-challenge.com/files/downloads/6211018f987444a57eedb418895740ba/silver_japan_english20091203.pdf</w:t>
        </w:r>
      </w:hyperlink>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decimal"/>
      <w:lvlText w:val="%1."/>
      <w:lvlJc w:val="left"/>
      <w:pPr>
        <w:tabs>
          <w:tab w:val="num" w:pos="1080"/>
        </w:tabs>
        <w:ind w:left="720" w:hanging="360"/>
      </w:pPr>
    </w:lvl>
  </w:abstractNum>
  <w:abstractNum w:abstractNumId="4">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decimal"/>
      <w:lvlText w:val="%1."/>
      <w:lvlJc w:val="left"/>
      <w:pPr>
        <w:tabs>
          <w:tab w:val="num" w:pos="1080"/>
        </w:tabs>
        <w:ind w:left="720" w:hanging="360"/>
      </w:pPr>
    </w:lvl>
  </w:abstractNum>
  <w:abstractNum w:abstractNumId="9">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decimal"/>
      <w:lvlText w:val="%1."/>
      <w:lvlJc w:val="left"/>
      <w:pPr>
        <w:tabs>
          <w:tab w:val="num" w:pos="1080"/>
        </w:tabs>
        <w:ind w:left="720" w:hanging="360"/>
      </w:p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decimal"/>
      <w:lvlText w:val="%1."/>
      <w:lvlJc w:val="left"/>
      <w:pPr>
        <w:tabs>
          <w:tab w:val="num" w:pos="1080"/>
        </w:tabs>
        <w:ind w:left="720" w:hanging="360"/>
      </w:p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decimal"/>
      <w:lvlText w:val="%1."/>
      <w:lvlJc w:val="left"/>
      <w:pPr>
        <w:tabs>
          <w:tab w:val="num" w:pos="1080"/>
        </w:tabs>
        <w:ind w:left="720" w:hanging="360"/>
      </w:p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8">
    <w:multiLevelType w:val="hybridMultilevel"/>
    <w:lvl w:ilvl="0">
      <w:start w:val="1"/>
      <w:numFmt w:val="decimal"/>
      <w:lvlText w:val="%1."/>
      <w:lvlJc w:val="left"/>
      <w:pPr>
        <w:tabs>
          <w:tab w:val="num" w:pos="1080"/>
        </w:tabs>
        <w:ind w:left="720" w:hanging="360"/>
      </w:pPr>
    </w:lvl>
  </w:abstractNum>
  <w:abstractNum w:abstractNumId="2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4">
    <w:multiLevelType w:val="hybridMultilevel"/>
    <w:lvl w:ilvl="0">
      <w:start w:val="1"/>
      <w:numFmt w:val="decimal"/>
      <w:lvlText w:val="%1."/>
      <w:lvlJc w:val="left"/>
      <w:pPr>
        <w:tabs>
          <w:tab w:val="num" w:pos="1080"/>
        </w:tabs>
        <w:ind w:left="720" w:hanging="360"/>
      </w:pPr>
    </w:lvl>
  </w:abstractNum>
  <w:abstractNum w:abstractNumId="35">
    <w:multiLevelType w:val="hybridMultilevel"/>
    <w:lvl w:ilvl="0">
      <w:start w:val="1"/>
      <w:numFmt w:val="decimal"/>
      <w:lvlText w:val="%1."/>
      <w:lvlJc w:val="left"/>
      <w:pPr>
        <w:tabs>
          <w:tab w:val="num" w:pos="1080"/>
        </w:tabs>
        <w:ind w:left="720" w:hanging="360"/>
      </w:pPr>
    </w:lvl>
  </w:abstractNum>
  <w:abstractNum w:abstractNumId="36">
    <w:multiLevelType w:val="hybridMultilevel"/>
    <w:lvl w:ilvl="0">
      <w:start w:val="1"/>
      <w:numFmt w:val="decimal"/>
      <w:lvlText w:val="%1."/>
      <w:lvlJc w:val="left"/>
      <w:pPr>
        <w:tabs>
          <w:tab w:val="num" w:pos="1080"/>
        </w:tabs>
        <w:ind w:left="720" w:hanging="360"/>
      </w:pPr>
    </w:lvl>
  </w:abstractNum>
  <w:abstractNum w:abstractNumId="37">
    <w:multiLevelType w:val="hybridMultilevel"/>
    <w:lvl w:ilvl="0">
      <w:start w:val="1"/>
      <w:numFmt w:val="decimal"/>
      <w:lvlText w:val="%1."/>
      <w:lvlJc w:val="left"/>
      <w:pPr>
        <w:tabs>
          <w:tab w:val="num" w:pos="1080"/>
        </w:tabs>
        <w:ind w:left="720" w:hanging="360"/>
      </w:pPr>
    </w:lvl>
  </w:abstractNum>
  <w:abstractNum w:abstractNumId="3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3">
    <w:multiLevelType w:val="hybridMultilevel"/>
    <w:lvl w:ilvl="0">
      <w:start w:val="1"/>
      <w:numFmt w:val="decimal"/>
      <w:lvlText w:val="%1."/>
      <w:lvlJc w:val="left"/>
      <w:pPr>
        <w:tabs>
          <w:tab w:val="num" w:pos="1080"/>
        </w:tabs>
        <w:ind w:left="720" w:hanging="360"/>
      </w:pPr>
    </w:lvl>
  </w:abstractNum>
  <w:abstractNum w:abstractNumId="4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8">
    <w:multiLevelType w:val="hybridMultilevel"/>
    <w:lvl w:ilvl="0">
      <w:start w:val="1"/>
      <w:numFmt w:val="decimal"/>
      <w:lvlText w:val="%1."/>
      <w:lvlJc w:val="left"/>
      <w:pPr>
        <w:tabs>
          <w:tab w:val="num" w:pos="1080"/>
        </w:tabs>
        <w:ind w:left="720" w:hanging="360"/>
      </w:pPr>
    </w:lvl>
  </w:abstractNum>
  <w:abstractNum w:abstractNumId="4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5">
    <w:multiLevelType w:val="hybridMultilevel"/>
    <w:lvl w:ilvl="0">
      <w:start w:val="1"/>
      <w:numFmt w:val="decimal"/>
      <w:lvlText w:val="%1."/>
      <w:lvlJc w:val="left"/>
      <w:pPr>
        <w:tabs>
          <w:tab w:val="num" w:pos="1080"/>
        </w:tabs>
        <w:ind w:left="720" w:hanging="360"/>
      </w:pPr>
    </w:lvl>
  </w:abstractNum>
  <w:abstractNum w:abstractNumId="5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7">
    <w:multiLevelType w:val="hybridMultilevel"/>
    <w:lvl w:ilvl="0">
      <w:start w:val="1"/>
      <w:numFmt w:val="decimal"/>
      <w:lvlText w:val="%1."/>
      <w:lvlJc w:val="left"/>
      <w:pPr>
        <w:tabs>
          <w:tab w:val="num" w:pos="1080"/>
        </w:tabs>
        <w:ind w:left="720" w:hanging="360"/>
      </w:pPr>
    </w:lvl>
  </w:abstractNum>
  <w:abstractNum w:abstractNumId="5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9">
    <w:multiLevelType w:val="hybridMultilevel"/>
    <w:lvl w:ilvl="0">
      <w:start w:val="1"/>
      <w:numFmt w:val="decimal"/>
      <w:lvlText w:val="%1."/>
      <w:lvlJc w:val="left"/>
      <w:pPr>
        <w:tabs>
          <w:tab w:val="num" w:pos="1080"/>
        </w:tabs>
        <w:ind w:left="720" w:hanging="360"/>
      </w:pPr>
    </w:lvl>
  </w:abstractNum>
  <w:abstractNum w:abstractNumId="6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5">
    <w:multiLevelType w:val="hybridMultilevel"/>
    <w:lvl w:ilvl="0">
      <w:start w:val="1"/>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ww.stat.go.jp/" TargetMode="External"/><Relationship Id="rId6" Type="http://schemas.openxmlformats.org/officeDocument/2006/relationships/hyperlink" Target="https://www.weforum.org/stories/2025/09/japans-longevity-economy/" TargetMode="External"/><Relationship Id="rId7" Type="http://schemas.openxmlformats.org/officeDocument/2006/relationships/hyperlink" Target="https://www.ipss.go.jp/pp-zenkoku/e/zenkoku_e2023/" TargetMode="External"/><Relationship Id="rId8" Type="http://schemas.openxmlformats.org/officeDocument/2006/relationships/hyperlink" Target="https://www.frontiersin.org/journals/public-health/articles/10.3389/fpubh.2024.1306013/" TargetMode="External"/><Relationship Id="rId9" Type="http://schemas.openxmlformats.org/officeDocument/2006/relationships/hyperlink" Target="https://www.grandviewresearch.com/horizon/outlook/private-nursing-services-market/japan" TargetMode="External"/><Relationship Id="rId10" Type="http://schemas.openxmlformats.org/officeDocument/2006/relationships/hyperlink" Target="https://extranet.who.int/kobe_centre/" TargetMode="External"/><Relationship Id="rId11" Type="http://schemas.openxmlformats.org/officeDocument/2006/relationships/hyperlink" Target="https://www.mhlw.go.jp/" TargetMode="External"/><Relationship Id="rId12" Type="http://schemas.openxmlformats.org/officeDocument/2006/relationships/hyperlink" Target="https://demographic-challenge.com/files/downloads/6211018f987444a57eedb418895740ba/silver_japan_english20091203.pdf"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2025-12-28T17:01:31.760Z</dcterms:created>
  <dcterms:modified xsi:type="dcterms:W3CDTF">2025-12-28T17:01:31.760Z</dcterms:modified>
</cp:coreProperties>
</file>