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05E187">
      <w:pPr>
        <w:spacing w:after="400" w:line="400" w:lineRule="atLeast"/>
      </w:pPr>
      <w:r>
        <w:rPr>
          <w:b/>
        </w:rPr>
        <w:t>Market Size Analysis Report: Japan's Elderly Demographic (2020-2050)</w:t>
      </w:r>
      <w:bookmarkStart w:id="0" w:name="_GoBack"/>
      <w:bookmarkEnd w:id="0"/>
    </w:p>
    <w:p w14:paraId="2FE963C3">
      <w:pPr>
        <w:spacing w:after="400" w:line="400" w:lineRule="atLeast"/>
      </w:pPr>
      <w:r>
        <w:rPr>
          <w:b/>
        </w:rPr>
        <w:t>Date of Report:</w:t>
      </w:r>
      <w:r>
        <w:t xml:space="preserve"> December 29, 2025</w:t>
      </w:r>
    </w:p>
    <w:p w14:paraId="494F3929">
      <w:pPr>
        <w:spacing w:after="400" w:line="400" w:lineRule="atLeast"/>
      </w:pPr>
      <w:r>
        <w:rPr>
          <w:b/>
        </w:rPr>
        <w:t>Prepared by:</w:t>
      </w:r>
      <w:r>
        <w:t xml:space="preserve"> Expert Researcher</w:t>
      </w:r>
    </w:p>
    <w:p w14:paraId="1BC80B2E">
      <w:pPr>
        <w:spacing w:after="400" w:line="400" w:lineRule="atLeast"/>
      </w:pPr>
      <w:r>
        <w:rPr>
          <w:b/>
          <w:sz w:val="30"/>
        </w:rPr>
        <w:t>Executive Summary</w:t>
      </w:r>
    </w:p>
    <w:p w14:paraId="4D71B9D2">
      <w:pPr>
        <w:spacing w:after="400" w:line="400" w:lineRule="atLeast"/>
      </w:pPr>
      <w:r>
        <w:t>This report provides a comprehensive market size analysis of Japan's elderly demographic for the period 2020 to 2050. As Japan navigates its status as a hyper-aged society, the consumption patterns and economic influence of its senior population, often termed the "silver market," have become a critical focal point for economic planning and business strategy. Our analysis, based on official government projections, market research, and academic studies, reveals a market of immense scale and complexity, projected to grow from over ¥100 trillion in the early 2020s to an estimated ¥150 trillion by 2050.</w:t>
      </w:r>
    </w:p>
    <w:p w14:paraId="7970C4A0">
      <w:pPr>
        <w:spacing w:after="400" w:line="400" w:lineRule="atLeast"/>
      </w:pPr>
      <w:r>
        <w:t>The demographic foundation of this market is an inexorable shift towards an older population. The total number of individuals aged 65 and over is projected to peak around 2043 but will remain a dominant share of the population through 2050 [[1]]. More critically, the composition of this group is changing dramatically, with the 75+ and particularly the 85+ cohorts experiencing the most rapid growth. This internal demographic shift is the single most important factor shaping future consumption, driving demand away from accumulation-oriented goods towards services that support health, wellness, convenience, and quality of life.</w:t>
      </w:r>
    </w:p>
    <w:p w14:paraId="5E54BA3E">
      <w:pPr>
        <w:spacing w:after="400" w:line="400" w:lineRule="atLeast"/>
      </w:pPr>
      <w:r>
        <w:t xml:space="preserve">Our sector-specific analysis highlights significant divergence in market potential. The </w:t>
      </w:r>
      <w:r>
        <w:rPr>
          <w:b/>
        </w:rPr>
        <w:t>Healthcare</w:t>
      </w:r>
      <w:r>
        <w:t xml:space="preserve"> sector, encompassing medical services, pharmaceuticals, and long-term care, is poised for the most substantial and sustained growth, driven by the non-discretionary needs of an aging populace. Similarly, the market for </w:t>
      </w:r>
      <w:r>
        <w:rPr>
          <w:b/>
        </w:rPr>
        <w:t>Technology and Digital Services</w:t>
      </w:r>
      <w:r>
        <w:t xml:space="preserve">, including assistive robotics, smart home devices, and telehealth platforms, presents enormous growth opportunities, though adoption rates will be a key variable. The </w:t>
      </w:r>
      <w:r>
        <w:rPr>
          <w:b/>
        </w:rPr>
        <w:t>Housing</w:t>
      </w:r>
      <w:r>
        <w:t xml:space="preserve"> market is undergoing a transformation, with a focus on barrier-free renovations, senior living communities, and services enabling "aging in place." Consumption in </w:t>
      </w:r>
      <w:r>
        <w:rPr>
          <w:b/>
        </w:rPr>
        <w:t>Food</w:t>
      </w:r>
      <w:r>
        <w:t xml:space="preserve"> remains robust but is shifting towards health-oriented products, prepared meals, and smaller portion sizes.</w:t>
      </w:r>
    </w:p>
    <w:p w14:paraId="23014DE9">
      <w:pPr>
        <w:spacing w:after="400" w:line="400" w:lineRule="atLeast"/>
      </w:pPr>
      <w:r>
        <w:t xml:space="preserve">Conversely, traditional sectors like </w:t>
      </w:r>
      <w:r>
        <w:rPr>
          <w:b/>
        </w:rPr>
        <w:t>Clothing</w:t>
      </w:r>
      <w:r>
        <w:t xml:space="preserve"> and </w:t>
      </w:r>
      <w:r>
        <w:rPr>
          <w:b/>
        </w:rPr>
        <w:t>Transportation</w:t>
      </w:r>
      <w:r>
        <w:t xml:space="preserve"> face headwinds. While overall spending in these categories is projected to decline on a per-capita basis for the elderly, niche opportunities exist in adaptive clothing, comfort wear, and alternative mobility solutions like on-demand transport and enhanced delivery services. </w:t>
      </w:r>
      <w:r>
        <w:rPr>
          <w:b/>
        </w:rPr>
        <w:t>Leisure and Financial Services</w:t>
      </w:r>
      <w:r>
        <w:t xml:space="preserve"> represent areas of significant, if nuanced, potential, contingent on the financial security and health of future elderly cohorts.</w:t>
      </w:r>
    </w:p>
    <w:p w14:paraId="021D3CB0">
      <w:pPr>
        <w:spacing w:after="400" w:line="400" w:lineRule="atLeast"/>
      </w:pPr>
      <w:r>
        <w:t>The willingness of the elderly to consume is influenced by a complex interplay of factors including the adequacy of the public pension system, the rising burden of healthcare and long-term care insurance premiums, and accumulated household savings. Future consumption habits will be reshaped by technological literacy, evolving family structures favoring single-person households, and a cultural shift towards prioritizing experiences over possessions.</w:t>
      </w:r>
    </w:p>
    <w:p w14:paraId="6FE68D7A">
      <w:pPr>
        <w:spacing w:after="400" w:line="400" w:lineRule="atLeast"/>
      </w:pPr>
      <w:r>
        <w:t>This report concludes with integrated quantitative market size estimations, projecting the trajectory of key sectors through 2050. The findings underscore that Japan's silver market is not a monolithic entity but a dynamic and segmented landscape. Success will require a deep understanding of the evolving needs, financial realities, and lifestyle aspirations of Japan's senior citizens, particularly the fast-growing cohort of the "old-old" (85+).</w:t>
      </w:r>
    </w:p>
    <w:p w14:paraId="4EEC52A6">
      <w:pPr>
        <w:spacing w:after="400" w:line="400" w:lineRule="atLeast"/>
      </w:pPr>
      <w:r>
        <w:rPr>
          <w:b/>
          <w:sz w:val="30"/>
        </w:rPr>
        <w:t>1. Demographic Projections (2020-2050): The Foundation of the Silver Market</w:t>
      </w:r>
    </w:p>
    <w:p w14:paraId="4A79C75F">
      <w:pPr>
        <w:spacing w:after="400" w:line="400" w:lineRule="atLeast"/>
      </w:pPr>
      <w:r>
        <w:t>The analysis of any consumer market must begin with a fundamental understanding of its demographic composition and trajectory. In Japan, the demographic landscape from 2020 to 2050 is defined by an unprecedented and accelerating aging process. This section details the population projections for Japan's elderly, segmented by critical age cohorts, based on data from Japan's National Institute of Population and Social Security Research (NIPSSR), the primary government-affiliated body for demographic forecasting [[2]][[3]].</w:t>
      </w:r>
    </w:p>
    <w:p w14:paraId="3ADB15BD">
      <w:pPr>
        <w:spacing w:after="400" w:line="400" w:lineRule="atLeast"/>
      </w:pPr>
      <w:r>
        <w:rPr>
          <w:b/>
          <w:sz w:val="26"/>
        </w:rPr>
        <w:t>1.1 Overall Elderly Population Trends</w:t>
      </w:r>
    </w:p>
    <w:p w14:paraId="0543A7B6">
      <w:pPr>
        <w:spacing w:after="400" w:line="400" w:lineRule="atLeast"/>
      </w:pPr>
      <w:r>
        <w:t>Japan's total population is projected to decline significantly by 2050. However, the elderly population (aged 65 and over) will not follow the same steep decline. According to NIPSSR and Cabinet Office projections, the 65+ population is expected to peak around 2043 [[4]]. While the absolute number of seniors may see a slight decrease from its peak by 2050, their proportional share of the total population will continue to rise dramatically. In 2020, people aged 65 and over already constituted over 28% of the population. By 2050, this proportion is projected to approach 40% in many regions, with some prefectures exceeding this mark [[5]].</w:t>
      </w:r>
    </w:p>
    <w:p w14:paraId="4029B1D4">
      <w:pPr>
        <w:spacing w:after="400" w:line="400" w:lineRule="atLeast"/>
      </w:pPr>
      <w:r>
        <w:t>This sustained high proportion of elderly citizens, even as the total population shrinks, creates a powerful "demographic dividend" for businesses focused on senior consumption. The market's foundation is not just stable but will represent an increasingly dominant share of all domestic consumption in Japan.</w:t>
      </w:r>
    </w:p>
    <w:p w14:paraId="3842C4D8">
      <w:pPr>
        <w:spacing w:after="400" w:line="400" w:lineRule="atLeast"/>
      </w:pPr>
      <w:r>
        <w:rPr>
          <w:b/>
          <w:sz w:val="26"/>
        </w:rPr>
        <w:t>1.2 Detailed Projections by Age Cohort (65-74, 75-84, 85+)</w:t>
      </w:r>
    </w:p>
    <w:p w14:paraId="0A8B6AFE">
      <w:pPr>
        <w:spacing w:after="400" w:line="400" w:lineRule="atLeast"/>
      </w:pPr>
      <w:r>
        <w:t>A granular analysis reveals that the "elderly" demographic is not uniform. The needs, health status, and consumption patterns of a 68-year-old are vastly different from those of an 88-year-old. Therefore, segmenting the 65+ population into meaningful cohorts is essential for accurate market analysis. The most significant trend within the elderly population is the rapid aging of the group itself—a shift from the "young-old" (65-74) to the "old-old" (75+ and especially 85+).</w:t>
      </w:r>
    </w:p>
    <w:p w14:paraId="02A2610B">
      <w:pPr>
        <w:spacing w:after="400" w:line="400" w:lineRule="atLeast"/>
      </w:pPr>
      <w:r>
        <w:t>The table below synthesizes projections based on data from the National Institute of Population and Social Security Research (NIPSSR) and related government publications [[6]][[7]][[8]].</w:t>
      </w:r>
    </w:p>
    <w:p w14:paraId="73B72612">
      <w:pPr>
        <w:spacing w:after="400" w:line="400" w:lineRule="atLeast"/>
      </w:pPr>
      <w:r>
        <w:rPr>
          <w:b/>
        </w:rPr>
        <w:t>Table 1.1: Projected Elderly Population in Japan by Age Cohort (in Millions)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2"/>
        <w:gridCol w:w="1382"/>
        <w:gridCol w:w="1382"/>
        <w:gridCol w:w="1382"/>
      </w:tblGrid>
      <w:tr w14:paraId="26C86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DE46712">
            <w:pPr>
              <w:spacing w:after="400" w:line="400" w:lineRule="exact"/>
              <w:jc w:val="left"/>
            </w:pPr>
            <w:r>
              <w:rPr>
                <w:b/>
              </w:rPr>
              <w:t>Year</w:t>
            </w:r>
          </w:p>
        </w:tc>
        <w:tc>
          <w:tcPr>
            <w:tcW w:w="1382" w:type="dxa"/>
          </w:tcPr>
          <w:p w14:paraId="5433C2E5">
            <w:pPr>
              <w:spacing w:after="400" w:line="400" w:lineRule="exact"/>
              <w:jc w:val="left"/>
            </w:pPr>
            <w:r>
              <w:rPr>
                <w:b/>
              </w:rPr>
              <w:t>65-74 Years</w:t>
            </w:r>
          </w:p>
        </w:tc>
        <w:tc>
          <w:tcPr>
            <w:tcW w:w="1382" w:type="dxa"/>
          </w:tcPr>
          <w:p w14:paraId="7A1290E9">
            <w:pPr>
              <w:spacing w:after="400" w:line="400" w:lineRule="exact"/>
              <w:jc w:val="left"/>
            </w:pPr>
            <w:r>
              <w:rPr>
                <w:b/>
              </w:rPr>
              <w:t>75-84 Years</w:t>
            </w:r>
          </w:p>
        </w:tc>
        <w:tc>
          <w:tcPr>
            <w:tcW w:w="1382" w:type="dxa"/>
          </w:tcPr>
          <w:p w14:paraId="595B6D33">
            <w:pPr>
              <w:spacing w:after="400" w:line="400" w:lineRule="exact"/>
              <w:jc w:val="left"/>
            </w:pPr>
            <w:r>
              <w:rPr>
                <w:b/>
              </w:rPr>
              <w:t>85+ Years</w:t>
            </w:r>
          </w:p>
        </w:tc>
        <w:tc>
          <w:tcPr>
            <w:tcW w:w="1382" w:type="dxa"/>
          </w:tcPr>
          <w:p w14:paraId="61517ACA">
            <w:pPr>
              <w:spacing w:after="400" w:line="400" w:lineRule="exact"/>
              <w:jc w:val="left"/>
            </w:pPr>
            <w:r>
              <w:rPr>
                <w:b/>
              </w:rPr>
              <w:t>Total 65+</w:t>
            </w:r>
          </w:p>
        </w:tc>
        <w:tc>
          <w:tcPr>
            <w:tcW w:w="1382" w:type="dxa"/>
          </w:tcPr>
          <w:p w14:paraId="20353DB7">
            <w:pPr>
              <w:spacing w:after="400" w:line="400" w:lineRule="exact"/>
              <w:jc w:val="left"/>
            </w:pPr>
            <w:r>
              <w:rPr>
                <w:b/>
              </w:rPr>
              <w:t>% of Total Population (Approx.)</w:t>
            </w:r>
          </w:p>
        </w:tc>
      </w:tr>
      <w:tr w14:paraId="65F42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AFD7988">
            <w:pPr>
              <w:spacing w:after="400" w:line="400" w:lineRule="exact"/>
              <w:jc w:val="left"/>
            </w:pPr>
            <w:r>
              <w:rPr>
                <w:b/>
              </w:rPr>
              <w:t>2020</w:t>
            </w:r>
          </w:p>
        </w:tc>
        <w:tc>
          <w:tcPr>
            <w:tcW w:w="1382" w:type="dxa"/>
          </w:tcPr>
          <w:p w14:paraId="07AA4482">
            <w:pPr>
              <w:spacing w:after="400" w:line="400" w:lineRule="exact"/>
              <w:jc w:val="left"/>
            </w:pPr>
            <w:r>
              <w:t>17.48</w:t>
            </w:r>
          </w:p>
        </w:tc>
        <w:tc>
          <w:tcPr>
            <w:tcW w:w="1382" w:type="dxa"/>
          </w:tcPr>
          <w:p w14:paraId="2FDAB0EE">
            <w:pPr>
              <w:spacing w:after="400" w:line="400" w:lineRule="exact"/>
              <w:jc w:val="left"/>
            </w:pPr>
            <w:r>
              <w:t>12.35</w:t>
            </w:r>
          </w:p>
        </w:tc>
        <w:tc>
          <w:tcPr>
            <w:tcW w:w="1382" w:type="dxa"/>
          </w:tcPr>
          <w:p w14:paraId="5E1ACC30">
            <w:pPr>
              <w:spacing w:after="400" w:line="400" w:lineRule="exact"/>
              <w:jc w:val="left"/>
            </w:pPr>
            <w:r>
              <w:t>6.13</w:t>
            </w:r>
          </w:p>
        </w:tc>
        <w:tc>
          <w:tcPr>
            <w:tcW w:w="1382" w:type="dxa"/>
          </w:tcPr>
          <w:p w14:paraId="7A494568">
            <w:pPr>
              <w:spacing w:after="400" w:line="400" w:lineRule="exact"/>
              <w:jc w:val="left"/>
            </w:pPr>
            <w:r>
              <w:rPr>
                <w:b/>
              </w:rPr>
              <w:t>35.96</w:t>
            </w:r>
          </w:p>
        </w:tc>
        <w:tc>
          <w:tcPr>
            <w:tcW w:w="1382" w:type="dxa"/>
          </w:tcPr>
          <w:p w14:paraId="32A56BAB">
            <w:pPr>
              <w:spacing w:after="400" w:line="400" w:lineRule="exact"/>
              <w:jc w:val="left"/>
            </w:pPr>
            <w:r>
              <w:t>28.6%</w:t>
            </w:r>
          </w:p>
        </w:tc>
      </w:tr>
      <w:tr w14:paraId="603E0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F5559C2">
            <w:pPr>
              <w:spacing w:after="400" w:line="400" w:lineRule="exact"/>
              <w:jc w:val="left"/>
            </w:pPr>
            <w:r>
              <w:rPr>
                <w:b/>
              </w:rPr>
              <w:t>2025</w:t>
            </w:r>
          </w:p>
        </w:tc>
        <w:tc>
          <w:tcPr>
            <w:tcW w:w="1382" w:type="dxa"/>
          </w:tcPr>
          <w:p w14:paraId="090D20D6">
            <w:pPr>
              <w:spacing w:after="400" w:line="400" w:lineRule="exact"/>
              <w:jc w:val="left"/>
            </w:pPr>
            <w:r>
              <w:t>15.10</w:t>
            </w:r>
          </w:p>
        </w:tc>
        <w:tc>
          <w:tcPr>
            <w:tcW w:w="1382" w:type="dxa"/>
          </w:tcPr>
          <w:p w14:paraId="035D693F">
            <w:pPr>
              <w:spacing w:after="400" w:line="400" w:lineRule="exact"/>
              <w:jc w:val="left"/>
            </w:pPr>
            <w:r>
              <w:t>14.80</w:t>
            </w:r>
          </w:p>
        </w:tc>
        <w:tc>
          <w:tcPr>
            <w:tcW w:w="1382" w:type="dxa"/>
          </w:tcPr>
          <w:p w14:paraId="0AD55A0C">
            <w:pPr>
              <w:spacing w:after="400" w:line="400" w:lineRule="exact"/>
              <w:jc w:val="left"/>
            </w:pPr>
            <w:r>
              <w:t>7.17</w:t>
            </w:r>
          </w:p>
        </w:tc>
        <w:tc>
          <w:tcPr>
            <w:tcW w:w="1382" w:type="dxa"/>
          </w:tcPr>
          <w:p w14:paraId="4CBF98C0">
            <w:pPr>
              <w:spacing w:after="400" w:line="400" w:lineRule="exact"/>
              <w:jc w:val="left"/>
            </w:pPr>
            <w:r>
              <w:rPr>
                <w:b/>
              </w:rPr>
              <w:t>37.07</w:t>
            </w:r>
          </w:p>
        </w:tc>
        <w:tc>
          <w:tcPr>
            <w:tcW w:w="1382" w:type="dxa"/>
          </w:tcPr>
          <w:p w14:paraId="2CB11ABF">
            <w:pPr>
              <w:spacing w:after="400" w:line="400" w:lineRule="exact"/>
              <w:jc w:val="left"/>
            </w:pPr>
            <w:r>
              <w:t>30.8%</w:t>
            </w:r>
          </w:p>
        </w:tc>
      </w:tr>
      <w:tr w14:paraId="6A901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39640A3">
            <w:pPr>
              <w:spacing w:after="400" w:line="400" w:lineRule="exact"/>
              <w:jc w:val="left"/>
            </w:pPr>
            <w:r>
              <w:rPr>
                <w:b/>
              </w:rPr>
              <w:t>2030</w:t>
            </w:r>
          </w:p>
        </w:tc>
        <w:tc>
          <w:tcPr>
            <w:tcW w:w="1382" w:type="dxa"/>
          </w:tcPr>
          <w:p w14:paraId="4446274E">
            <w:pPr>
              <w:spacing w:after="400" w:line="400" w:lineRule="exact"/>
              <w:jc w:val="left"/>
            </w:pPr>
            <w:r>
              <w:t>14.25</w:t>
            </w:r>
          </w:p>
        </w:tc>
        <w:tc>
          <w:tcPr>
            <w:tcW w:w="1382" w:type="dxa"/>
          </w:tcPr>
          <w:p w14:paraId="1040921C">
            <w:pPr>
              <w:spacing w:after="400" w:line="400" w:lineRule="exact"/>
              <w:jc w:val="left"/>
            </w:pPr>
            <w:r>
              <w:t>14.05</w:t>
            </w:r>
          </w:p>
        </w:tc>
        <w:tc>
          <w:tcPr>
            <w:tcW w:w="1382" w:type="dxa"/>
          </w:tcPr>
          <w:p w14:paraId="4FD44D91">
            <w:pPr>
              <w:spacing w:after="400" w:line="400" w:lineRule="exact"/>
              <w:jc w:val="left"/>
            </w:pPr>
            <w:r>
              <w:t>8.85</w:t>
            </w:r>
          </w:p>
        </w:tc>
        <w:tc>
          <w:tcPr>
            <w:tcW w:w="1382" w:type="dxa"/>
          </w:tcPr>
          <w:p w14:paraId="7462D0D0">
            <w:pPr>
              <w:spacing w:after="400" w:line="400" w:lineRule="exact"/>
              <w:jc w:val="left"/>
            </w:pPr>
            <w:r>
              <w:rPr>
                <w:b/>
              </w:rPr>
              <w:t>37.15</w:t>
            </w:r>
          </w:p>
        </w:tc>
        <w:tc>
          <w:tcPr>
            <w:tcW w:w="1382" w:type="dxa"/>
          </w:tcPr>
          <w:p w14:paraId="27432718">
            <w:pPr>
              <w:spacing w:after="400" w:line="400" w:lineRule="exact"/>
              <w:jc w:val="left"/>
            </w:pPr>
            <w:r>
              <w:t>32.8%</w:t>
            </w:r>
          </w:p>
        </w:tc>
      </w:tr>
      <w:tr w14:paraId="50AC4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F7709D8">
            <w:pPr>
              <w:spacing w:after="400" w:line="400" w:lineRule="exact"/>
              <w:jc w:val="left"/>
            </w:pPr>
            <w:r>
              <w:rPr>
                <w:b/>
              </w:rPr>
              <w:t>2035</w:t>
            </w:r>
          </w:p>
        </w:tc>
        <w:tc>
          <w:tcPr>
            <w:tcW w:w="1382" w:type="dxa"/>
          </w:tcPr>
          <w:p w14:paraId="3737613D">
            <w:pPr>
              <w:spacing w:after="400" w:line="400" w:lineRule="exact"/>
              <w:jc w:val="left"/>
            </w:pPr>
            <w:r>
              <w:t>14.90</w:t>
            </w:r>
          </w:p>
        </w:tc>
        <w:tc>
          <w:tcPr>
            <w:tcW w:w="1382" w:type="dxa"/>
          </w:tcPr>
          <w:p w14:paraId="16B9B801">
            <w:pPr>
              <w:spacing w:after="400" w:line="400" w:lineRule="exact"/>
              <w:jc w:val="left"/>
            </w:pPr>
            <w:r>
              <w:t>11.90</w:t>
            </w:r>
          </w:p>
        </w:tc>
        <w:tc>
          <w:tcPr>
            <w:tcW w:w="1382" w:type="dxa"/>
          </w:tcPr>
          <w:p w14:paraId="2B6BB7CE">
            <w:pPr>
              <w:spacing w:after="400" w:line="400" w:lineRule="exact"/>
              <w:jc w:val="left"/>
            </w:pPr>
            <w:r>
              <w:t>10.02</w:t>
            </w:r>
          </w:p>
        </w:tc>
        <w:tc>
          <w:tcPr>
            <w:tcW w:w="1382" w:type="dxa"/>
          </w:tcPr>
          <w:p w14:paraId="37F6AD47">
            <w:pPr>
              <w:spacing w:after="400" w:line="400" w:lineRule="exact"/>
              <w:jc w:val="left"/>
            </w:pPr>
            <w:r>
              <w:rPr>
                <w:b/>
              </w:rPr>
              <w:t>36.82</w:t>
            </w:r>
          </w:p>
        </w:tc>
        <w:tc>
          <w:tcPr>
            <w:tcW w:w="1382" w:type="dxa"/>
          </w:tcPr>
          <w:p w14:paraId="4023654B">
            <w:pPr>
              <w:spacing w:after="400" w:line="400" w:lineRule="exact"/>
              <w:jc w:val="left"/>
            </w:pPr>
            <w:r>
              <w:t>34.8%</w:t>
            </w:r>
          </w:p>
        </w:tc>
      </w:tr>
      <w:tr w14:paraId="06F4A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3E393AD">
            <w:pPr>
              <w:spacing w:after="400" w:line="400" w:lineRule="exact"/>
              <w:jc w:val="left"/>
            </w:pPr>
            <w:r>
              <w:rPr>
                <w:b/>
              </w:rPr>
              <w:t>2040</w:t>
            </w:r>
          </w:p>
        </w:tc>
        <w:tc>
          <w:tcPr>
            <w:tcW w:w="1382" w:type="dxa"/>
          </w:tcPr>
          <w:p w14:paraId="6297DCFE">
            <w:pPr>
              <w:spacing w:after="400" w:line="400" w:lineRule="exact"/>
              <w:jc w:val="left"/>
            </w:pPr>
            <w:r>
              <w:t>16.20</w:t>
            </w:r>
          </w:p>
        </w:tc>
        <w:tc>
          <w:tcPr>
            <w:tcW w:w="1382" w:type="dxa"/>
          </w:tcPr>
          <w:p w14:paraId="660ED554">
            <w:pPr>
              <w:spacing w:after="400" w:line="400" w:lineRule="exact"/>
              <w:jc w:val="left"/>
            </w:pPr>
            <w:r>
              <w:t>10.30</w:t>
            </w:r>
          </w:p>
        </w:tc>
        <w:tc>
          <w:tcPr>
            <w:tcW w:w="1382" w:type="dxa"/>
          </w:tcPr>
          <w:p w14:paraId="0BB4DCAF">
            <w:pPr>
              <w:spacing w:after="400" w:line="400" w:lineRule="exact"/>
              <w:jc w:val="left"/>
            </w:pPr>
            <w:r>
              <w:t>10.80</w:t>
            </w:r>
          </w:p>
        </w:tc>
        <w:tc>
          <w:tcPr>
            <w:tcW w:w="1382" w:type="dxa"/>
          </w:tcPr>
          <w:p w14:paraId="7D33251A">
            <w:pPr>
              <w:spacing w:after="400" w:line="400" w:lineRule="exact"/>
              <w:jc w:val="left"/>
            </w:pPr>
            <w:r>
              <w:rPr>
                <w:b/>
              </w:rPr>
              <w:t>37.30</w:t>
            </w:r>
          </w:p>
        </w:tc>
        <w:tc>
          <w:tcPr>
            <w:tcW w:w="1382" w:type="dxa"/>
          </w:tcPr>
          <w:p w14:paraId="72C8923A">
            <w:pPr>
              <w:spacing w:after="400" w:line="400" w:lineRule="exact"/>
              <w:jc w:val="left"/>
            </w:pPr>
            <w:r>
              <w:t>36.3%</w:t>
            </w:r>
          </w:p>
        </w:tc>
      </w:tr>
      <w:tr w14:paraId="79E56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3394EDE">
            <w:pPr>
              <w:spacing w:after="400" w:line="400" w:lineRule="exact"/>
              <w:jc w:val="left"/>
            </w:pPr>
            <w:r>
              <w:rPr>
                <w:b/>
              </w:rPr>
              <w:t>2045</w:t>
            </w:r>
          </w:p>
        </w:tc>
        <w:tc>
          <w:tcPr>
            <w:tcW w:w="1382" w:type="dxa"/>
          </w:tcPr>
          <w:p w14:paraId="4D943804">
            <w:pPr>
              <w:spacing w:after="400" w:line="400" w:lineRule="exact"/>
              <w:jc w:val="left"/>
            </w:pPr>
            <w:r>
              <w:t>15.55</w:t>
            </w:r>
          </w:p>
        </w:tc>
        <w:tc>
          <w:tcPr>
            <w:tcW w:w="1382" w:type="dxa"/>
          </w:tcPr>
          <w:p w14:paraId="7DF8E407">
            <w:pPr>
              <w:spacing w:after="400" w:line="400" w:lineRule="exact"/>
              <w:jc w:val="left"/>
            </w:pPr>
            <w:r>
              <w:t>11.25</w:t>
            </w:r>
          </w:p>
        </w:tc>
        <w:tc>
          <w:tcPr>
            <w:tcW w:w="1382" w:type="dxa"/>
          </w:tcPr>
          <w:p w14:paraId="028F327E">
            <w:pPr>
              <w:spacing w:after="400" w:line="400" w:lineRule="exact"/>
              <w:jc w:val="left"/>
            </w:pPr>
            <w:r>
              <w:t>10.35</w:t>
            </w:r>
          </w:p>
        </w:tc>
        <w:tc>
          <w:tcPr>
            <w:tcW w:w="1382" w:type="dxa"/>
          </w:tcPr>
          <w:p w14:paraId="3E9134B2">
            <w:pPr>
              <w:spacing w:after="400" w:line="400" w:lineRule="exact"/>
              <w:jc w:val="left"/>
            </w:pPr>
            <w:r>
              <w:rPr>
                <w:b/>
              </w:rPr>
              <w:t>37.15</w:t>
            </w:r>
          </w:p>
        </w:tc>
        <w:tc>
          <w:tcPr>
            <w:tcW w:w="1382" w:type="dxa"/>
          </w:tcPr>
          <w:p w14:paraId="305A0C6F">
            <w:pPr>
              <w:spacing w:after="400" w:line="400" w:lineRule="exact"/>
              <w:jc w:val="left"/>
            </w:pPr>
            <w:r>
              <w:t>37.8%</w:t>
            </w:r>
          </w:p>
        </w:tc>
      </w:tr>
      <w:tr w14:paraId="7B873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2302548">
            <w:pPr>
              <w:spacing w:after="400" w:line="400" w:lineRule="exact"/>
              <w:jc w:val="left"/>
            </w:pPr>
            <w:r>
              <w:rPr>
                <w:b/>
              </w:rPr>
              <w:t>2050</w:t>
            </w:r>
          </w:p>
        </w:tc>
        <w:tc>
          <w:tcPr>
            <w:tcW w:w="1382" w:type="dxa"/>
          </w:tcPr>
          <w:p w14:paraId="65B5A566">
            <w:pPr>
              <w:spacing w:after="400" w:line="400" w:lineRule="exact"/>
              <w:jc w:val="left"/>
            </w:pPr>
            <w:r>
              <w:t>14.30</w:t>
            </w:r>
          </w:p>
        </w:tc>
        <w:tc>
          <w:tcPr>
            <w:tcW w:w="1382" w:type="dxa"/>
          </w:tcPr>
          <w:p w14:paraId="41C3EC24">
            <w:pPr>
              <w:spacing w:after="400" w:line="400" w:lineRule="exact"/>
              <w:jc w:val="left"/>
            </w:pPr>
            <w:r>
              <w:t>11.95</w:t>
            </w:r>
          </w:p>
        </w:tc>
        <w:tc>
          <w:tcPr>
            <w:tcW w:w="1382" w:type="dxa"/>
          </w:tcPr>
          <w:p w14:paraId="486566D6">
            <w:pPr>
              <w:spacing w:after="400" w:line="400" w:lineRule="exact"/>
              <w:jc w:val="left"/>
            </w:pPr>
            <w:r>
              <w:t>9.90</w:t>
            </w:r>
          </w:p>
        </w:tc>
        <w:tc>
          <w:tcPr>
            <w:tcW w:w="1382" w:type="dxa"/>
          </w:tcPr>
          <w:p w14:paraId="6F561D74">
            <w:pPr>
              <w:spacing w:after="400" w:line="400" w:lineRule="exact"/>
              <w:jc w:val="left"/>
            </w:pPr>
            <w:r>
              <w:rPr>
                <w:b/>
              </w:rPr>
              <w:t>36.15</w:t>
            </w:r>
          </w:p>
        </w:tc>
        <w:tc>
          <w:tcPr>
            <w:tcW w:w="1382" w:type="dxa"/>
          </w:tcPr>
          <w:p w14:paraId="3F2FE6A3">
            <w:pPr>
              <w:spacing w:after="400" w:line="400" w:lineRule="exact"/>
              <w:jc w:val="left"/>
            </w:pPr>
            <w:r>
              <w:t>38.8%</w:t>
            </w:r>
          </w:p>
        </w:tc>
      </w:tr>
    </w:tbl>
    <w:p w14:paraId="7AE23909">
      <w:pPr>
        <w:spacing w:before="400" w:after="400" w:line="400" w:lineRule="atLeast"/>
      </w:pPr>
      <w:r>
        <w:rPr>
          <w:i/>
        </w:rPr>
        <w:t>Source: Synthesized from NIPSSR "Population Projections for Japan (2023 Revision)" and related Cabinet Office data. Figures are estimates based on available medium-fertility, medium-mortality projections.</w:t>
      </w:r>
    </w:p>
    <w:p w14:paraId="67449788">
      <w:pPr>
        <w:spacing w:after="400" w:line="400" w:lineRule="atLeast"/>
      </w:pPr>
      <w:r>
        <w:rPr>
          <w:b/>
          <w:sz w:val="26"/>
        </w:rPr>
        <w:t>1.3 Analysis of Cohort Dynamics and Market Implications</w:t>
      </w:r>
    </w:p>
    <w:p w14:paraId="1F6ADF37">
      <w:pPr>
        <w:spacing w:after="400" w:line="400" w:lineRule="atLeast"/>
      </w:pPr>
      <w:r>
        <w:t>The data in Table 1.1 reveals several critical dynamics that will shape the silver market until 2050:</w:t>
      </w:r>
    </w:p>
    <w:p w14:paraId="667278DD">
      <w:pPr>
        <w:numPr>
          <w:ilvl w:val="-1"/>
          <w:numId w:val="1"/>
        </w:numPr>
        <w:spacing w:after="400" w:line="400" w:lineRule="atLeast"/>
      </w:pPr>
      <w:r>
        <w:rPr>
          <w:b/>
        </w:rPr>
        <w:t>The Decline of the "Young-Old" (65-74):</w:t>
      </w:r>
      <w:r>
        <w:t xml:space="preserve"> This cohort, representing the newly retired and often most active and affluent seniors, will see its population decrease significantly after a brief resurgence in the late 2030s. This has major implications for markets reliant on "active senior" spending, such as travel, luxury goods, and intense recreational activities. Businesses will need to adapt to a smaller, though still significant, customer base in this segment.</w:t>
      </w:r>
    </w:p>
    <w:p w14:paraId="4CDBFAD3">
      <w:pPr>
        <w:numPr>
          <w:ilvl w:val="-1"/>
          <w:numId w:val="1"/>
        </w:numPr>
        <w:spacing w:after="400" w:line="400" w:lineRule="atLeast"/>
      </w:pPr>
      <w:r>
        <w:rPr>
          <w:b/>
        </w:rPr>
        <w:t>The Dominance and Fluctuation of the "Middle-Old" (75-84):</w:t>
      </w:r>
      <w:r>
        <w:t xml:space="preserve"> This group is projected to swell, peaking around 2025 as the baby boomer generation fully enters this age bracket [[9]]. Their numbers will then decline before stabilizing towards 2050. This cohort is a crucial transition group, where spending begins to shift decisively from discretionary items towards health and assistance-related services. The rise and fall of this group will create waves of demand across various sectors. The government recognizes the significance of this group, noting that the 75+ population has a large impact on medical expenses [[10]].</w:t>
      </w:r>
    </w:p>
    <w:p w14:paraId="026A3AAF">
      <w:pPr>
        <w:numPr>
          <w:ilvl w:val="-1"/>
          <w:numId w:val="1"/>
        </w:numPr>
        <w:spacing w:after="400" w:line="400" w:lineRule="atLeast"/>
      </w:pPr>
      <w:r>
        <w:rPr>
          <w:b/>
        </w:rPr>
        <w:t>The Explosive Growth of the "Old-Old" (85+):</w:t>
      </w:r>
      <w:r>
        <w:t xml:space="preserve"> The most dramatic and impactful trend is the sustained growth of the 85+ cohort, which is projected to increase by over 60% between 2020 and 2050. This group's consumption is overwhelmingly non-discretionary and centered on healthcare, long-term care, personal assistance, and products that support daily living with diminished mobility. The Japanese Cabinet Office explicitly states that the 85+ population has a major impact on long-term care costs [[11]]. This explosive growth guarantees a massive expansion of the market for specialized medical equipment, in-home care services, nursing homes, and accessible housing solutions.</w:t>
      </w:r>
    </w:p>
    <w:p w14:paraId="067416E4">
      <w:pPr>
        <w:spacing w:after="400" w:line="400" w:lineRule="atLeast"/>
      </w:pPr>
      <w:r>
        <w:t>In conclusion, the demographic foundation of Japan's silver market is shifting from a landscape dominated by active, newly retired seniors to one heavily weighted towards the needs of the very old. This internal aging dynamic is the primary driver of change and opportunity, demanding a strategic pivot from nearly all consumer-facing industries.</w:t>
      </w:r>
    </w:p>
    <w:p w14:paraId="3B0F7F19">
      <w:pPr>
        <w:spacing w:after="400" w:line="400" w:lineRule="atLeast"/>
      </w:pPr>
      <w:r>
        <w:rPr>
          <w:b/>
          <w:sz w:val="30"/>
        </w:rPr>
        <w:t>2. Analysis of Core Consumption Sectors</w:t>
      </w:r>
    </w:p>
    <w:p w14:paraId="56838DC0">
      <w:pPr>
        <w:spacing w:after="400" w:line="400" w:lineRule="atLeast"/>
      </w:pPr>
      <w:r>
        <w:t>Understanding the aggregate demographic shift is the first step. The second is to analyze how this translates into specific consumption patterns within core economic sectors. Elderly households allocate their resources differently than younger households, and these patterns evolve significantly as individuals move through the different senior age cohorts. This section examines the current status, spending habits, and elderly-specific characteristics for clothing, food, housing, and transportation.</w:t>
      </w:r>
    </w:p>
    <w:p w14:paraId="565F6AC6">
      <w:pPr>
        <w:spacing w:after="400" w:line="400" w:lineRule="atLeast"/>
      </w:pPr>
      <w:r>
        <w:rPr>
          <w:b/>
          <w:sz w:val="26"/>
        </w:rPr>
        <w:t>2.1 Clothing &amp; Apparel: A Market of Comfort and Adaptation</w:t>
      </w:r>
    </w:p>
    <w:p w14:paraId="7E233E47">
      <w:pPr>
        <w:numPr>
          <w:ilvl w:val="-1"/>
          <w:numId w:val="1"/>
        </w:numPr>
        <w:spacing w:after="400" w:line="400" w:lineRule="atLeast"/>
      </w:pPr>
      <w:r>
        <w:rPr>
          <w:b/>
        </w:rPr>
        <w:t>Current Market Status &amp; Spending Patterns:</w:t>
      </w:r>
      <w:r>
        <w:t xml:space="preserve"> The clothing and footwear sector is one where overall expenditure tends to decrease with age [[12]][[13]][[14]]. Data from the Statistics Bureau of Japan consistently shows that as households enter the 65+ age bracket, the share of their budget allocated to apparel declines relative to other categories like healthcare and utilities [[15]][[16]]. This is driven by several factors: reduced need for professional attire post-retirement, fewer social obligations requiring new outfits, and a general shift in priorities away from fashion and towards practicality.</w:t>
      </w:r>
    </w:p>
    <w:p w14:paraId="3644F1A5">
      <w:pPr>
        <w:numPr>
          <w:ilvl w:val="-1"/>
          <w:numId w:val="1"/>
        </w:numPr>
        <w:spacing w:after="400" w:line="400" w:lineRule="atLeast"/>
      </w:pPr>
      <w:r>
        <w:rPr>
          <w:b/>
        </w:rPr>
        <w:t>Elderly-Specific Characteristics and Opportunities:</w:t>
      </w:r>
      <w:r>
        <w:t xml:space="preserve"> Despite the overall decline in spending, the sector is not devoid of opportunity. The aging demographic has created a burgeoning niche market for "adaptive" and "comfort" wear [[17]][[18]][[19]]. Key characteristics driving this niche market include:</w:t>
      </w:r>
    </w:p>
    <w:p w14:paraId="093A1C7D">
      <w:pPr>
        <w:numPr>
          <w:ilvl w:val="-1"/>
          <w:numId w:val="1"/>
        </w:numPr>
        <w:spacing w:after="400" w:line="400" w:lineRule="atLeast"/>
      </w:pPr>
      <w:r>
        <w:rPr>
          <w:b/>
        </w:rPr>
        <w:t>Ease of Use:</w:t>
      </w:r>
      <w:r>
        <w:t xml:space="preserve"> Products with magnetic buttons, Velcro closures, and front-fastening designs are in high demand for individuals with arthritis or limited dexterity.</w:t>
      </w:r>
    </w:p>
    <w:p w14:paraId="5A8F7274">
      <w:pPr>
        <w:numPr>
          <w:ilvl w:val="-1"/>
          <w:numId w:val="1"/>
        </w:numPr>
        <w:spacing w:after="400" w:line="400" w:lineRule="atLeast"/>
      </w:pPr>
      <w:r>
        <w:rPr>
          <w:b/>
        </w:rPr>
        <w:t>Comfort and Material:</w:t>
      </w:r>
      <w:r>
        <w:t xml:space="preserve"> Softer, non-irritating fabrics that are gentle on sensitive skin are preferred. Stretchy materials that accommodate changes in body shape are also crucial.</w:t>
      </w:r>
    </w:p>
    <w:p w14:paraId="737EB689">
      <w:pPr>
        <w:numPr>
          <w:ilvl w:val="-1"/>
          <w:numId w:val="1"/>
        </w:numPr>
        <w:spacing w:after="400" w:line="400" w:lineRule="atLeast"/>
      </w:pPr>
      <w:r>
        <w:rPr>
          <w:b/>
        </w:rPr>
        <w:t>Functionality:</w:t>
      </w:r>
      <w:r>
        <w:t xml:space="preserve"> Clothing designed for wheelchair users, items with discreet openings for medical devices, and non-slip footwear are growing sub-segments.</w:t>
      </w:r>
    </w:p>
    <w:p w14:paraId="66865821">
      <w:pPr>
        <w:numPr>
          <w:ilvl w:val="-1"/>
          <w:numId w:val="1"/>
        </w:numPr>
        <w:spacing w:after="400" w:line="400" w:lineRule="atLeast"/>
      </w:pPr>
      <w:r>
        <w:rPr>
          <w:b/>
        </w:rPr>
        <w:t>Sizing and Fit:</w:t>
      </w:r>
      <w:r>
        <w:t xml:space="preserve"> Designs that offer a more generous and comfortable fit, accounting for age-related postural changes, are more successful than standard sizing.</w:t>
      </w:r>
    </w:p>
    <w:p w14:paraId="77D4883A">
      <w:pPr>
        <w:numPr>
          <w:ilvl w:val="-1"/>
          <w:numId w:val="1"/>
        </w:numPr>
        <w:spacing w:after="400" w:line="400" w:lineRule="atLeast"/>
      </w:pPr>
      <w:r>
        <w:rPr>
          <w:b/>
        </w:rPr>
        <w:t>Future Outlook (to 2050):</w:t>
      </w:r>
      <w:r>
        <w:t xml:space="preserve"> The market for general fashion targeted at seniors will likely continue to shrink in line with the declining "young-old" cohort. However, the market for functional, adaptive, and comfortable apparel will expand significantly, directly correlated with the growth of the 75+ and 85+ populations. The most successful brands will be those that merge functionality with dignity and style, avoiding a purely medical or institutional aesthetic.</w:t>
      </w:r>
    </w:p>
    <w:p w14:paraId="0727BE77">
      <w:pPr>
        <w:spacing w:after="400" w:line="400" w:lineRule="atLeast"/>
      </w:pPr>
      <w:r>
        <w:rPr>
          <w:b/>
          <w:sz w:val="26"/>
        </w:rPr>
        <w:t>2.2 Food &amp; Beverage: A Focus on Health, Convenience, and Smaller Portions</w:t>
      </w:r>
    </w:p>
    <w:p w14:paraId="01A3E045">
      <w:pPr>
        <w:numPr>
          <w:ilvl w:val="-1"/>
          <w:numId w:val="1"/>
        </w:numPr>
        <w:spacing w:after="400" w:line="400" w:lineRule="atLeast"/>
      </w:pPr>
      <w:r>
        <w:rPr>
          <w:b/>
        </w:rPr>
        <w:t>Current Market Status &amp; Spending Patterns:</w:t>
      </w:r>
      <w:r>
        <w:t xml:space="preserve"> Unlike clothing, food remains a major and stable expenditure category for elderly households [[20]][[21]][[22]]. Food expenditure often represents the largest or second-largest portion of a retired household's budget [[23]][[24]]. However, the </w:t>
      </w:r>
      <w:r>
        <w:rPr>
          <w:i/>
        </w:rPr>
        <w:t>nature</w:t>
      </w:r>
      <w:r>
        <w:t xml:space="preserve"> of this spending changes profoundly with age.</w:t>
      </w:r>
    </w:p>
    <w:p w14:paraId="13CC989A">
      <w:pPr>
        <w:numPr>
          <w:ilvl w:val="-1"/>
          <w:numId w:val="1"/>
        </w:numPr>
        <w:spacing w:after="400" w:line="400" w:lineRule="atLeast"/>
      </w:pPr>
      <w:r>
        <w:rPr>
          <w:b/>
        </w:rPr>
        <w:t>Elderly-Specific Characteristics and Opportunities:</w:t>
      </w:r>
      <w:r>
        <w:t xml:space="preserve"> The silver market for food is characterized by several distinct preferences:</w:t>
      </w:r>
    </w:p>
    <w:p w14:paraId="6234ABE4">
      <w:pPr>
        <w:numPr>
          <w:ilvl w:val="-1"/>
          <w:numId w:val="1"/>
        </w:numPr>
        <w:spacing w:after="400" w:line="400" w:lineRule="atLeast"/>
      </w:pPr>
      <w:r>
        <w:rPr>
          <w:b/>
        </w:rPr>
        <w:t>Health and Nutrition:</w:t>
      </w:r>
      <w:r>
        <w:t xml:space="preserve"> There is a high demand for foods with specific health benefits (e.g., low sodium, high calcium, added protein) and functional foods designed to manage conditions like high blood pressure or diabetes [[25]].</w:t>
      </w:r>
    </w:p>
    <w:p w14:paraId="2B938483">
      <w:pPr>
        <w:numPr>
          <w:ilvl w:val="-1"/>
          <w:numId w:val="1"/>
        </w:numPr>
        <w:spacing w:after="400" w:line="400" w:lineRule="atLeast"/>
      </w:pPr>
      <w:r>
        <w:rPr>
          <w:b/>
        </w:rPr>
        <w:t>Convenience:</w:t>
      </w:r>
      <w:r>
        <w:t xml:space="preserve"> The demand for prepared meals (sozai), meal delivery services, and easy-to-cook food kits is immense. This is driven by the rise of single-person elderly households and the physical difficulty of shopping and cooking for some seniors.</w:t>
      </w:r>
    </w:p>
    <w:p w14:paraId="16B5BA62">
      <w:pPr>
        <w:numPr>
          <w:ilvl w:val="-1"/>
          <w:numId w:val="1"/>
        </w:numPr>
        <w:spacing w:after="400" w:line="400" w:lineRule="atLeast"/>
      </w:pPr>
      <w:r>
        <w:rPr>
          <w:b/>
        </w:rPr>
        <w:t>Ease of Consumption:</w:t>
      </w:r>
      <w:r>
        <w:t xml:space="preserve"> Products that are soft, easy to chew, and easy to swallow (dysphagia-friendly foods) constitute a rapidly growing medical and consumer food category, directly serving the 85+ demographic.</w:t>
      </w:r>
    </w:p>
    <w:p w14:paraId="1B3499BE">
      <w:pPr>
        <w:numPr>
          <w:ilvl w:val="-1"/>
          <w:numId w:val="1"/>
        </w:numPr>
        <w:spacing w:after="400" w:line="400" w:lineRule="atLeast"/>
      </w:pPr>
      <w:r>
        <w:rPr>
          <w:b/>
        </w:rPr>
        <w:t>Portion Size:</w:t>
      </w:r>
      <w:r>
        <w:t xml:space="preserve"> Smaller, single-serving packages are highly preferred, reducing food waste for one or two-person households.</w:t>
      </w:r>
    </w:p>
    <w:p w14:paraId="08FC87F0">
      <w:pPr>
        <w:numPr>
          <w:ilvl w:val="-1"/>
          <w:numId w:val="1"/>
        </w:numPr>
        <w:spacing w:after="400" w:line="400" w:lineRule="atLeast"/>
      </w:pPr>
      <w:r>
        <w:rPr>
          <w:b/>
        </w:rPr>
        <w:t>Taste Preference:</w:t>
      </w:r>
      <w:r>
        <w:t xml:space="preserve"> Many elderly consumers prefer traditional, familiar Japanese flavors over exotic or intensely spicy options.</w:t>
      </w:r>
    </w:p>
    <w:p w14:paraId="4BCF48D7">
      <w:pPr>
        <w:numPr>
          <w:ilvl w:val="-1"/>
          <w:numId w:val="1"/>
        </w:numPr>
        <w:spacing w:after="400" w:line="400" w:lineRule="atLeast"/>
      </w:pPr>
      <w:r>
        <w:rPr>
          <w:b/>
        </w:rPr>
        <w:t>Future Outlook (to 2050):</w:t>
      </w:r>
      <w:r>
        <w:t xml:space="preserve"> The market for standard groceries sold in large formats will see declining demand from the elderly segment. In contrast, the markets for home-delivered meals, medically tailored foods, nutritional supplements, and high-quality prepared foods will experience explosive growth. Supermarkets and food manufacturers that innovate in packaging, portioning, and nutritional formulation specifically for seniors will capture a dominant share of this stable, high-volume market.</w:t>
      </w:r>
    </w:p>
    <w:p w14:paraId="6CC54215">
      <w:pPr>
        <w:spacing w:after="400" w:line="400" w:lineRule="atLeast"/>
      </w:pPr>
      <w:r>
        <w:rPr>
          <w:b/>
          <w:sz w:val="26"/>
        </w:rPr>
        <w:t>2.3 Housing &amp; Related Services: The "Aging in Place" Revolution</w:t>
      </w:r>
    </w:p>
    <w:p w14:paraId="1CD68B40">
      <w:pPr>
        <w:numPr>
          <w:ilvl w:val="-1"/>
          <w:numId w:val="1"/>
        </w:numPr>
        <w:spacing w:after="400" w:line="400" w:lineRule="atLeast"/>
      </w:pPr>
      <w:r>
        <w:rPr>
          <w:b/>
        </w:rPr>
        <w:t>Current Market Status &amp; Spending Patterns:</w:t>
      </w:r>
      <w:r>
        <w:t xml:space="preserve"> Housing expenditure, including rent/mortgage, repairs, and utilities, is a significant and often increasing component of elderly budgets [[26]][[27]][[28]]. While many seniors own their homes outright, the costs of maintenance, property taxes, and rising utility prices (fuel, light, and water charges are higher for older groups) represent a substantial financial burden [[29]].</w:t>
      </w:r>
    </w:p>
    <w:p w14:paraId="5103CB92">
      <w:pPr>
        <w:numPr>
          <w:ilvl w:val="-1"/>
          <w:numId w:val="1"/>
        </w:numPr>
        <w:spacing w:after="400" w:line="400" w:lineRule="atLeast"/>
      </w:pPr>
      <w:r>
        <w:rPr>
          <w:b/>
        </w:rPr>
        <w:t>Elderly-Specific Characteristics and Opportunities:</w:t>
      </w:r>
      <w:r>
        <w:t xml:space="preserve"> The primary driver in the elderly housing market is the overwhelming desire for "aging in place"—remaining in one's own home for as long as possible. This creates a massive market for products and services that facilitate this goal:</w:t>
      </w:r>
    </w:p>
    <w:p w14:paraId="45F45300">
      <w:pPr>
        <w:numPr>
          <w:ilvl w:val="-1"/>
          <w:numId w:val="1"/>
        </w:numPr>
        <w:spacing w:after="400" w:line="400" w:lineRule="atLeast"/>
      </w:pPr>
      <w:r>
        <w:rPr>
          <w:b/>
        </w:rPr>
        <w:t>Home Modification:</w:t>
      </w:r>
      <w:r>
        <w:t xml:space="preserve"> There is a huge demand for "barrier-free" renovations, including the installation of handrails, walk-in showers, stairlifts, and wider doorways [[30]].</w:t>
      </w:r>
    </w:p>
    <w:p w14:paraId="091B7F13">
      <w:pPr>
        <w:numPr>
          <w:ilvl w:val="-1"/>
          <w:numId w:val="1"/>
        </w:numPr>
        <w:spacing w:after="400" w:line="400" w:lineRule="atLeast"/>
      </w:pPr>
      <w:r>
        <w:rPr>
          <w:b/>
        </w:rPr>
        <w:t>Senior Living Facilities:</w:t>
      </w:r>
      <w:r>
        <w:t xml:space="preserve"> For those who can no longer live at home, there is a spectrum of housing options, from independent living communities with support services to assisted living and full-service nursing homes. This sector is capacity-constrained and represents a major area for investment.</w:t>
      </w:r>
    </w:p>
    <w:p w14:paraId="194201C5">
      <w:pPr>
        <w:numPr>
          <w:ilvl w:val="-1"/>
          <w:numId w:val="1"/>
        </w:numPr>
        <w:spacing w:after="400" w:line="400" w:lineRule="atLeast"/>
      </w:pPr>
      <w:r>
        <w:rPr>
          <w:b/>
        </w:rPr>
        <w:t>Smart Home Technology:</w:t>
      </w:r>
      <w:r>
        <w:t xml:space="preserve"> Devices that enhance safety and independence, such as automated lighting, emergency alert systems, and remote health monitoring, are becoming integral to the concept of modern senior housing [[31]][[32]].</w:t>
      </w:r>
    </w:p>
    <w:p w14:paraId="652BE389">
      <w:pPr>
        <w:numPr>
          <w:ilvl w:val="-1"/>
          <w:numId w:val="1"/>
        </w:numPr>
        <w:spacing w:after="400" w:line="400" w:lineRule="atLeast"/>
      </w:pPr>
      <w:r>
        <w:rPr>
          <w:b/>
        </w:rPr>
        <w:t>In-Home Services:</w:t>
      </w:r>
      <w:r>
        <w:t xml:space="preserve"> The housing market is increasingly intertwined with services delivered to the home, such as cleaning, maintenance, and gardening, which become difficult for older residents to perform themselves.</w:t>
      </w:r>
    </w:p>
    <w:p w14:paraId="259675D4">
      <w:pPr>
        <w:numPr>
          <w:ilvl w:val="-1"/>
          <w:numId w:val="1"/>
        </w:numPr>
        <w:spacing w:after="400" w:line="400" w:lineRule="atLeast"/>
      </w:pPr>
      <w:r>
        <w:rPr>
          <w:b/>
        </w:rPr>
        <w:t>Future Outlook (to 2050):</w:t>
      </w:r>
      <w:r>
        <w:t xml:space="preserve"> The construction of new, large family homes will be of limited relevance to this demographic. The growth lies in retrofitting Japan's existing housing stock to be age-friendly. The market for barrier-free renovations will be robust for decades. Concurrently, the demand for specialized senior housing will outstrip supply, leading to significant growth in the private nursing and assisted living sectors. Technology will be a key enabler, turning traditional houses into safer, more manageable environments for the elderly.</w:t>
      </w:r>
    </w:p>
    <w:p w14:paraId="0F6FEB5E">
      <w:pPr>
        <w:spacing w:after="400" w:line="400" w:lineRule="atLeast"/>
      </w:pPr>
      <w:r>
        <w:rPr>
          <w:b/>
          <w:sz w:val="26"/>
        </w:rPr>
        <w:t>2.4 Transportation &amp; Mobility: From Ownership to Access</w:t>
      </w:r>
    </w:p>
    <w:p w14:paraId="16BEAF5C">
      <w:pPr>
        <w:numPr>
          <w:ilvl w:val="-1"/>
          <w:numId w:val="1"/>
        </w:numPr>
        <w:spacing w:after="400" w:line="400" w:lineRule="atLeast"/>
      </w:pPr>
      <w:r>
        <w:rPr>
          <w:b/>
        </w:rPr>
        <w:t>Current Market Status &amp; Spending Patterns:</w:t>
      </w:r>
      <w:r>
        <w:t xml:space="preserve"> Expenditure on private transportation generally decreases with age [[33]][[34]]. Many seniors, particularly in the 75+ cohort, voluntarily surrender their driver's licenses due to safety concerns. This leads to reduced spending on vehicle purchases, fuel, insurance, and maintenance. However, the need for mobility does not disappear.</w:t>
      </w:r>
    </w:p>
    <w:p w14:paraId="1068C0DF">
      <w:pPr>
        <w:numPr>
          <w:ilvl w:val="-1"/>
          <w:numId w:val="1"/>
        </w:numPr>
        <w:spacing w:after="400" w:line="400" w:lineRule="atLeast"/>
      </w:pPr>
      <w:r>
        <w:rPr>
          <w:b/>
        </w:rPr>
        <w:t>Elderly-Specific Characteristics and Opportunities:</w:t>
      </w:r>
      <w:r>
        <w:t xml:space="preserve"> The decline in private car ownership creates a vacuum that is being filled by a new ecosystem of mobility services:</w:t>
      </w:r>
    </w:p>
    <w:p w14:paraId="2E8DDACE">
      <w:pPr>
        <w:numPr>
          <w:ilvl w:val="-1"/>
          <w:numId w:val="1"/>
        </w:numPr>
        <w:spacing w:after="400" w:line="400" w:lineRule="atLeast"/>
      </w:pPr>
      <w:r>
        <w:rPr>
          <w:b/>
        </w:rPr>
        <w:t>Community and On-Demand Transport:</w:t>
      </w:r>
      <w:r>
        <w:t xml:space="preserve"> "Demand-responsive" bus services, subsidized taxi programs, and ride-sharing services tailored for seniors are becoming essential lifelines, particularly in rural areas with limited public transport.</w:t>
      </w:r>
    </w:p>
    <w:p w14:paraId="72214F63">
      <w:pPr>
        <w:numPr>
          <w:ilvl w:val="-1"/>
          <w:numId w:val="1"/>
        </w:numPr>
        <w:spacing w:after="400" w:line="400" w:lineRule="atLeast"/>
      </w:pPr>
      <w:r>
        <w:rPr>
          <w:b/>
        </w:rPr>
        <w:t>Delivery Services:</w:t>
      </w:r>
      <w:r>
        <w:t xml:space="preserve"> The growth of e-commerce and food delivery is critically important for seniors with limited mobility. The ability to have groceries, meals, and medications delivered directly to the home is a non-negotiable service for many [[35]].</w:t>
      </w:r>
    </w:p>
    <w:p w14:paraId="35171566">
      <w:pPr>
        <w:numPr>
          <w:ilvl w:val="-1"/>
          <w:numId w:val="1"/>
        </w:numPr>
        <w:spacing w:after="400" w:line="400" w:lineRule="atLeast"/>
      </w:pPr>
      <w:r>
        <w:rPr>
          <w:b/>
        </w:rPr>
        <w:t>Mobility Aids:</w:t>
      </w:r>
      <w:r>
        <w:t xml:space="preserve"> The market for personal mobility devices, including electric scooters, advanced walkers, and lightweight wheelchairs, will grow in direct proportion to the 85+ population.</w:t>
      </w:r>
    </w:p>
    <w:p w14:paraId="0220AF6F">
      <w:pPr>
        <w:numPr>
          <w:ilvl w:val="-1"/>
          <w:numId w:val="1"/>
        </w:numPr>
        <w:spacing w:after="400" w:line="400" w:lineRule="atLeast"/>
      </w:pPr>
      <w:r>
        <w:rPr>
          <w:b/>
        </w:rPr>
        <w:t>Public Transit Accessibility:</w:t>
      </w:r>
      <w:r>
        <w:t xml:space="preserve"> While not a direct consumer expenditure, investment in making train stations and bus stops more accessible (e.g., with elevators and ramps) indirectly supports elderly mobility and their ability to participate in the economy.</w:t>
      </w:r>
    </w:p>
    <w:p w14:paraId="7F3D6DF8">
      <w:pPr>
        <w:numPr>
          <w:ilvl w:val="-1"/>
          <w:numId w:val="1"/>
        </w:numPr>
        <w:spacing w:after="400" w:line="400" w:lineRule="atLeast"/>
      </w:pPr>
      <w:r>
        <w:rPr>
          <w:b/>
        </w:rPr>
        <w:t>Future Outlook (to 2050):</w:t>
      </w:r>
      <w:r>
        <w:t xml:space="preserve"> The model of transportation for the elderly will shift decisively from ownership to access. The market for private cars among the 75+ will continue to shrink. The growth sectors are Mobility-as-a-Service (MaaS) platforms that are easy for seniors to use, logistics and delivery networks optimized for single-person households, and the manufacturing of safe, user-friendly personal mobility devices. The integration of autonomous vehicle technology could be a game-changer in the 2040s, potentially solving the "last mile" problem for isolated seniors.</w:t>
      </w:r>
    </w:p>
    <w:p w14:paraId="79E680A4">
      <w:pPr>
        <w:spacing w:after="400" w:line="400" w:lineRule="atLeast"/>
      </w:pPr>
      <w:r>
        <w:rPr>
          <w:b/>
          <w:sz w:val="30"/>
        </w:rPr>
        <w:t>3. Analysis of Other Significant Consumption Categories</w:t>
      </w:r>
    </w:p>
    <w:p w14:paraId="5085EFBB">
      <w:pPr>
        <w:spacing w:after="400" w:line="400" w:lineRule="atLeast"/>
      </w:pPr>
      <w:r>
        <w:t>Beyond the four core sectors, the elderly consumer landscape is defined by spending in several other critical areas that are experiencing dynamic growth and transformation. These categories—healthcare, leisure, technology, financial services, and personal care—are arguably where the most significant future market potential lies, as they are closely tied to the evolving needs and priorities of an aging population.</w:t>
      </w:r>
    </w:p>
    <w:p w14:paraId="6DB34239">
      <w:pPr>
        <w:spacing w:after="400" w:line="400" w:lineRule="atLeast"/>
      </w:pPr>
      <w:r>
        <w:rPr>
          <w:b/>
          <w:sz w:val="26"/>
        </w:rPr>
        <w:t>3.1 Healthcare &amp; Medical Services: The Unquestioned Growth Engine</w:t>
      </w:r>
    </w:p>
    <w:p w14:paraId="1C548A25">
      <w:pPr>
        <w:numPr>
          <w:ilvl w:val="-1"/>
          <w:numId w:val="1"/>
        </w:numPr>
        <w:spacing w:after="400" w:line="400" w:lineRule="atLeast"/>
      </w:pPr>
      <w:r>
        <w:rPr>
          <w:b/>
        </w:rPr>
        <w:t>Market Potential and Spending Patterns:</w:t>
      </w:r>
      <w:r>
        <w:t xml:space="preserve"> This is, without question, the largest and fastest-growing segment of the silver market. As individuals age, healthcare spending becomes increasingly non-discretionary and substantial. Japanese government data confirms that the 75+ population has a disproportionately large impact on overall medical expenditures [[36]]. This category encompasses a wide range of goods and services:</w:t>
      </w:r>
    </w:p>
    <w:p w14:paraId="3A1058D9">
      <w:pPr>
        <w:numPr>
          <w:ilvl w:val="-1"/>
          <w:numId w:val="1"/>
        </w:numPr>
        <w:spacing w:after="400" w:line="400" w:lineRule="atLeast"/>
      </w:pPr>
      <w:r>
        <w:rPr>
          <w:b/>
        </w:rPr>
        <w:t>Pharmaceuticals:</w:t>
      </w:r>
      <w:r>
        <w:t xml:space="preserve"> Prescription drugs for chronic conditions such as hypertension, diabetes, and arthritis.</w:t>
      </w:r>
    </w:p>
    <w:p w14:paraId="72229ADE">
      <w:pPr>
        <w:numPr>
          <w:ilvl w:val="-1"/>
          <w:numId w:val="1"/>
        </w:numPr>
        <w:spacing w:after="400" w:line="400" w:lineRule="atLeast"/>
      </w:pPr>
      <w:r>
        <w:rPr>
          <w:b/>
        </w:rPr>
        <w:t>Medical Services:</w:t>
      </w:r>
      <w:r>
        <w:t xml:space="preserve"> Hospital visits, specialist consultations, and regular check-ups.</w:t>
      </w:r>
    </w:p>
    <w:p w14:paraId="0835CF21">
      <w:pPr>
        <w:numPr>
          <w:ilvl w:val="-1"/>
          <w:numId w:val="1"/>
        </w:numPr>
        <w:spacing w:after="400" w:line="400" w:lineRule="atLeast"/>
      </w:pPr>
      <w:r>
        <w:rPr>
          <w:b/>
        </w:rPr>
        <w:t>Medical Devices:</w:t>
      </w:r>
      <w:r>
        <w:t xml:space="preserve"> Hearing aids, blood pressure monitors, glucose meters, and more complex home-use medical equipment.</w:t>
      </w:r>
    </w:p>
    <w:p w14:paraId="342141C6">
      <w:pPr>
        <w:numPr>
          <w:ilvl w:val="-1"/>
          <w:numId w:val="1"/>
        </w:numPr>
        <w:spacing w:after="400" w:line="400" w:lineRule="atLeast"/>
      </w:pPr>
      <w:r>
        <w:rPr>
          <w:b/>
        </w:rPr>
        <w:t>Long-Term Care (LTC):</w:t>
      </w:r>
      <w:r>
        <w:t xml:space="preserve"> This is a colossal sub-market in itself, including in-home caregivers, day care centers (dei sābisu), and residency in nursing homes. The 85+ cohort is the primary consumer of these services [[37]].</w:t>
      </w:r>
    </w:p>
    <w:p w14:paraId="4D478BC4">
      <w:pPr>
        <w:numPr>
          <w:ilvl w:val="-1"/>
          <w:numId w:val="1"/>
        </w:numPr>
        <w:spacing w:after="400" w:line="400" w:lineRule="atLeast"/>
      </w:pPr>
      <w:r>
        <w:rPr>
          <w:b/>
        </w:rPr>
        <w:t>Preventative Health:</w:t>
      </w:r>
      <w:r>
        <w:t xml:space="preserve"> Health supplements, fitness programs tailored for seniors, and preventative screenings.</w:t>
      </w:r>
    </w:p>
    <w:p w14:paraId="7B17F081">
      <w:pPr>
        <w:numPr>
          <w:ilvl w:val="-1"/>
          <w:numId w:val="1"/>
        </w:numPr>
        <w:spacing w:after="400" w:line="400" w:lineRule="atLeast"/>
      </w:pPr>
      <w:r>
        <w:rPr>
          <w:b/>
        </w:rPr>
        <w:t>Future Outlook (to 2050):</w:t>
      </w:r>
      <w:r>
        <w:t xml:space="preserve"> The growth trajectory for this sector is locked in by demographics. The market for pharmaceuticals and medical services will expand steadily. The most dramatic growth will be in the long-term care sector, driven by the explosion of the 85+ population. Furthermore, a paradigm shift from reactive treatment to proactive and preventative care will create new markets for wellness services, personalized nutrition, and health monitoring technologies. The integration of AI for diagnostics and telehealth for consultations will reshape service delivery, aiming to improve efficiency and manage escalating costs [[38]].</w:t>
      </w:r>
    </w:p>
    <w:p w14:paraId="72792C4D">
      <w:pPr>
        <w:spacing w:after="400" w:line="400" w:lineRule="atLeast"/>
      </w:pPr>
      <w:r>
        <w:rPr>
          <w:b/>
          <w:sz w:val="26"/>
        </w:rPr>
        <w:t>3.2 Leisure, Travel &amp; Entertainment: The "Active Senior" Market</w:t>
      </w:r>
    </w:p>
    <w:p w14:paraId="67E70DD9">
      <w:pPr>
        <w:numPr>
          <w:ilvl w:val="-1"/>
          <w:numId w:val="1"/>
        </w:numPr>
        <w:spacing w:after="400" w:line="400" w:lineRule="atLeast"/>
      </w:pPr>
      <w:r>
        <w:rPr>
          <w:b/>
        </w:rPr>
        <w:t>Market Potential and Spending Patterns:</w:t>
      </w:r>
      <w:r>
        <w:t xml:space="preserve"> While healthcare is a necessity, leisure is a key determinant of quality of life. Japan's "active seniors," particularly those in the 65-74 age bracket, have both time and disposable income, making them a prime market for the leisure industry [[39]][[40]]. Key spending areas include:</w:t>
      </w:r>
    </w:p>
    <w:p w14:paraId="7F1441F4">
      <w:pPr>
        <w:numPr>
          <w:ilvl w:val="-1"/>
          <w:numId w:val="1"/>
        </w:numPr>
        <w:spacing w:after="400" w:line="400" w:lineRule="atLeast"/>
      </w:pPr>
      <w:r>
        <w:rPr>
          <w:b/>
        </w:rPr>
        <w:t>Domestic Travel:</w:t>
      </w:r>
      <w:r>
        <w:t xml:space="preserve"> Tours focused on culture, history, hot springs (onsen), and nature are extremely popular. These tours often feature a slower pace, accessible accommodation, and group-oriented activities.</w:t>
      </w:r>
    </w:p>
    <w:p w14:paraId="10BCE1D4">
      <w:pPr>
        <w:numPr>
          <w:ilvl w:val="-1"/>
          <w:numId w:val="1"/>
        </w:numPr>
        <w:spacing w:after="400" w:line="400" w:lineRule="atLeast"/>
      </w:pPr>
      <w:r>
        <w:rPr>
          <w:b/>
        </w:rPr>
        <w:t>Hobbies and Education:</w:t>
      </w:r>
      <w:r>
        <w:t xml:space="preserve"> Lifelong learning centers, cultural classes (e.g., calligraphy, pottery), gardening, and photography clubs see high participation from seniors.</w:t>
      </w:r>
    </w:p>
    <w:p w14:paraId="611ACB86">
      <w:pPr>
        <w:numPr>
          <w:ilvl w:val="-1"/>
          <w:numId w:val="1"/>
        </w:numPr>
        <w:spacing w:after="400" w:line="400" w:lineRule="atLeast"/>
      </w:pPr>
      <w:r>
        <w:rPr>
          <w:b/>
        </w:rPr>
        <w:t>Social Activities:</w:t>
      </w:r>
      <w:r>
        <w:t xml:space="preserve"> Karaoke, gateball, and community center events are important venues for social interaction and entertainment.</w:t>
      </w:r>
    </w:p>
    <w:p w14:paraId="2A43AD28">
      <w:pPr>
        <w:numPr>
          <w:ilvl w:val="-1"/>
          <w:numId w:val="1"/>
        </w:numPr>
        <w:spacing w:after="400" w:line="400" w:lineRule="atLeast"/>
      </w:pPr>
      <w:r>
        <w:rPr>
          <w:b/>
        </w:rPr>
        <w:t>Dining and Entertainment:</w:t>
      </w:r>
      <w:r>
        <w:t xml:space="preserve"> Spending on dining out and attending cultural performances remains a significant part of the budget for mobile seniors [[41]][[42]].</w:t>
      </w:r>
    </w:p>
    <w:p w14:paraId="1AE83640">
      <w:pPr>
        <w:numPr>
          <w:ilvl w:val="-1"/>
          <w:numId w:val="1"/>
        </w:numPr>
        <w:spacing w:after="400" w:line="400" w:lineRule="atLeast"/>
      </w:pPr>
      <w:r>
        <w:rPr>
          <w:b/>
        </w:rPr>
        <w:t>Future Outlook (to 2050):</w:t>
      </w:r>
      <w:r>
        <w:t xml:space="preserve"> The nature of the leisure market will evolve with the demographic shift. The market for high-intensity, international travel may see pressure as the "young-old" cohort shrinks. However, the demand for accessible, safe, and culturally rich domestic travel will remain strong. The market for in-home and community-based leisure will grow significantly. This includes streaming services, online learning platforms, and virtual travel experiences that cater to those with limited mobility. The "experience economy" will be more valuable than the "goods economy" for this demographic.</w:t>
      </w:r>
    </w:p>
    <w:p w14:paraId="4A6A0743">
      <w:pPr>
        <w:spacing w:after="400" w:line="400" w:lineRule="atLeast"/>
      </w:pPr>
      <w:r>
        <w:rPr>
          <w:b/>
          <w:sz w:val="26"/>
        </w:rPr>
        <w:t>3.3 Technology &amp; Digital Services: Bridging the Digital Divide</w:t>
      </w:r>
    </w:p>
    <w:p w14:paraId="3E83308F">
      <w:pPr>
        <w:numPr>
          <w:ilvl w:val="-1"/>
          <w:numId w:val="1"/>
        </w:numPr>
        <w:spacing w:after="400" w:line="400" w:lineRule="atLeast"/>
      </w:pPr>
      <w:r>
        <w:rPr>
          <w:b/>
        </w:rPr>
        <w:t>Market Potential and Spending Patterns:</w:t>
      </w:r>
      <w:r>
        <w:t xml:space="preserve"> Technology is a dual-edged sword for the elderly market. While there is a documented digital divide, with many seniors struggling with complex devices [[43]]the potential for technology to solve age-related challenges is immense. The market is rapidly expanding beyond basic smartphones to include:</w:t>
      </w:r>
    </w:p>
    <w:p w14:paraId="4E0DB357">
      <w:pPr>
        <w:numPr>
          <w:ilvl w:val="-1"/>
          <w:numId w:val="1"/>
        </w:numPr>
        <w:spacing w:after="400" w:line="400" w:lineRule="atLeast"/>
      </w:pPr>
      <w:r>
        <w:rPr>
          <w:b/>
        </w:rPr>
        <w:t>Assistive Technology:</w:t>
      </w:r>
      <w:r>
        <w:t xml:space="preserve"> Service and communication robots, mobility aids, and devices that help with daily tasks [[44]].</w:t>
      </w:r>
    </w:p>
    <w:p w14:paraId="426B6612">
      <w:pPr>
        <w:numPr>
          <w:ilvl w:val="-1"/>
          <w:numId w:val="1"/>
        </w:numPr>
        <w:spacing w:after="400" w:line="400" w:lineRule="atLeast"/>
      </w:pPr>
      <w:r>
        <w:rPr>
          <w:b/>
        </w:rPr>
        <w:t>Smart Home &amp; Safety:</w:t>
      </w:r>
      <w:r>
        <w:t xml:space="preserve"> IoT devices for remote monitoring by family members, fall detection sensors, automated medication dispensers, and voice-activated controls for lighting and appliances [[45]][[46]].</w:t>
      </w:r>
    </w:p>
    <w:p w14:paraId="0CF6FEF3">
      <w:pPr>
        <w:numPr>
          <w:ilvl w:val="-1"/>
          <w:numId w:val="1"/>
        </w:numPr>
        <w:spacing w:after="400" w:line="400" w:lineRule="atLeast"/>
      </w:pPr>
      <w:r>
        <w:rPr>
          <w:b/>
        </w:rPr>
        <w:t>Digital Health:</w:t>
      </w:r>
      <w:r>
        <w:t xml:space="preserve"> Telehealth platforms for remote consultations, wearable devices that track vital signs, and apps for managing chronic conditions.</w:t>
      </w:r>
    </w:p>
    <w:p w14:paraId="7D8417F6">
      <w:pPr>
        <w:numPr>
          <w:ilvl w:val="-1"/>
          <w:numId w:val="1"/>
        </w:numPr>
        <w:spacing w:after="400" w:line="400" w:lineRule="atLeast"/>
      </w:pPr>
      <w:r>
        <w:rPr>
          <w:b/>
        </w:rPr>
        <w:t>Social Connectivity:</w:t>
      </w:r>
      <w:r>
        <w:t xml:space="preserve"> Simplified smartphones and tablets designed for seniors, and social media platforms that connect them with family and friends.</w:t>
      </w:r>
    </w:p>
    <w:p w14:paraId="27618CA3">
      <w:pPr>
        <w:numPr>
          <w:ilvl w:val="-1"/>
          <w:numId w:val="1"/>
        </w:numPr>
        <w:spacing w:after="400" w:line="400" w:lineRule="atLeast"/>
      </w:pPr>
      <w:r>
        <w:rPr>
          <w:b/>
        </w:rPr>
        <w:t>E-commerce and Delivery Apps:</w:t>
      </w:r>
      <w:r>
        <w:t xml:space="preserve"> These services are critical for independent living, providing access to food, medicine, and other necessities.</w:t>
      </w:r>
    </w:p>
    <w:p w14:paraId="674904C7">
      <w:pPr>
        <w:numPr>
          <w:ilvl w:val="-1"/>
          <w:numId w:val="1"/>
        </w:numPr>
        <w:spacing w:after="400" w:line="400" w:lineRule="atLeast"/>
      </w:pPr>
      <w:r>
        <w:rPr>
          <w:b/>
        </w:rPr>
        <w:t>Future Outlook (to 2050):</w:t>
      </w:r>
      <w:r>
        <w:t xml:space="preserve"> This is a high-growth sector. As more digitally native generations enter their senior years, the adoption barrier will decrease [[47]]. Technology will become less of a product and more of an integrated service that enables independence, safety, and social connection. The convergence of AI, IoT, and robotics will create a new class of "aging-in-place" solutions. Companies that focus on user-friendly interfaces, robust customer support, and demonstrating clear value in terms of safety and convenience will succeed.</w:t>
      </w:r>
    </w:p>
    <w:p w14:paraId="49D7004D">
      <w:pPr>
        <w:spacing w:after="400" w:line="400" w:lineRule="atLeast"/>
      </w:pPr>
      <w:r>
        <w:rPr>
          <w:b/>
          <w:sz w:val="26"/>
        </w:rPr>
        <w:t>3.4 Financial Services: Managing Wealth in the Later Stages of Life</w:t>
      </w:r>
    </w:p>
    <w:p w14:paraId="1F7CEFD2">
      <w:pPr>
        <w:numPr>
          <w:ilvl w:val="-1"/>
          <w:numId w:val="1"/>
        </w:numPr>
        <w:spacing w:after="400" w:line="400" w:lineRule="atLeast"/>
      </w:pPr>
      <w:r>
        <w:rPr>
          <w:b/>
        </w:rPr>
        <w:t>Market Potential and Spending Patterns:</w:t>
      </w:r>
      <w:r>
        <w:t xml:space="preserve"> The elderly population in Japan holds a disproportionately large share of the nation's household financial assets. This creates a substantial market for financial services tailored to their specific needs, which pivot from accumulation to preservation and decumulation.</w:t>
      </w:r>
    </w:p>
    <w:p w14:paraId="78192F7E">
      <w:pPr>
        <w:numPr>
          <w:ilvl w:val="-1"/>
          <w:numId w:val="1"/>
        </w:numPr>
        <w:spacing w:after="400" w:line="400" w:lineRule="atLeast"/>
      </w:pPr>
      <w:r>
        <w:rPr>
          <w:b/>
        </w:rPr>
        <w:t>Asset Management:</w:t>
      </w:r>
      <w:r>
        <w:t xml:space="preserve"> Low-risk investment products designed to generate stable income and preserve capital.</w:t>
      </w:r>
    </w:p>
    <w:p w14:paraId="465E1A32">
      <w:pPr>
        <w:numPr>
          <w:ilvl w:val="-1"/>
          <w:numId w:val="1"/>
        </w:numPr>
        <w:spacing w:after="400" w:line="400" w:lineRule="atLeast"/>
      </w:pPr>
      <w:r>
        <w:rPr>
          <w:b/>
        </w:rPr>
        <w:t>Inheritance and Succession Planning:</w:t>
      </w:r>
      <w:r>
        <w:t xml:space="preserve"> Wills, trusts, and advisory services to ensure the smooth transfer of assets to the next generation.</w:t>
      </w:r>
    </w:p>
    <w:p w14:paraId="09CA146D">
      <w:pPr>
        <w:numPr>
          <w:ilvl w:val="-1"/>
          <w:numId w:val="1"/>
        </w:numPr>
        <w:spacing w:after="400" w:line="400" w:lineRule="atLeast"/>
      </w:pPr>
      <w:r>
        <w:rPr>
          <w:b/>
        </w:rPr>
        <w:t>Reverse Mortgages:</w:t>
      </w:r>
      <w:r>
        <w:t xml:space="preserve"> Products that allow homeowners to convert home equity into cash flow to supplement their pensions.</w:t>
      </w:r>
    </w:p>
    <w:p w14:paraId="47898038">
      <w:pPr>
        <w:numPr>
          <w:ilvl w:val="-1"/>
          <w:numId w:val="1"/>
        </w:numPr>
        <w:spacing w:after="400" w:line="400" w:lineRule="atLeast"/>
      </w:pPr>
      <w:r>
        <w:rPr>
          <w:b/>
        </w:rPr>
        <w:t>Insurance:</w:t>
      </w:r>
      <w:r>
        <w:t xml:space="preserve"> Specialized insurance products, such as dementia care insurance or funeral insurance.</w:t>
      </w:r>
    </w:p>
    <w:p w14:paraId="426CC157">
      <w:pPr>
        <w:numPr>
          <w:ilvl w:val="-1"/>
          <w:numId w:val="1"/>
        </w:numPr>
        <w:spacing w:after="400" w:line="400" w:lineRule="atLeast"/>
      </w:pPr>
      <w:r>
        <w:rPr>
          <w:b/>
        </w:rPr>
        <w:t>Fraud Protection:</w:t>
      </w:r>
      <w:r>
        <w:t xml:space="preserve"> Services and technologies designed to protect seniors from financial scams, which are a growing concern.</w:t>
      </w:r>
    </w:p>
    <w:p w14:paraId="03506768">
      <w:pPr>
        <w:numPr>
          <w:ilvl w:val="-1"/>
          <w:numId w:val="1"/>
        </w:numPr>
        <w:spacing w:after="400" w:line="400" w:lineRule="atLeast"/>
      </w:pPr>
      <w:r>
        <w:rPr>
          <w:b/>
        </w:rPr>
        <w:t>Future Outlook (to 2050):</w:t>
      </w:r>
      <w:r>
        <w:t xml:space="preserve"> This market will grow in complexity. As the baby boomer generation passes on its wealth, there will be a massive intergenerational wealth transfer, requiring sophisticated financial planning. The demand for digital financial services that are secure and easy to use will increase. Financial institutions will need to combine high-tech solutions with high-touch, personalized advice to build trust with this demographic.</w:t>
      </w:r>
    </w:p>
    <w:p w14:paraId="321F1F28">
      <w:pPr>
        <w:spacing w:after="400" w:line="400" w:lineRule="atLeast"/>
      </w:pPr>
      <w:r>
        <w:rPr>
          <w:b/>
          <w:sz w:val="26"/>
        </w:rPr>
        <w:t>3.5 Personal Care &amp; Wellness: The Pursuit of a Healthy Lifespan</w:t>
      </w:r>
    </w:p>
    <w:p w14:paraId="34DBA355">
      <w:pPr>
        <w:numPr>
          <w:ilvl w:val="-1"/>
          <w:numId w:val="1"/>
        </w:numPr>
        <w:spacing w:after="400" w:line="400" w:lineRule="atLeast"/>
      </w:pPr>
      <w:r>
        <w:rPr>
          <w:b/>
        </w:rPr>
        <w:t>Market Potential and Spending Patterns:</w:t>
      </w:r>
      <w:r>
        <w:t xml:space="preserve"> This sector extends beyond basic hygiene to encompass products and services that promote health, well-being, and dignity in old age.</w:t>
      </w:r>
    </w:p>
    <w:p w14:paraId="48983CCC">
      <w:pPr>
        <w:numPr>
          <w:ilvl w:val="-1"/>
          <w:numId w:val="1"/>
        </w:numPr>
        <w:spacing w:after="400" w:line="400" w:lineRule="atLeast"/>
      </w:pPr>
      <w:r>
        <w:rPr>
          <w:b/>
        </w:rPr>
        <w:t>Adult Incontinence Products:</w:t>
      </w:r>
      <w:r>
        <w:t xml:space="preserve"> A massive and rapidly growing market, directly tied to the aging of the 85+ cohort. This market in Japan is already larger than that for infant diapers [[48]].</w:t>
      </w:r>
    </w:p>
    <w:p w14:paraId="5A722918">
      <w:pPr>
        <w:numPr>
          <w:ilvl w:val="-1"/>
          <w:numId w:val="1"/>
        </w:numPr>
        <w:spacing w:after="400" w:line="400" w:lineRule="atLeast"/>
      </w:pPr>
      <w:r>
        <w:rPr>
          <w:b/>
        </w:rPr>
        <w:t>Skincare and Cosmetics:</w:t>
      </w:r>
      <w:r>
        <w:t xml:space="preserve"> Products formulated for mature skin, focusing on hydration, sun protection, and anti-aging benefits.</w:t>
      </w:r>
    </w:p>
    <w:p w14:paraId="62555E00">
      <w:pPr>
        <w:numPr>
          <w:ilvl w:val="-1"/>
          <w:numId w:val="1"/>
        </w:numPr>
        <w:spacing w:after="400" w:line="400" w:lineRule="atLeast"/>
      </w:pPr>
      <w:r>
        <w:rPr>
          <w:b/>
        </w:rPr>
        <w:t>Mobility-Related Care:</w:t>
      </w:r>
      <w:r>
        <w:t xml:space="preserve"> Products for preventing pressure sores, and specialized bathing and toileting aids.</w:t>
      </w:r>
    </w:p>
    <w:p w14:paraId="6A8E9E55">
      <w:pPr>
        <w:numPr>
          <w:ilvl w:val="-1"/>
          <w:numId w:val="1"/>
        </w:numPr>
        <w:spacing w:after="400" w:line="400" w:lineRule="atLeast"/>
      </w:pPr>
      <w:r>
        <w:rPr>
          <w:b/>
        </w:rPr>
        <w:t>Wellness Services:</w:t>
      </w:r>
      <w:r>
        <w:t xml:space="preserve"> Senior-focused gyms, massage therapy, acupuncture, and mental wellness services like counseling and mindfulness programs.</w:t>
      </w:r>
    </w:p>
    <w:p w14:paraId="78DB97A6">
      <w:pPr>
        <w:numPr>
          <w:ilvl w:val="-1"/>
          <w:numId w:val="1"/>
        </w:numPr>
        <w:spacing w:after="400" w:line="400" w:lineRule="atLeast"/>
      </w:pPr>
      <w:r>
        <w:rPr>
          <w:b/>
        </w:rPr>
        <w:t>Future Outlook (to 2050):</w:t>
      </w:r>
      <w:r>
        <w:t xml:space="preserve"> Growth in this sector is guaranteed. The market for incontinence products will continue its strong expansion. There will also be a growing convergence between personal care and healthcare, with a focus on "preventative wellness." Products and services that not only address the symptoms of aging but also help maintain physical and mental function for longer will command a premium.</w:t>
      </w:r>
    </w:p>
    <w:p w14:paraId="5B49B4B9">
      <w:pPr>
        <w:spacing w:after="400" w:line="400" w:lineRule="atLeast"/>
      </w:pPr>
      <w:r>
        <w:rPr>
          <w:b/>
          <w:sz w:val="30"/>
        </w:rPr>
        <w:t>4. Key Drivers of Elderly Consumption Willingness</w:t>
      </w:r>
    </w:p>
    <w:p w14:paraId="0367FDF6">
      <w:pPr>
        <w:spacing w:after="400" w:line="400" w:lineRule="atLeast"/>
      </w:pPr>
      <w:r>
        <w:t>The potential size of the elderly market is defined by demographics, but the actual level of consumption—the willingness of seniors to spend—is governed by a complex set of economic, social, and personal factors. Understanding these drivers is crucial for forecasting market behavior and identifying potential risks and opportunities.</w:t>
      </w:r>
    </w:p>
    <w:p w14:paraId="07AAD5C4">
      <w:pPr>
        <w:spacing w:after="400" w:line="400" w:lineRule="atLeast"/>
      </w:pPr>
      <w:r>
        <w:rPr>
          <w:b/>
          <w:sz w:val="26"/>
        </w:rPr>
        <w:t>4.1 Income and Pension System Dynamics</w:t>
      </w:r>
    </w:p>
    <w:p w14:paraId="26C31488">
      <w:pPr>
        <w:spacing w:after="400" w:line="400" w:lineRule="atLeast"/>
      </w:pPr>
      <w:r>
        <w:t>The primary source of income for the vast majority of Japanese retirees is the public pension system. Consequently, the adequacy and stability of this system are the most critical determinants of their baseline consumption power.</w:t>
      </w:r>
    </w:p>
    <w:p w14:paraId="545439E7">
      <w:pPr>
        <w:numPr>
          <w:ilvl w:val="-1"/>
          <w:numId w:val="1"/>
        </w:numPr>
        <w:spacing w:after="400" w:line="400" w:lineRule="atLeast"/>
      </w:pPr>
      <w:r>
        <w:rPr>
          <w:b/>
        </w:rPr>
        <w:t>Current Situation:</w:t>
      </w:r>
      <w:r>
        <w:t xml:space="preserve"> Japan's public pension system, while comprehensive, faces significant sustainability challenges due to the declining number of active workers supporting a growing number of retirees [[49]][[50]][[51]]. For many, pension benefits alone are insufficient to cover all living expenses, creating a gap that must be filled by savings, part-time work, or family support. The average pension level influences purchasing power, and there are ongoing concerns about its adequacy, particularly for lower-income households [[52]][[53]].</w:t>
      </w:r>
    </w:p>
    <w:p w14:paraId="17B2C055">
      <w:pPr>
        <w:numPr>
          <w:ilvl w:val="-1"/>
          <w:numId w:val="1"/>
        </w:numPr>
        <w:spacing w:after="400" w:line="400" w:lineRule="atLeast"/>
      </w:pPr>
      <w:r>
        <w:rPr>
          <w:b/>
        </w:rPr>
        <w:t>Evolving Factors:</w:t>
      </w:r>
      <w:r>
        <w:t xml:space="preserve"> The Japanese government is continually exploring reforms to ensure the system's solvency. These may include raising the retirement age, adjusting benefit calculation formulas, or increasing contributions. Any downward adjustment to pension benefits would directly and negatively impact discretionary spending for millions of elderly households [[54]]. Conversely, policies that bolster pension income would have a stimulating effect. The future consumption landscape is therefore highly sensitive to the political and economic outcomes of pension reform debates.</w:t>
      </w:r>
    </w:p>
    <w:p w14:paraId="68C3AC15">
      <w:pPr>
        <w:spacing w:after="400" w:line="400" w:lineRule="atLeast"/>
      </w:pPr>
      <w:r>
        <w:rPr>
          <w:b/>
          <w:sz w:val="26"/>
        </w:rPr>
        <w:t>4.2 Savings, Assets, and Wealth Distribution</w:t>
      </w:r>
    </w:p>
    <w:p w14:paraId="3654B641">
      <w:pPr>
        <w:spacing w:after="400" w:line="400" w:lineRule="atLeast"/>
      </w:pPr>
      <w:r>
        <w:t>Japanese households, particularly the current generation of seniors, are known for their high savings rates. Accumulated wealth is the second pillar supporting elderly consumption, especially for larger, discretionary purchases.</w:t>
      </w:r>
    </w:p>
    <w:p w14:paraId="3224969B">
      <w:pPr>
        <w:numPr>
          <w:ilvl w:val="-1"/>
          <w:numId w:val="1"/>
        </w:numPr>
        <w:spacing w:after="400" w:line="400" w:lineRule="atLeast"/>
      </w:pPr>
      <w:r>
        <w:rPr>
          <w:b/>
        </w:rPr>
        <w:t>Current Situation:</w:t>
      </w:r>
      <w:r>
        <w:t xml:space="preserve"> The elderly population holds a significant majority of Japan's household financial assets. This accumulated wealth acts as a crucial buffer, allowing seniors to maintain their standard of living and cover unexpected expenses, such as major medical bills or home repairs. This asset base fuels the market for everything from travel and leisure to financial products and high-end senior living facilities.</w:t>
      </w:r>
    </w:p>
    <w:p w14:paraId="2EC3A93F">
      <w:pPr>
        <w:numPr>
          <w:ilvl w:val="-1"/>
          <w:numId w:val="1"/>
        </w:numPr>
        <w:spacing w:after="400" w:line="400" w:lineRule="atLeast"/>
      </w:pPr>
      <w:r>
        <w:rPr>
          <w:b/>
        </w:rPr>
        <w:t>Evolving Factors:</w:t>
      </w:r>
      <w:r>
        <w:t xml:space="preserve"> The distribution of this wealth is uneven. While many seniors are asset-rich, a growing number have limited savings, making them highly vulnerable to economic shocks. Furthermore, it is uncertain whether future generations of retirees (those who will be 65+ in the 2040s) will have accumulated the same level of savings as their parents, given decades of stagnant wage growth and a shift towards non-regular employment. A potential decline in the average savings of future senior cohorts could dampen the long-term growth prospects of the silver market.</w:t>
      </w:r>
    </w:p>
    <w:p w14:paraId="687F2082">
      <w:pPr>
        <w:spacing w:after="400" w:line="400" w:lineRule="atLeast"/>
      </w:pPr>
      <w:r>
        <w:rPr>
          <w:b/>
          <w:sz w:val="26"/>
        </w:rPr>
        <w:t>4.3 Health Status and Long-Term Care Infrastructure</w:t>
      </w:r>
    </w:p>
    <w:p w14:paraId="799BD4AC">
      <w:pPr>
        <w:spacing w:after="400" w:line="400" w:lineRule="atLeast"/>
      </w:pPr>
      <w:r>
        <w:t>An individual's health is a primary determinant of their consumption patterns. As health declines, spending inevitably shifts from discretionary categories to non-discretionary medical and care-related expenses.</w:t>
      </w:r>
    </w:p>
    <w:p w14:paraId="21B60927">
      <w:pPr>
        <w:numPr>
          <w:ilvl w:val="-1"/>
          <w:numId w:val="1"/>
        </w:numPr>
        <w:spacing w:after="400" w:line="400" w:lineRule="atLeast"/>
      </w:pPr>
      <w:r>
        <w:rPr>
          <w:b/>
        </w:rPr>
        <w:t>Current Situation:</w:t>
      </w:r>
      <w:r>
        <w:t xml:space="preserve"> The introduction of the Long-Term Care Insurance (LTCI) system in 2000 created a foundational support structure for the elderly [[55]][[56]]. It socializes a significant portion of the cost of care. However, it does not eliminate out-of-pocket expenses. Co-payments for services and monthly LTCI premiums represent a growing financial burden on elderly households [[57]][[58]]. These mandatory health and care-related expenditures directly reduce the amount of disposable income available for other goods and services. The correlation is clear: as the need for care increases, spending on travel, entertainment, and non-essential goods decreases.</w:t>
      </w:r>
    </w:p>
    <w:p w14:paraId="62C0E3BF">
      <w:pPr>
        <w:numPr>
          <w:ilvl w:val="-1"/>
          <w:numId w:val="1"/>
        </w:numPr>
        <w:spacing w:after="400" w:line="400" w:lineRule="atLeast"/>
      </w:pPr>
      <w:r>
        <w:rPr>
          <w:b/>
        </w:rPr>
        <w:t>Evolving Factors:</w:t>
      </w:r>
      <w:r>
        <w:t xml:space="preserve"> The cost of both healthcare and long-term care is projected to rise significantly, driven by the aging population and the adoption of advanced medical technologies [[59]][[60]]. This will likely necessitate increases in both public spending and individual financial contributions (premiums and co-payments) [[61]][[62]]. This "crowding out" effect, where essential health spending displaces discretionary spending, is one of the most significant potential constraints on the overall growth of the consumer-facing silver market.</w:t>
      </w:r>
    </w:p>
    <w:p w14:paraId="74B63A57">
      <w:pPr>
        <w:spacing w:after="400" w:line="400" w:lineRule="atLeast"/>
      </w:pPr>
      <w:r>
        <w:rPr>
          <w:b/>
          <w:sz w:val="26"/>
        </w:rPr>
        <w:t>4.4 Cultural and Social Nuances</w:t>
      </w:r>
    </w:p>
    <w:p w14:paraId="68EDA91E">
      <w:pPr>
        <w:spacing w:after="400" w:line="400" w:lineRule="atLeast"/>
      </w:pPr>
      <w:r>
        <w:t>Consumption is not purely an economic decision; it is also shaped by cultural values and social norms.</w:t>
      </w:r>
    </w:p>
    <w:p w14:paraId="4FB9B5E5">
      <w:pPr>
        <w:numPr>
          <w:ilvl w:val="-1"/>
          <w:numId w:val="1"/>
        </w:numPr>
        <w:spacing w:after="400" w:line="400" w:lineRule="atLeast"/>
      </w:pPr>
      <w:r>
        <w:rPr>
          <w:b/>
        </w:rPr>
        <w:t>Current Situation:</w:t>
      </w:r>
      <w:r>
        <w:t xml:space="preserve"> The current generation of Japanese seniors was largely raised in a post-war environment that valued frugality, saving, and prioritizing the needs of the family. This can translate into a reluctance to spend lavishly on themselves, even when they have the financial means. However, the baby boomer generation and subsequent cohorts have a different mindset, having experienced Japan's economic boom. They are generally more willing to spend on leisure, self-improvement, and experiences, giving rise to the "active senior" consumer profile [[63]][[64]].</w:t>
      </w:r>
    </w:p>
    <w:p w14:paraId="34E0A441">
      <w:pPr>
        <w:numPr>
          <w:ilvl w:val="-1"/>
          <w:numId w:val="1"/>
        </w:numPr>
        <w:spacing w:after="400" w:line="400" w:lineRule="atLeast"/>
      </w:pPr>
      <w:r>
        <w:rPr>
          <w:b/>
        </w:rPr>
        <w:t>Evolving Factors:</w:t>
      </w:r>
      <w:r>
        <w:t xml:space="preserve"> This cultural shift will continue. Future generations of seniors will likely place an even greater emphasis on quality of life, personal fulfillment, and experiential consumption. There is also a growing social acceptance of seeking external help for tasks like home care and meal preparation, which were traditionally handled within the family. This shift away from familial duty and towards professional services is a powerful driver for the service-based silver economy.</w:t>
      </w:r>
    </w:p>
    <w:p w14:paraId="72103D9E">
      <w:pPr>
        <w:spacing w:after="400" w:line="400" w:lineRule="atLeast"/>
      </w:pPr>
      <w:r>
        <w:rPr>
          <w:b/>
          <w:sz w:val="30"/>
        </w:rPr>
        <w:t>5. Future Trajectories: Evolving Consumption Habits to 2050</w:t>
      </w:r>
    </w:p>
    <w:p w14:paraId="6E1C58D9">
      <w:pPr>
        <w:spacing w:after="400" w:line="400" w:lineRule="atLeast"/>
      </w:pPr>
      <w:r>
        <w:t>The Japanese silver market of 2050 will look vastly different from that of today. Beyond the demographic shifts, a confluence of technological, medical, social, and economic forces will fundamentally reshape how the elderly live, interact, and consume. This section explores these key vectors of change.</w:t>
      </w:r>
    </w:p>
    <w:p w14:paraId="1982277D">
      <w:pPr>
        <w:spacing w:after="400" w:line="400" w:lineRule="atLeast"/>
      </w:pPr>
      <w:r>
        <w:rPr>
          <w:b/>
          <w:sz w:val="26"/>
        </w:rPr>
        <w:t>5.1 The Impact of Technological Advancement</w:t>
      </w:r>
    </w:p>
    <w:p w14:paraId="4418F8D7">
      <w:pPr>
        <w:spacing w:after="400" w:line="400" w:lineRule="atLeast"/>
      </w:pPr>
      <w:r>
        <w:t>Technology will be the most transformative force shaping the future elderly experience. Its impact will be felt across every aspect of consumption, moving from novelty to necessity.</w:t>
      </w:r>
    </w:p>
    <w:p w14:paraId="3C6A69B1">
      <w:pPr>
        <w:numPr>
          <w:ilvl w:val="-1"/>
          <w:numId w:val="1"/>
        </w:numPr>
        <w:spacing w:after="400" w:line="400" w:lineRule="atLeast"/>
      </w:pPr>
      <w:r>
        <w:rPr>
          <w:b/>
        </w:rPr>
        <w:t>The Rise of the "Connected Home":</w:t>
      </w:r>
      <w:r>
        <w:t xml:space="preserve"> By the 2030s and 2040s, smart home technology will be a standard feature of senior living. Consumption will shift towards integrated systems that combine safety, health monitoring, and convenience [[65]][[66]]. This includes passive sensors that monitor activity and can alert caregivers to anomalies, voice-activated assistants that control the environment and provide reminders, and smart appliances that simplify daily chores. This will fuel a massive market for IoT devices, data analytics services, and home installation and support.</w:t>
      </w:r>
    </w:p>
    <w:p w14:paraId="3CD8382D">
      <w:pPr>
        <w:numPr>
          <w:ilvl w:val="-1"/>
          <w:numId w:val="1"/>
        </w:numPr>
        <w:spacing w:after="400" w:line="400" w:lineRule="atLeast"/>
      </w:pPr>
      <w:r>
        <w:rPr>
          <w:b/>
        </w:rPr>
        <w:t>Telehealth and Remote Care as the Norm:</w:t>
      </w:r>
      <w:r>
        <w:t xml:space="preserve"> The consumption of healthcare services will partially dematerialize. Instead of frequent visits to clinics, routine consultations and chronic disease management will be conducted via telehealth platforms [[67]]. This will drive spending on high-speed internet, user-friendly communication devices, and wearable sensors that provide real-time data to doctors. The result will be a more efficient, preventative, and home-centric model of healthcare.</w:t>
      </w:r>
    </w:p>
    <w:p w14:paraId="206A2EF1">
      <w:pPr>
        <w:numPr>
          <w:ilvl w:val="-1"/>
          <w:numId w:val="1"/>
        </w:numPr>
        <w:spacing w:after="400" w:line="400" w:lineRule="atLeast"/>
      </w:pPr>
      <w:r>
        <w:rPr>
          <w:b/>
        </w:rPr>
        <w:t>Robotics and AI in Daily Life:</w:t>
      </w:r>
      <w:r>
        <w:t xml:space="preserve"> Assistive robotics will move from niche to mainstream, helping with mobility, lifting, and household tasks [[68]]. AI-powered companions will combat loneliness, a critical issue for single-person elderly households. Consumption will include not just the purchase of these devices but also ongoing software subscriptions, maintenance, and data services.</w:t>
      </w:r>
    </w:p>
    <w:p w14:paraId="069D6F6C">
      <w:pPr>
        <w:numPr>
          <w:ilvl w:val="-1"/>
          <w:numId w:val="1"/>
        </w:numPr>
        <w:spacing w:after="400" w:line="400" w:lineRule="atLeast"/>
      </w:pPr>
      <w:r>
        <w:rPr>
          <w:b/>
        </w:rPr>
        <w:t>Seamless E-Commerce and On-Demand Services:</w:t>
      </w:r>
      <w:r>
        <w:t xml:space="preserve"> The digital literacy of future senior cohorts will be significantly higher. Online shopping, on-demand transportation, and food delivery will become the default methods for procuring goods and services. This will accelerate the decline of traditional brick-and-mortar retail that is not accessibility-friendly and boost the logistics and digital platform economy.</w:t>
      </w:r>
    </w:p>
    <w:p w14:paraId="09B7625A">
      <w:pPr>
        <w:spacing w:after="400" w:line="400" w:lineRule="atLeast"/>
      </w:pPr>
      <w:r>
        <w:rPr>
          <w:b/>
          <w:sz w:val="26"/>
        </w:rPr>
        <w:t>5.2 Evolving Health and Wellness Paradigms</w:t>
      </w:r>
    </w:p>
    <w:p w14:paraId="4ED47438">
      <w:pPr>
        <w:spacing w:after="400" w:line="400" w:lineRule="atLeast"/>
      </w:pPr>
      <w:r>
        <w:t>Medical advances will extend not just lifespan but "healthspan"—the period of life spent in good health. This will have profound effects on consumption.</w:t>
      </w:r>
    </w:p>
    <w:p w14:paraId="087C8AB8">
      <w:pPr>
        <w:numPr>
          <w:ilvl w:val="-1"/>
          <w:numId w:val="1"/>
        </w:numPr>
        <w:spacing w:after="400" w:line="400" w:lineRule="atLeast"/>
      </w:pPr>
      <w:r>
        <w:rPr>
          <w:b/>
        </w:rPr>
        <w:t>From Treatment to Prevention:</w:t>
      </w:r>
      <w:r>
        <w:t xml:space="preserve"> The focus of health-related spending will shift from treating acute and chronic illnesses to preventing them. This will create vast new markets for personalized nutrition plans based on genetic markers, advanced diagnostic screenings, senior-focused fitness technologies and programs, and mental wellness services like digital cognitive therapy.</w:t>
      </w:r>
    </w:p>
    <w:p w14:paraId="6FF809EB">
      <w:pPr>
        <w:numPr>
          <w:ilvl w:val="-1"/>
          <w:numId w:val="1"/>
        </w:numPr>
        <w:spacing w:after="400" w:line="400" w:lineRule="atLeast"/>
      </w:pPr>
      <w:r>
        <w:rPr>
          <w:b/>
        </w:rPr>
        <w:t>Regenerative Medicine and Anti-Aging:</w:t>
      </w:r>
      <w:r>
        <w:t xml:space="preserve"> By the 2040s, breakthroughs in regenerative medicine may offer treatments that reverse or mitigate some effects of aging. This could create an entirely new, high-value consumer category. Even short of that, the market for scientifically validated anti-aging supplements, cosmetics, and therapies will continue to grow.</w:t>
      </w:r>
    </w:p>
    <w:p w14:paraId="71ED16A0">
      <w:pPr>
        <w:numPr>
          <w:ilvl w:val="-1"/>
          <w:numId w:val="1"/>
        </w:numPr>
        <w:spacing w:after="400" w:line="400" w:lineRule="atLeast"/>
      </w:pPr>
      <w:r>
        <w:rPr>
          <w:b/>
        </w:rPr>
        <w:t>A New Definition of "Leisure":</w:t>
      </w:r>
      <w:r>
        <w:t xml:space="preserve"> With longer healthspans, seniors will remain active consumers of leisure for longer. "Leisure" will increasingly blend with wellness. This means a rising demand for activities like wellness retreats, fitness-oriented travel, and educational programs focused on maintaining physical and cognitive health.</w:t>
      </w:r>
    </w:p>
    <w:p w14:paraId="597FA459">
      <w:pPr>
        <w:spacing w:after="400" w:line="400" w:lineRule="atLeast"/>
      </w:pPr>
      <w:r>
        <w:rPr>
          <w:b/>
          <w:sz w:val="26"/>
        </w:rPr>
        <w:t>5.3 Shifts in Family Structures and Social Norms</w:t>
      </w:r>
    </w:p>
    <w:p w14:paraId="08EE174F">
      <w:pPr>
        <w:spacing w:after="400" w:line="400" w:lineRule="atLeast"/>
      </w:pPr>
      <w:r>
        <w:t>The traditional Japanese family structure of multi-generational households has been eroding for decades. This trend will accelerate, with significant consequences for consumption.</w:t>
      </w:r>
    </w:p>
    <w:p w14:paraId="3F67776F">
      <w:pPr>
        <w:numPr>
          <w:ilvl w:val="-1"/>
          <w:numId w:val="1"/>
        </w:numPr>
        <w:spacing w:after="400" w:line="400" w:lineRule="atLeast"/>
      </w:pPr>
      <w:r>
        <w:rPr>
          <w:b/>
        </w:rPr>
        <w:t>The Proliferation of Single-Person Elderly Households:</w:t>
      </w:r>
      <w:r>
        <w:t xml:space="preserve"> By 2050, a very large proportion of the elderly will live alone [[69]]. This will drive demand for products and services that combat loneliness and provide security. This includes social robots, online community platforms, and shared housing models (co-living for seniors). It also reinforces the demand for smaller portion sizes in food, smaller and more efficient housing, and home-delivered services of all kinds.</w:t>
      </w:r>
    </w:p>
    <w:p w14:paraId="7B918238">
      <w:pPr>
        <w:numPr>
          <w:ilvl w:val="-1"/>
          <w:numId w:val="1"/>
        </w:numPr>
        <w:spacing w:after="400" w:line="400" w:lineRule="atLeast"/>
      </w:pPr>
      <w:r>
        <w:rPr>
          <w:b/>
        </w:rPr>
        <w:t>The Professionalization of Care:</w:t>
      </w:r>
      <w:r>
        <w:t xml:space="preserve"> The expectation that adult children, particularly daughters and daughters-in-law, will provide eldercare is fading. Care will be almost entirely professionalized, consumed as a service paid for through insurance and private funds. This solidifies the growth of the formal care industry, from in-home helpers to institutional facilities.</w:t>
      </w:r>
    </w:p>
    <w:p w14:paraId="27E2B008">
      <w:pPr>
        <w:numPr>
          <w:ilvl w:val="-1"/>
          <w:numId w:val="1"/>
        </w:numPr>
        <w:spacing w:after="400" w:line="400" w:lineRule="atLeast"/>
      </w:pPr>
      <w:r>
        <w:rPr>
          <w:b/>
        </w:rPr>
        <w:t>Changing Inheritance Attitudes:</w:t>
      </w:r>
      <w:r>
        <w:t xml:space="preserve"> Future seniors may feel less obligated to preserve their entire estate for their children. A "spend-down" mentality could take hold, where seniors are more willing to use their assets, including home equity through reverse mortgages, to fund a higher quality of life in their later years. This would unlock significant latent demand in the travel, luxury, and high-end service markets.</w:t>
      </w:r>
    </w:p>
    <w:p w14:paraId="074CB2E7">
      <w:pPr>
        <w:spacing w:after="400" w:line="400" w:lineRule="atLeast"/>
      </w:pPr>
      <w:r>
        <w:rPr>
          <w:b/>
          <w:sz w:val="26"/>
        </w:rPr>
        <w:t>5.4 Macroeconomic Outlook and Policy Environment</w:t>
      </w:r>
    </w:p>
    <w:p w14:paraId="0188548C">
      <w:pPr>
        <w:spacing w:after="400" w:line="400" w:lineRule="atLeast"/>
      </w:pPr>
      <w:r>
        <w:t>The consumption habits of the elderly do not exist in a vacuum. They will be shaped by the broader economic climate and government policy.</w:t>
      </w:r>
    </w:p>
    <w:p w14:paraId="33BCCD03">
      <w:pPr>
        <w:numPr>
          <w:ilvl w:val="-1"/>
          <w:numId w:val="1"/>
        </w:numPr>
        <w:spacing w:after="400" w:line="400" w:lineRule="atLeast"/>
      </w:pPr>
      <w:r>
        <w:rPr>
          <w:b/>
        </w:rPr>
        <w:t>Labor Force Participation:</w:t>
      </w:r>
      <w:r>
        <w:t xml:space="preserve"> A growing number of seniors will continue to work past the traditional retirement age, either by choice or necessity. This provides them with additional income, sustaining higher levels of consumption, particularly in the 65-74 age group.</w:t>
      </w:r>
    </w:p>
    <w:p w14:paraId="26355049">
      <w:pPr>
        <w:numPr>
          <w:ilvl w:val="-1"/>
          <w:numId w:val="1"/>
        </w:numPr>
        <w:spacing w:after="400" w:line="400" w:lineRule="atLeast"/>
      </w:pPr>
      <w:r>
        <w:rPr>
          <w:b/>
        </w:rPr>
        <w:t>Fiscal Pressures and Consumption Taxes:</w:t>
      </w:r>
      <w:r>
        <w:t xml:space="preserve"> The immense cost of supporting an aging population will put continuous pressure on government finances. Further increases in Japan's consumption tax are a distinct possibility. Such increases would have a depressive effect on consumption, particularly for lower-income seniors on fixed incomes.</w:t>
      </w:r>
    </w:p>
    <w:p w14:paraId="0E84C0B9">
      <w:pPr>
        <w:numPr>
          <w:ilvl w:val="-1"/>
          <w:numId w:val="1"/>
        </w:numPr>
        <w:spacing w:after="400" w:line="400" w:lineRule="atLeast"/>
      </w:pPr>
      <w:r>
        <w:rPr>
          <w:b/>
        </w:rPr>
        <w:t>Immigration Policy:</w:t>
      </w:r>
      <w:r>
        <w:t xml:space="preserve"> How Japan addresses its labor shortage, particularly in the care sector, will be critical. Increased immigration could help contain the wage costs associated with care services, making them more affordable and accessible, thereby freeing up household funds for other types of consumption.</w:t>
      </w:r>
    </w:p>
    <w:p w14:paraId="759B6E3A">
      <w:pPr>
        <w:spacing w:after="400" w:line="400" w:lineRule="atLeast"/>
      </w:pPr>
      <w:r>
        <w:rPr>
          <w:b/>
          <w:sz w:val="30"/>
        </w:rPr>
        <w:t>6. Quantitative Market Size Projections (2020-2050)</w:t>
      </w:r>
    </w:p>
    <w:p w14:paraId="33B0D1FC">
      <w:pPr>
        <w:spacing w:after="400" w:line="400" w:lineRule="atLeast"/>
      </w:pPr>
      <w:r>
        <w:t>This section integrates the preceding demographic, sectoral, and behavioral analyses to provide quantitative estimates of the market size for Japan's elderly demographic through 2050. These projections are designed to illustrate the scale of the opportunity and the significant shifts expected between consumption categories.</w:t>
      </w:r>
    </w:p>
    <w:p w14:paraId="7824069E">
      <w:pPr>
        <w:spacing w:after="400" w:line="400" w:lineRule="atLeast"/>
      </w:pPr>
      <w:r>
        <w:rPr>
          <w:b/>
          <w:sz w:val="26"/>
        </w:rPr>
        <w:t>6.1 Methodology for Market Sizing</w:t>
      </w:r>
    </w:p>
    <w:p w14:paraId="1F4E886C">
      <w:pPr>
        <w:spacing w:after="400" w:line="400" w:lineRule="atLeast"/>
      </w:pPr>
      <w:r>
        <w:t>The following projections are derived using a multi-step methodology:</w:t>
      </w:r>
    </w:p>
    <w:p w14:paraId="5454877C">
      <w:pPr>
        <w:numPr>
          <w:ilvl w:val="0"/>
          <w:numId w:val="2"/>
        </w:numPr>
        <w:spacing w:after="400" w:line="400" w:lineRule="atLeast"/>
      </w:pPr>
      <w:r>
        <w:rPr>
          <w:b/>
        </w:rPr>
        <w:t>Baseline Establishment:</w:t>
      </w:r>
      <w:r>
        <w:t xml:space="preserve"> We establish a baseline for the total consumption expenditure of households headed by individuals aged 65 and over for the year 2020. This is based on available market reports and government statistics, which place the "silver market" at approximately ¥100 trillion [[70]][[71]].</w:t>
      </w:r>
    </w:p>
    <w:p w14:paraId="5C3ACC5D">
      <w:pPr>
        <w:numPr>
          <w:ilvl w:val="0"/>
          <w:numId w:val="2"/>
        </w:numPr>
        <w:spacing w:after="400" w:line="400" w:lineRule="atLeast"/>
      </w:pPr>
      <w:r>
        <w:rPr>
          <w:b/>
        </w:rPr>
        <w:t>Aggregate Market Growth Projection:</w:t>
      </w:r>
      <w:r>
        <w:t xml:space="preserve"> The total market size is projected forward to 2050. This projection incorporates two primary drivers:</w:t>
      </w:r>
    </w:p>
    <w:p w14:paraId="3111025B">
      <w:pPr>
        <w:numPr>
          <w:ilvl w:val="0"/>
          <w:numId w:val="1"/>
        </w:numPr>
        <w:spacing w:after="400" w:line="400" w:lineRule="atLeast"/>
      </w:pPr>
      <w:r>
        <w:rPr>
          <w:b/>
        </w:rPr>
        <w:t>Demographic Growth:</w:t>
      </w:r>
      <w:r>
        <w:t xml:space="preserve"> The change in the absolute number of people aged 65+, as detailed in Section 1.</w:t>
      </w:r>
    </w:p>
    <w:p w14:paraId="685DDE38">
      <w:pPr>
        <w:numPr>
          <w:ilvl w:val="0"/>
          <w:numId w:val="1"/>
        </w:numPr>
        <w:spacing w:after="400" w:line="400" w:lineRule="atLeast"/>
      </w:pPr>
      <w:r>
        <w:rPr>
          <w:b/>
        </w:rPr>
        <w:t>Per-Capita Spending Growth:</w:t>
      </w:r>
      <w:r>
        <w:t xml:space="preserve"> A conservative assumption for real (inflation-adjusted) growth in per-capita consumption. This accounts for modest productivity gains and a potential shift towards higher spending by future, more consumer-oriented senior cohorts. The projections are guided by existing forecasts, such as the market reaching ¥111 trillion by 2030 and ¥134 trillion by 2040 [[72]][[73]].</w:t>
      </w:r>
    </w:p>
    <w:p w14:paraId="0A28F253">
      <w:pPr>
        <w:numPr>
          <w:ilvl w:val="0"/>
          <w:numId w:val="2"/>
        </w:numPr>
        <w:spacing w:after="400" w:line="400" w:lineRule="atLeast"/>
      </w:pPr>
      <w:r>
        <w:rPr>
          <w:b/>
        </w:rPr>
        <w:t>Sectoral Allocation:</w:t>
      </w:r>
      <w:r>
        <w:t xml:space="preserve"> The aggregate market size is then allocated across key consumption sectors. The 2020 allocation is based on current household expenditure survey data [[74]][[75]][[76]].</w:t>
      </w:r>
    </w:p>
    <w:p w14:paraId="74199E0D">
      <w:pPr>
        <w:numPr>
          <w:ilvl w:val="0"/>
          <w:numId w:val="2"/>
        </w:numPr>
        <w:spacing w:after="400" w:line="400" w:lineRule="atLeast"/>
      </w:pPr>
      <w:r>
        <w:rPr>
          <w:b/>
        </w:rPr>
        <w:t>Dynamic Sectoral Share Adjustment:</w:t>
      </w:r>
      <w:r>
        <w:t xml:space="preserve"> For future years (2030, 2040, 2050), the percentage share of each sector is adjusted based on the qualitative analysis in Sections 2, 3, and 5. For example, the share of healthcare is projected to increase significantly due to the aging of the 85+ cohort, while the share of traditional clothing is projected to decrease.</w:t>
      </w:r>
    </w:p>
    <w:p w14:paraId="4A0D9E53">
      <w:pPr>
        <w:spacing w:after="400" w:line="400" w:lineRule="atLeast"/>
      </w:pPr>
      <w:r>
        <w:rPr>
          <w:i/>
        </w:rPr>
        <w:t>Disclaimer: These figures are estimates intended to show magnitude and trends. Actual market sizes will be influenced by economic conditions, policy changes, and technological innovation.</w:t>
      </w:r>
    </w:p>
    <w:p w14:paraId="3EDEA79F">
      <w:pPr>
        <w:spacing w:after="400" w:line="400" w:lineRule="atLeast"/>
      </w:pPr>
      <w:r>
        <w:rPr>
          <w:b/>
          <w:sz w:val="26"/>
        </w:rPr>
        <w:t>6.2 Aggregate Elderly Consumption Market Projection (2020-2050)</w:t>
      </w:r>
    </w:p>
    <w:p w14:paraId="1F0830AB">
      <w:pPr>
        <w:spacing w:after="400" w:line="400" w:lineRule="atLeast"/>
      </w:pPr>
      <w:r>
        <w:t>The total market for goods and services consumed by Japan's elderly is projected to see sustained growth over the next three decades, solidifying its position as the central pillar of the domestic economy.</w:t>
      </w:r>
    </w:p>
    <w:p w14:paraId="22D72307">
      <w:pPr>
        <w:spacing w:after="400" w:line="400" w:lineRule="atLeast"/>
      </w:pPr>
      <w:r>
        <w:rPr>
          <w:b/>
        </w:rPr>
        <w:t>Chart 6.1: Projected Total Market Size of Elderly Consumption in Japan (in Trillion JPY)</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23C48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024B140">
            <w:pPr>
              <w:spacing w:after="400" w:line="400" w:lineRule="exact"/>
              <w:jc w:val="left"/>
            </w:pPr>
            <w:r>
              <w:rPr>
                <w:b/>
              </w:rPr>
              <w:t>Year</w:t>
            </w:r>
          </w:p>
        </w:tc>
        <w:tc>
          <w:tcPr>
            <w:tcW w:w="4148" w:type="dxa"/>
          </w:tcPr>
          <w:p w14:paraId="01D7C4E6">
            <w:pPr>
              <w:spacing w:after="400" w:line="400" w:lineRule="exact"/>
              <w:jc w:val="left"/>
            </w:pPr>
            <w:r>
              <w:rPr>
                <w:b/>
              </w:rPr>
              <w:t>Projected Market Size (Trillion JPY)</w:t>
            </w:r>
          </w:p>
        </w:tc>
      </w:tr>
      <w:tr w14:paraId="2D390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958FB9C">
            <w:pPr>
              <w:spacing w:after="400" w:line="400" w:lineRule="exact"/>
              <w:jc w:val="left"/>
            </w:pPr>
            <w:r>
              <w:rPr>
                <w:b/>
              </w:rPr>
              <w:t>2020</w:t>
            </w:r>
          </w:p>
        </w:tc>
        <w:tc>
          <w:tcPr>
            <w:tcW w:w="4148" w:type="dxa"/>
          </w:tcPr>
          <w:p w14:paraId="2508C062">
            <w:pPr>
              <w:spacing w:after="400" w:line="400" w:lineRule="exact"/>
              <w:jc w:val="left"/>
            </w:pPr>
            <w:r>
              <w:t>¥101.0</w:t>
            </w:r>
          </w:p>
        </w:tc>
      </w:tr>
      <w:tr w14:paraId="00E91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D16752F">
            <w:pPr>
              <w:spacing w:after="400" w:line="400" w:lineRule="exact"/>
              <w:jc w:val="left"/>
            </w:pPr>
            <w:r>
              <w:rPr>
                <w:b/>
              </w:rPr>
              <w:t>2030</w:t>
            </w:r>
          </w:p>
        </w:tc>
        <w:tc>
          <w:tcPr>
            <w:tcW w:w="4148" w:type="dxa"/>
          </w:tcPr>
          <w:p w14:paraId="3F91CD2D">
            <w:pPr>
              <w:spacing w:after="400" w:line="400" w:lineRule="exact"/>
              <w:jc w:val="left"/>
            </w:pPr>
            <w:r>
              <w:t>¥118.0</w:t>
            </w:r>
          </w:p>
        </w:tc>
      </w:tr>
      <w:tr w14:paraId="2505C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45446BB">
            <w:pPr>
              <w:spacing w:after="400" w:line="400" w:lineRule="exact"/>
              <w:jc w:val="left"/>
            </w:pPr>
            <w:r>
              <w:rPr>
                <w:b/>
              </w:rPr>
              <w:t>2040</w:t>
            </w:r>
          </w:p>
        </w:tc>
        <w:tc>
          <w:tcPr>
            <w:tcW w:w="4148" w:type="dxa"/>
          </w:tcPr>
          <w:p w14:paraId="78C9BE90">
            <w:pPr>
              <w:spacing w:after="400" w:line="400" w:lineRule="exact"/>
              <w:jc w:val="left"/>
            </w:pPr>
            <w:r>
              <w:t>¥135.0</w:t>
            </w:r>
          </w:p>
        </w:tc>
      </w:tr>
      <w:tr w14:paraId="4DA0D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E49B3F2">
            <w:pPr>
              <w:spacing w:after="400" w:line="400" w:lineRule="exact"/>
              <w:jc w:val="left"/>
            </w:pPr>
            <w:r>
              <w:rPr>
                <w:b/>
              </w:rPr>
              <w:t>2050</w:t>
            </w:r>
          </w:p>
        </w:tc>
        <w:tc>
          <w:tcPr>
            <w:tcW w:w="4148" w:type="dxa"/>
          </w:tcPr>
          <w:p w14:paraId="03EEF527">
            <w:pPr>
              <w:spacing w:after="400" w:line="400" w:lineRule="exact"/>
              <w:jc w:val="left"/>
            </w:pPr>
            <w:r>
              <w:t>¥150.0</w:t>
            </w:r>
          </w:p>
        </w:tc>
      </w:tr>
    </w:tbl>
    <w:p w14:paraId="56BC6B10">
      <w:pPr>
        <w:spacing w:before="400" w:after="400" w:line="400" w:lineRule="atLeast"/>
      </w:pPr>
      <w:r>
        <w:t>This growth is remarkable given the context of a declining total population, highlighting the intense concentration of purchasing power within the senior demographic.</w:t>
      </w:r>
    </w:p>
    <w:p w14:paraId="09EBF4A9">
      <w:pPr>
        <w:spacing w:after="400" w:line="400" w:lineRule="atLeast"/>
      </w:pPr>
      <w:r>
        <w:rPr>
          <w:b/>
          <w:sz w:val="26"/>
        </w:rPr>
        <w:t>6.3 Sector-Specific Market Size Projections</w:t>
      </w:r>
    </w:p>
    <w:p w14:paraId="01726B38">
      <w:pPr>
        <w:spacing w:after="400" w:line="400" w:lineRule="atLeast"/>
      </w:pPr>
      <w:r>
        <w:t>The true story of the silver market lies in the dramatic reallocation of spending between sectors. The following table provides estimated market sizes for the key consumption categories analyzed in this report.</w:t>
      </w:r>
    </w:p>
    <w:p w14:paraId="6A1A1E11">
      <w:pPr>
        <w:spacing w:after="400" w:line="400" w:lineRule="atLeast"/>
      </w:pPr>
      <w:r>
        <w:rPr>
          <w:b/>
        </w:rPr>
        <w:t>Table 6.1: Projected Elderly Consumption Market Size by Sector (in Trillion JPY)</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6"/>
        <w:gridCol w:w="1242"/>
        <w:gridCol w:w="1242"/>
        <w:gridCol w:w="1242"/>
        <w:gridCol w:w="1242"/>
        <w:gridCol w:w="1918"/>
      </w:tblGrid>
      <w:tr w14:paraId="26075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D153B8A">
            <w:pPr>
              <w:spacing w:after="400" w:line="400" w:lineRule="exact"/>
              <w:jc w:val="left"/>
            </w:pPr>
            <w:r>
              <w:rPr>
                <w:b/>
              </w:rPr>
              <w:t>Sector</w:t>
            </w:r>
          </w:p>
        </w:tc>
        <w:tc>
          <w:tcPr>
            <w:tcW w:w="1382" w:type="dxa"/>
          </w:tcPr>
          <w:p w14:paraId="64D1E27C">
            <w:pPr>
              <w:spacing w:after="400" w:line="400" w:lineRule="exact"/>
              <w:jc w:val="left"/>
            </w:pPr>
            <w:r>
              <w:rPr>
                <w:b/>
              </w:rPr>
              <w:t>2020 (Est.)</w:t>
            </w:r>
          </w:p>
        </w:tc>
        <w:tc>
          <w:tcPr>
            <w:tcW w:w="1382" w:type="dxa"/>
          </w:tcPr>
          <w:p w14:paraId="6389B042">
            <w:pPr>
              <w:spacing w:after="400" w:line="400" w:lineRule="exact"/>
              <w:jc w:val="left"/>
            </w:pPr>
            <w:r>
              <w:rPr>
                <w:b/>
              </w:rPr>
              <w:t>2030 (Est.)</w:t>
            </w:r>
          </w:p>
        </w:tc>
        <w:tc>
          <w:tcPr>
            <w:tcW w:w="1382" w:type="dxa"/>
          </w:tcPr>
          <w:p w14:paraId="245A2364">
            <w:pPr>
              <w:spacing w:after="400" w:line="400" w:lineRule="exact"/>
              <w:jc w:val="left"/>
            </w:pPr>
            <w:r>
              <w:rPr>
                <w:b/>
              </w:rPr>
              <w:t>2040 (Est.)</w:t>
            </w:r>
          </w:p>
        </w:tc>
        <w:tc>
          <w:tcPr>
            <w:tcW w:w="1382" w:type="dxa"/>
          </w:tcPr>
          <w:p w14:paraId="5F7B5089">
            <w:pPr>
              <w:spacing w:after="400" w:line="400" w:lineRule="exact"/>
              <w:jc w:val="left"/>
            </w:pPr>
            <w:r>
              <w:rPr>
                <w:b/>
              </w:rPr>
              <w:t>2050 (Est.)</w:t>
            </w:r>
          </w:p>
        </w:tc>
        <w:tc>
          <w:tcPr>
            <w:tcW w:w="1382" w:type="dxa"/>
          </w:tcPr>
          <w:p w14:paraId="12E3727F">
            <w:pPr>
              <w:spacing w:after="400" w:line="400" w:lineRule="exact"/>
              <w:jc w:val="left"/>
            </w:pPr>
            <w:r>
              <w:rPr>
                <w:b/>
              </w:rPr>
              <w:t>Key Growth Drivers / Rationale for Share Change</w:t>
            </w:r>
          </w:p>
        </w:tc>
      </w:tr>
      <w:tr w14:paraId="1416C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7732F9C">
            <w:pPr>
              <w:spacing w:after="400" w:line="400" w:lineRule="exact"/>
              <w:jc w:val="left"/>
            </w:pPr>
            <w:r>
              <w:rPr>
                <w:b/>
              </w:rPr>
              <w:t>Food &amp; Beverage</w:t>
            </w:r>
          </w:p>
        </w:tc>
        <w:tc>
          <w:tcPr>
            <w:tcW w:w="1382" w:type="dxa"/>
          </w:tcPr>
          <w:p w14:paraId="1F8E015D">
            <w:pPr>
              <w:spacing w:after="400" w:line="400" w:lineRule="exact"/>
              <w:jc w:val="left"/>
            </w:pPr>
            <w:r>
              <w:t>¥18.2 (18%)</w:t>
            </w:r>
          </w:p>
        </w:tc>
        <w:tc>
          <w:tcPr>
            <w:tcW w:w="1382" w:type="dxa"/>
          </w:tcPr>
          <w:p w14:paraId="620113BD">
            <w:pPr>
              <w:spacing w:after="400" w:line="400" w:lineRule="exact"/>
              <w:jc w:val="left"/>
            </w:pPr>
            <w:r>
              <w:t>¥20.1 (17%)</w:t>
            </w:r>
          </w:p>
        </w:tc>
        <w:tc>
          <w:tcPr>
            <w:tcW w:w="1382" w:type="dxa"/>
          </w:tcPr>
          <w:p w14:paraId="6A37D502">
            <w:pPr>
              <w:spacing w:after="400" w:line="400" w:lineRule="exact"/>
              <w:jc w:val="left"/>
            </w:pPr>
            <w:r>
              <w:t>¥21.6 (16%)</w:t>
            </w:r>
          </w:p>
        </w:tc>
        <w:tc>
          <w:tcPr>
            <w:tcW w:w="1382" w:type="dxa"/>
          </w:tcPr>
          <w:p w14:paraId="77FF9F52">
            <w:pPr>
              <w:spacing w:after="400" w:line="400" w:lineRule="exact"/>
              <w:jc w:val="left"/>
            </w:pPr>
            <w:r>
              <w:t>¥22.5 (15%)</w:t>
            </w:r>
          </w:p>
        </w:tc>
        <w:tc>
          <w:tcPr>
            <w:tcW w:w="1382" w:type="dxa"/>
          </w:tcPr>
          <w:p w14:paraId="016D7CAD">
            <w:pPr>
              <w:spacing w:after="400" w:line="400" w:lineRule="exact"/>
              <w:jc w:val="left"/>
            </w:pPr>
            <w:r>
              <w:t>Stable absolute growth but declining share; shift to higher-value health/convenience food.</w:t>
            </w:r>
          </w:p>
        </w:tc>
      </w:tr>
      <w:tr w14:paraId="595C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D551306">
            <w:pPr>
              <w:spacing w:after="400" w:line="400" w:lineRule="exact"/>
              <w:jc w:val="left"/>
            </w:pPr>
            <w:r>
              <w:rPr>
                <w:b/>
              </w:rPr>
              <w:t>Housing &amp; Utilities</w:t>
            </w:r>
          </w:p>
        </w:tc>
        <w:tc>
          <w:tcPr>
            <w:tcW w:w="1382" w:type="dxa"/>
          </w:tcPr>
          <w:p w14:paraId="7D31E40E">
            <w:pPr>
              <w:spacing w:after="400" w:line="400" w:lineRule="exact"/>
              <w:jc w:val="left"/>
            </w:pPr>
            <w:r>
              <w:t>¥15.2 (15%)</w:t>
            </w:r>
          </w:p>
        </w:tc>
        <w:tc>
          <w:tcPr>
            <w:tcW w:w="1382" w:type="dxa"/>
          </w:tcPr>
          <w:p w14:paraId="11AE90CB">
            <w:pPr>
              <w:spacing w:after="400" w:line="400" w:lineRule="exact"/>
              <w:jc w:val="left"/>
            </w:pPr>
            <w:r>
              <w:t>¥18.9 (16%)</w:t>
            </w:r>
          </w:p>
        </w:tc>
        <w:tc>
          <w:tcPr>
            <w:tcW w:w="1382" w:type="dxa"/>
          </w:tcPr>
          <w:p w14:paraId="79AE7B69">
            <w:pPr>
              <w:spacing w:after="400" w:line="400" w:lineRule="exact"/>
              <w:jc w:val="left"/>
            </w:pPr>
            <w:r>
              <w:t>¥21.6 (16%)</w:t>
            </w:r>
          </w:p>
        </w:tc>
        <w:tc>
          <w:tcPr>
            <w:tcW w:w="1382" w:type="dxa"/>
          </w:tcPr>
          <w:p w14:paraId="6DFF5BF9">
            <w:pPr>
              <w:spacing w:after="400" w:line="400" w:lineRule="exact"/>
              <w:jc w:val="left"/>
            </w:pPr>
            <w:r>
              <w:t>¥24.0 (16%)</w:t>
            </w:r>
          </w:p>
        </w:tc>
        <w:tc>
          <w:tcPr>
            <w:tcW w:w="1382" w:type="dxa"/>
          </w:tcPr>
          <w:p w14:paraId="36FE4FF5">
            <w:pPr>
              <w:spacing w:after="400" w:line="400" w:lineRule="exact"/>
              <w:jc w:val="left"/>
            </w:pPr>
            <w:r>
              <w:t>Rising utility costs, home modification boom, and growth in senior living facilities.</w:t>
            </w:r>
          </w:p>
        </w:tc>
      </w:tr>
      <w:tr w14:paraId="29FAB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FD4D56F">
            <w:pPr>
              <w:spacing w:after="400" w:line="400" w:lineRule="exact"/>
              <w:jc w:val="left"/>
            </w:pPr>
            <w:r>
              <w:rPr>
                <w:b/>
              </w:rPr>
              <w:t>Healthcare &amp; Medical</w:t>
            </w:r>
          </w:p>
        </w:tc>
        <w:tc>
          <w:tcPr>
            <w:tcW w:w="1382" w:type="dxa"/>
          </w:tcPr>
          <w:p w14:paraId="721C9052">
            <w:pPr>
              <w:spacing w:after="400" w:line="400" w:lineRule="exact"/>
              <w:jc w:val="left"/>
            </w:pPr>
            <w:r>
              <w:t>¥12.1 (12%)</w:t>
            </w:r>
          </w:p>
        </w:tc>
        <w:tc>
          <w:tcPr>
            <w:tcW w:w="1382" w:type="dxa"/>
          </w:tcPr>
          <w:p w14:paraId="0AAD3E98">
            <w:pPr>
              <w:spacing w:after="400" w:line="400" w:lineRule="exact"/>
              <w:jc w:val="left"/>
            </w:pPr>
            <w:r>
              <w:t>¥17.7 (15%)</w:t>
            </w:r>
          </w:p>
        </w:tc>
        <w:tc>
          <w:tcPr>
            <w:tcW w:w="1382" w:type="dxa"/>
          </w:tcPr>
          <w:p w14:paraId="17C6DD96">
            <w:pPr>
              <w:spacing w:after="400" w:line="400" w:lineRule="exact"/>
              <w:jc w:val="left"/>
            </w:pPr>
            <w:r>
              <w:t>¥24.3 (18%)</w:t>
            </w:r>
          </w:p>
        </w:tc>
        <w:tc>
          <w:tcPr>
            <w:tcW w:w="1382" w:type="dxa"/>
          </w:tcPr>
          <w:p w14:paraId="765AFF3D">
            <w:pPr>
              <w:spacing w:after="400" w:line="400" w:lineRule="exact"/>
              <w:jc w:val="left"/>
            </w:pPr>
            <w:r>
              <w:t>¥31.5 (21%)</w:t>
            </w:r>
          </w:p>
        </w:tc>
        <w:tc>
          <w:tcPr>
            <w:tcW w:w="1382" w:type="dxa"/>
          </w:tcPr>
          <w:p w14:paraId="681B7A35">
            <w:pPr>
              <w:spacing w:after="400" w:line="400" w:lineRule="exact"/>
              <w:jc w:val="left"/>
            </w:pPr>
            <w:r>
              <w:t>Primary growth engine; driven by 85+ cohort explosion, non-discretionary need.</w:t>
            </w:r>
          </w:p>
        </w:tc>
      </w:tr>
      <w:tr w14:paraId="310D8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785A9DE">
            <w:pPr>
              <w:spacing w:after="400" w:line="400" w:lineRule="exact"/>
              <w:jc w:val="left"/>
            </w:pPr>
            <w:r>
              <w:rPr>
                <w:b/>
              </w:rPr>
              <w:t>Transportation &amp; Mobility</w:t>
            </w:r>
          </w:p>
        </w:tc>
        <w:tc>
          <w:tcPr>
            <w:tcW w:w="1382" w:type="dxa"/>
          </w:tcPr>
          <w:p w14:paraId="7A55DEB2">
            <w:pPr>
              <w:spacing w:after="400" w:line="400" w:lineRule="exact"/>
              <w:jc w:val="left"/>
            </w:pPr>
            <w:r>
              <w:t>¥10.1 (10%)</w:t>
            </w:r>
          </w:p>
        </w:tc>
        <w:tc>
          <w:tcPr>
            <w:tcW w:w="1382" w:type="dxa"/>
          </w:tcPr>
          <w:p w14:paraId="0386F25F">
            <w:pPr>
              <w:spacing w:after="400" w:line="400" w:lineRule="exact"/>
              <w:jc w:val="left"/>
            </w:pPr>
            <w:r>
              <w:t>¥9.4 (8%)</w:t>
            </w:r>
          </w:p>
        </w:tc>
        <w:tc>
          <w:tcPr>
            <w:tcW w:w="1382" w:type="dxa"/>
          </w:tcPr>
          <w:p w14:paraId="08553DAE">
            <w:pPr>
              <w:spacing w:after="400" w:line="400" w:lineRule="exact"/>
              <w:jc w:val="left"/>
            </w:pPr>
            <w:r>
              <w:t>¥8.1 (6%)</w:t>
            </w:r>
          </w:p>
        </w:tc>
        <w:tc>
          <w:tcPr>
            <w:tcW w:w="1382" w:type="dxa"/>
          </w:tcPr>
          <w:p w14:paraId="47D88324">
            <w:pPr>
              <w:spacing w:after="400" w:line="400" w:lineRule="exact"/>
              <w:jc w:val="left"/>
            </w:pPr>
            <w:r>
              <w:t>¥7.5 (5%)</w:t>
            </w:r>
          </w:p>
        </w:tc>
        <w:tc>
          <w:tcPr>
            <w:tcW w:w="1382" w:type="dxa"/>
          </w:tcPr>
          <w:p w14:paraId="753ABF20">
            <w:pPr>
              <w:spacing w:after="400" w:line="400" w:lineRule="exact"/>
              <w:jc w:val="left"/>
            </w:pPr>
            <w:r>
              <w:t>Declining share due to less car ownership; shift to mobility services and delivery.</w:t>
            </w:r>
          </w:p>
        </w:tc>
      </w:tr>
      <w:tr w14:paraId="569C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B1F023B">
            <w:pPr>
              <w:spacing w:after="400" w:line="400" w:lineRule="exact"/>
              <w:jc w:val="left"/>
            </w:pPr>
            <w:r>
              <w:rPr>
                <w:b/>
              </w:rPr>
              <w:t>Leisure &amp; Entertainment</w:t>
            </w:r>
          </w:p>
        </w:tc>
        <w:tc>
          <w:tcPr>
            <w:tcW w:w="1382" w:type="dxa"/>
          </w:tcPr>
          <w:p w14:paraId="2A3576B2">
            <w:pPr>
              <w:spacing w:after="400" w:line="400" w:lineRule="exact"/>
              <w:jc w:val="left"/>
            </w:pPr>
            <w:r>
              <w:t>¥9.1 (9%)</w:t>
            </w:r>
          </w:p>
        </w:tc>
        <w:tc>
          <w:tcPr>
            <w:tcW w:w="1382" w:type="dxa"/>
          </w:tcPr>
          <w:p w14:paraId="77ADB575">
            <w:pPr>
              <w:spacing w:after="400" w:line="400" w:lineRule="exact"/>
              <w:jc w:val="left"/>
            </w:pPr>
            <w:r>
              <w:t>¥10.6 (9%)</w:t>
            </w:r>
          </w:p>
        </w:tc>
        <w:tc>
          <w:tcPr>
            <w:tcW w:w="1382" w:type="dxa"/>
          </w:tcPr>
          <w:p w14:paraId="3C30DBE7">
            <w:pPr>
              <w:spacing w:after="400" w:line="400" w:lineRule="exact"/>
              <w:jc w:val="left"/>
            </w:pPr>
            <w:r>
              <w:t>¥12.2 (9%)</w:t>
            </w:r>
          </w:p>
        </w:tc>
        <w:tc>
          <w:tcPr>
            <w:tcW w:w="1382" w:type="dxa"/>
          </w:tcPr>
          <w:p w14:paraId="1075E060">
            <w:pPr>
              <w:spacing w:after="400" w:line="400" w:lineRule="exact"/>
              <w:jc w:val="left"/>
            </w:pPr>
            <w:r>
              <w:t>¥13.5 (9%)</w:t>
            </w:r>
          </w:p>
        </w:tc>
        <w:tc>
          <w:tcPr>
            <w:tcW w:w="1382" w:type="dxa"/>
          </w:tcPr>
          <w:p w14:paraId="3C4229DF">
            <w:pPr>
              <w:spacing w:after="400" w:line="400" w:lineRule="exact"/>
              <w:jc w:val="left"/>
            </w:pPr>
            <w:r>
              <w:t>Stable share; shift from travel to local/home-based and wellness-related leisure.</w:t>
            </w:r>
          </w:p>
        </w:tc>
      </w:tr>
      <w:tr w14:paraId="4191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552E7A0">
            <w:pPr>
              <w:spacing w:after="400" w:line="400" w:lineRule="exact"/>
              <w:jc w:val="left"/>
            </w:pPr>
            <w:r>
              <w:rPr>
                <w:b/>
              </w:rPr>
              <w:t>Personal Care &amp; Wellness</w:t>
            </w:r>
          </w:p>
        </w:tc>
        <w:tc>
          <w:tcPr>
            <w:tcW w:w="1382" w:type="dxa"/>
          </w:tcPr>
          <w:p w14:paraId="430A3DED">
            <w:pPr>
              <w:spacing w:after="400" w:line="400" w:lineRule="exact"/>
              <w:jc w:val="left"/>
            </w:pPr>
            <w:r>
              <w:t>¥6.1 (6%)</w:t>
            </w:r>
          </w:p>
        </w:tc>
        <w:tc>
          <w:tcPr>
            <w:tcW w:w="1382" w:type="dxa"/>
          </w:tcPr>
          <w:p w14:paraId="03EE1D5F">
            <w:pPr>
              <w:spacing w:after="400" w:line="400" w:lineRule="exact"/>
              <w:jc w:val="left"/>
            </w:pPr>
            <w:r>
              <w:t>¥8.3 (7%)</w:t>
            </w:r>
          </w:p>
        </w:tc>
        <w:tc>
          <w:tcPr>
            <w:tcW w:w="1382" w:type="dxa"/>
          </w:tcPr>
          <w:p w14:paraId="3FF07693">
            <w:pPr>
              <w:spacing w:after="400" w:line="400" w:lineRule="exact"/>
              <w:jc w:val="left"/>
            </w:pPr>
            <w:r>
              <w:t>¥10.8 (8%)</w:t>
            </w:r>
          </w:p>
        </w:tc>
        <w:tc>
          <w:tcPr>
            <w:tcW w:w="1382" w:type="dxa"/>
          </w:tcPr>
          <w:p w14:paraId="3E2AF731">
            <w:pPr>
              <w:spacing w:after="400" w:line="400" w:lineRule="exact"/>
              <w:jc w:val="left"/>
            </w:pPr>
            <w:r>
              <w:t>¥13.5 (9%)</w:t>
            </w:r>
          </w:p>
        </w:tc>
        <w:tc>
          <w:tcPr>
            <w:tcW w:w="1382" w:type="dxa"/>
          </w:tcPr>
          <w:p w14:paraId="2514E8C1">
            <w:pPr>
              <w:spacing w:after="400" w:line="400" w:lineRule="exact"/>
              <w:jc w:val="left"/>
            </w:pPr>
            <w:r>
              <w:t>Strong growth from incontinence products, wellness services, and preventative care.</w:t>
            </w:r>
          </w:p>
        </w:tc>
      </w:tr>
      <w:tr w14:paraId="71C74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31E49FEF">
            <w:pPr>
              <w:spacing w:after="400" w:line="400" w:lineRule="exact"/>
              <w:jc w:val="left"/>
            </w:pPr>
            <w:r>
              <w:rPr>
                <w:b/>
              </w:rPr>
              <w:t>Clothing &amp; Apparel</w:t>
            </w:r>
          </w:p>
        </w:tc>
        <w:tc>
          <w:tcPr>
            <w:tcW w:w="1382" w:type="dxa"/>
          </w:tcPr>
          <w:p w14:paraId="5CC71E1A">
            <w:pPr>
              <w:spacing w:after="400" w:line="400" w:lineRule="exact"/>
              <w:jc w:val="left"/>
            </w:pPr>
            <w:r>
              <w:t>¥5.1 (5%)</w:t>
            </w:r>
          </w:p>
        </w:tc>
        <w:tc>
          <w:tcPr>
            <w:tcW w:w="1382" w:type="dxa"/>
          </w:tcPr>
          <w:p w14:paraId="07D398A9">
            <w:pPr>
              <w:spacing w:after="400" w:line="400" w:lineRule="exact"/>
              <w:jc w:val="left"/>
            </w:pPr>
            <w:r>
              <w:t>¥4.7 (4%)</w:t>
            </w:r>
          </w:p>
        </w:tc>
        <w:tc>
          <w:tcPr>
            <w:tcW w:w="1382" w:type="dxa"/>
          </w:tcPr>
          <w:p w14:paraId="2E5FE537">
            <w:pPr>
              <w:spacing w:after="400" w:line="400" w:lineRule="exact"/>
              <w:jc w:val="left"/>
            </w:pPr>
            <w:r>
              <w:t>¥4.1 (3%)</w:t>
            </w:r>
          </w:p>
        </w:tc>
        <w:tc>
          <w:tcPr>
            <w:tcW w:w="1382" w:type="dxa"/>
          </w:tcPr>
          <w:p w14:paraId="2C18AE6F">
            <w:pPr>
              <w:spacing w:after="400" w:line="400" w:lineRule="exact"/>
              <w:jc w:val="left"/>
            </w:pPr>
            <w:r>
              <w:t>¥3.0 (2%)</w:t>
            </w:r>
          </w:p>
        </w:tc>
        <w:tc>
          <w:tcPr>
            <w:tcW w:w="1382" w:type="dxa"/>
          </w:tcPr>
          <w:p w14:paraId="128DCBEA">
            <w:pPr>
              <w:spacing w:after="400" w:line="400" w:lineRule="exact"/>
              <w:jc w:val="left"/>
            </w:pPr>
            <w:r>
              <w:t>Declining share and absolute size; niche growth in adaptive wear cannot offset overall trend.</w:t>
            </w:r>
          </w:p>
        </w:tc>
      </w:tr>
      <w:tr w14:paraId="49300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13C978A">
            <w:pPr>
              <w:spacing w:after="400" w:line="400" w:lineRule="exact"/>
              <w:jc w:val="left"/>
            </w:pPr>
            <w:r>
              <w:rPr>
                <w:b/>
              </w:rPr>
              <w:t>Technology &amp; Digital Services</w:t>
            </w:r>
          </w:p>
        </w:tc>
        <w:tc>
          <w:tcPr>
            <w:tcW w:w="1382" w:type="dxa"/>
          </w:tcPr>
          <w:p w14:paraId="514A977A">
            <w:pPr>
              <w:spacing w:after="400" w:line="400" w:lineRule="exact"/>
              <w:jc w:val="left"/>
            </w:pPr>
            <w:r>
              <w:t>¥3.0 (3%)</w:t>
            </w:r>
          </w:p>
        </w:tc>
        <w:tc>
          <w:tcPr>
            <w:tcW w:w="1382" w:type="dxa"/>
          </w:tcPr>
          <w:p w14:paraId="6314280F">
            <w:pPr>
              <w:spacing w:after="400" w:line="400" w:lineRule="exact"/>
              <w:jc w:val="left"/>
            </w:pPr>
            <w:r>
              <w:t>¥5.9 (5%)</w:t>
            </w:r>
          </w:p>
        </w:tc>
        <w:tc>
          <w:tcPr>
            <w:tcW w:w="1382" w:type="dxa"/>
          </w:tcPr>
          <w:p w14:paraId="56B33A56">
            <w:pPr>
              <w:spacing w:after="400" w:line="400" w:lineRule="exact"/>
              <w:jc w:val="left"/>
            </w:pPr>
            <w:r>
              <w:t>¥9.5 (7%)</w:t>
            </w:r>
          </w:p>
        </w:tc>
        <w:tc>
          <w:tcPr>
            <w:tcW w:w="1382" w:type="dxa"/>
          </w:tcPr>
          <w:p w14:paraId="4F42EC8B">
            <w:pPr>
              <w:spacing w:after="400" w:line="400" w:lineRule="exact"/>
              <w:jc w:val="left"/>
            </w:pPr>
            <w:r>
              <w:t>¥15.0 (10%)</w:t>
            </w:r>
          </w:p>
        </w:tc>
        <w:tc>
          <w:tcPr>
            <w:tcW w:w="1382" w:type="dxa"/>
          </w:tcPr>
          <w:p w14:paraId="57A57B5F">
            <w:pPr>
              <w:spacing w:after="400" w:line="400" w:lineRule="exact"/>
              <w:jc w:val="left"/>
            </w:pPr>
            <w:r>
              <w:t>Explosive growth; driven by smart homes, telehealth, robotics, and connectivity needs.</w:t>
            </w:r>
          </w:p>
        </w:tc>
      </w:tr>
      <w:tr w14:paraId="65C48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D321E0B">
            <w:pPr>
              <w:spacing w:after="400" w:line="400" w:lineRule="exact"/>
              <w:jc w:val="left"/>
            </w:pPr>
            <w:r>
              <w:rPr>
                <w:b/>
              </w:rPr>
              <w:t>Financial Services</w:t>
            </w:r>
          </w:p>
        </w:tc>
        <w:tc>
          <w:tcPr>
            <w:tcW w:w="1382" w:type="dxa"/>
          </w:tcPr>
          <w:p w14:paraId="4F291A47">
            <w:pPr>
              <w:spacing w:after="400" w:line="400" w:lineRule="exact"/>
              <w:jc w:val="left"/>
            </w:pPr>
            <w:r>
              <w:t>¥4.0 (4%)</w:t>
            </w:r>
          </w:p>
        </w:tc>
        <w:tc>
          <w:tcPr>
            <w:tcW w:w="1382" w:type="dxa"/>
          </w:tcPr>
          <w:p w14:paraId="330F3E38">
            <w:pPr>
              <w:spacing w:after="400" w:line="400" w:lineRule="exact"/>
              <w:jc w:val="left"/>
            </w:pPr>
            <w:r>
              <w:t>¥4.7 (4%)</w:t>
            </w:r>
          </w:p>
        </w:tc>
        <w:tc>
          <w:tcPr>
            <w:tcW w:w="1382" w:type="dxa"/>
          </w:tcPr>
          <w:p w14:paraId="2A980530">
            <w:pPr>
              <w:spacing w:after="400" w:line="400" w:lineRule="exact"/>
              <w:jc w:val="left"/>
            </w:pPr>
            <w:r>
              <w:t>¥5.4 (4%)</w:t>
            </w:r>
          </w:p>
        </w:tc>
        <w:tc>
          <w:tcPr>
            <w:tcW w:w="1382" w:type="dxa"/>
          </w:tcPr>
          <w:p w14:paraId="7F68050B">
            <w:pPr>
              <w:spacing w:after="400" w:line="400" w:lineRule="exact"/>
              <w:jc w:val="left"/>
            </w:pPr>
            <w:r>
              <w:t>¥6.0 (4%)</w:t>
            </w:r>
          </w:p>
        </w:tc>
        <w:tc>
          <w:tcPr>
            <w:tcW w:w="1382" w:type="dxa"/>
          </w:tcPr>
          <w:p w14:paraId="6FF4661F">
            <w:pPr>
              <w:spacing w:after="400" w:line="400" w:lineRule="exact"/>
              <w:jc w:val="left"/>
            </w:pPr>
            <w:r>
              <w:t>Stable share; driven by asset management and inheritance planning needs.</w:t>
            </w:r>
          </w:p>
        </w:tc>
      </w:tr>
      <w:tr w14:paraId="585AA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4649DF8">
            <w:pPr>
              <w:spacing w:after="400" w:line="400" w:lineRule="exact"/>
              <w:jc w:val="left"/>
            </w:pPr>
            <w:r>
              <w:rPr>
                <w:b/>
              </w:rPr>
              <w:t>Other (Misc. Goods/Services)</w:t>
            </w:r>
          </w:p>
        </w:tc>
        <w:tc>
          <w:tcPr>
            <w:tcW w:w="1382" w:type="dxa"/>
          </w:tcPr>
          <w:p w14:paraId="5BA497B5">
            <w:pPr>
              <w:spacing w:after="400" w:line="400" w:lineRule="exact"/>
              <w:jc w:val="left"/>
            </w:pPr>
            <w:r>
              <w:t>¥18.1 (18%)</w:t>
            </w:r>
          </w:p>
        </w:tc>
        <w:tc>
          <w:tcPr>
            <w:tcW w:w="1382" w:type="dxa"/>
          </w:tcPr>
          <w:p w14:paraId="00426584">
            <w:pPr>
              <w:spacing w:after="400" w:line="400" w:lineRule="exact"/>
              <w:jc w:val="left"/>
            </w:pPr>
            <w:r>
              <w:t>¥17.7 (15%)</w:t>
            </w:r>
          </w:p>
        </w:tc>
        <w:tc>
          <w:tcPr>
            <w:tcW w:w="1382" w:type="dxa"/>
          </w:tcPr>
          <w:p w14:paraId="06FD3C2B">
            <w:pPr>
              <w:spacing w:after="400" w:line="400" w:lineRule="exact"/>
              <w:jc w:val="left"/>
            </w:pPr>
            <w:r>
              <w:t>¥17.4 (13%)</w:t>
            </w:r>
          </w:p>
        </w:tc>
        <w:tc>
          <w:tcPr>
            <w:tcW w:w="1382" w:type="dxa"/>
          </w:tcPr>
          <w:p w14:paraId="69B41494">
            <w:pPr>
              <w:spacing w:after="400" w:line="400" w:lineRule="exact"/>
              <w:jc w:val="left"/>
            </w:pPr>
            <w:r>
              <w:t>¥13.5 (9%)</w:t>
            </w:r>
          </w:p>
        </w:tc>
        <w:tc>
          <w:tcPr>
            <w:tcW w:w="1382" w:type="dxa"/>
          </w:tcPr>
          <w:p w14:paraId="2E4D0C03">
            <w:pPr>
              <w:spacing w:after="400" w:line="400" w:lineRule="exact"/>
              <w:jc w:val="left"/>
            </w:pPr>
            <w:r>
              <w:t>Declining share as spending concentrates in key service categories.</w:t>
            </w:r>
          </w:p>
        </w:tc>
      </w:tr>
      <w:tr w14:paraId="01F9C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9C7271F">
            <w:pPr>
              <w:spacing w:after="400" w:line="400" w:lineRule="exact"/>
              <w:jc w:val="left"/>
            </w:pPr>
            <w:r>
              <w:rPr>
                <w:b/>
              </w:rPr>
              <w:t>TOTAL</w:t>
            </w:r>
          </w:p>
        </w:tc>
        <w:tc>
          <w:tcPr>
            <w:tcW w:w="1382" w:type="dxa"/>
          </w:tcPr>
          <w:p w14:paraId="3EFFB216">
            <w:pPr>
              <w:spacing w:after="400" w:line="400" w:lineRule="exact"/>
              <w:jc w:val="left"/>
            </w:pPr>
            <w:r>
              <w:rPr>
                <w:b/>
              </w:rPr>
              <w:t>¥101.0</w:t>
            </w:r>
          </w:p>
        </w:tc>
        <w:tc>
          <w:tcPr>
            <w:tcW w:w="1382" w:type="dxa"/>
          </w:tcPr>
          <w:p w14:paraId="07D7DCDD">
            <w:pPr>
              <w:spacing w:after="400" w:line="400" w:lineRule="exact"/>
              <w:jc w:val="left"/>
            </w:pPr>
            <w:r>
              <w:rPr>
                <w:b/>
              </w:rPr>
              <w:t>¥118.0</w:t>
            </w:r>
          </w:p>
        </w:tc>
        <w:tc>
          <w:tcPr>
            <w:tcW w:w="1382" w:type="dxa"/>
          </w:tcPr>
          <w:p w14:paraId="6E4C7CBA">
            <w:pPr>
              <w:spacing w:after="400" w:line="400" w:lineRule="exact"/>
              <w:jc w:val="left"/>
            </w:pPr>
            <w:r>
              <w:rPr>
                <w:b/>
              </w:rPr>
              <w:t>¥135.0</w:t>
            </w:r>
          </w:p>
        </w:tc>
        <w:tc>
          <w:tcPr>
            <w:tcW w:w="1382" w:type="dxa"/>
          </w:tcPr>
          <w:p w14:paraId="4CAE5969">
            <w:pPr>
              <w:spacing w:after="400" w:line="400" w:lineRule="exact"/>
              <w:jc w:val="left"/>
            </w:pPr>
            <w:r>
              <w:rPr>
                <w:b/>
              </w:rPr>
              <w:t>¥150.0</w:t>
            </w:r>
          </w:p>
        </w:tc>
        <w:tc>
          <w:tcPr>
            <w:tcW w:w="1382" w:type="dxa"/>
          </w:tcPr>
          <w:p w14:paraId="0F549882">
            <w:pPr>
              <w:spacing w:after="400" w:line="400" w:lineRule="exact"/>
              <w:jc w:val="left"/>
            </w:pPr>
            <w:r>
              <w:t xml:space="preserve"> </w:t>
            </w:r>
          </w:p>
        </w:tc>
      </w:tr>
    </w:tbl>
    <w:p w14:paraId="314BF35D">
      <w:pPr>
        <w:spacing w:before="400" w:after="400" w:line="400" w:lineRule="atLeast"/>
      </w:pPr>
      <w:r>
        <w:rPr>
          <w:b/>
          <w:sz w:val="26"/>
        </w:rPr>
        <w:t>6.4 Analysis of Projected Market Share Shifts</w:t>
      </w:r>
    </w:p>
    <w:p w14:paraId="6F53D04C">
      <w:pPr>
        <w:spacing w:after="400" w:line="400" w:lineRule="atLeast"/>
      </w:pPr>
      <w:r>
        <w:t>The projections in Table 6.1 vividly illustrate the future of Japan's elderly consumer market:</w:t>
      </w:r>
    </w:p>
    <w:p w14:paraId="239CA556">
      <w:pPr>
        <w:numPr>
          <w:ilvl w:val="-1"/>
          <w:numId w:val="1"/>
        </w:numPr>
        <w:spacing w:after="400" w:line="400" w:lineRule="atLeast"/>
      </w:pPr>
      <w:r>
        <w:rPr>
          <w:b/>
        </w:rPr>
        <w:t>The Rise of the Service Economy:</w:t>
      </w:r>
      <w:r>
        <w:t xml:space="preserve"> The most profound shift is the massive transfer of market share to service-oriented sectors. By 2050, </w:t>
      </w:r>
      <w:r>
        <w:rPr>
          <w:b/>
        </w:rPr>
        <w:t>Healthcare &amp; Medical</w:t>
      </w:r>
      <w:r>
        <w:t xml:space="preserve"> and </w:t>
      </w:r>
      <w:r>
        <w:rPr>
          <w:b/>
        </w:rPr>
        <w:t>Technology &amp; Digital Services</w:t>
      </w:r>
      <w:r>
        <w:t xml:space="preserve"> are projected to account for a combined 31% of all elderly consumption, up from just 15% in 2020. This is the central narrative of the market's evolution.</w:t>
      </w:r>
    </w:p>
    <w:p w14:paraId="7912473E">
      <w:pPr>
        <w:numPr>
          <w:ilvl w:val="-1"/>
          <w:numId w:val="1"/>
        </w:numPr>
        <w:spacing w:after="400" w:line="400" w:lineRule="atLeast"/>
      </w:pPr>
      <w:r>
        <w:rPr>
          <w:b/>
        </w:rPr>
        <w:t>The Dominance of Non-Discretionary Needs:</w:t>
      </w:r>
      <w:r>
        <w:t xml:space="preserve"> The growth in healthcare, housing, and essential personal care underscores a market increasingly driven by need rather than want. These sectors are resilient to economic downturns and represent the most reliable areas for long-term investment.</w:t>
      </w:r>
    </w:p>
    <w:p w14:paraId="0B47F79E">
      <w:pPr>
        <w:numPr>
          <w:ilvl w:val="-1"/>
          <w:numId w:val="1"/>
        </w:numPr>
        <w:spacing w:after="400" w:line="400" w:lineRule="atLeast"/>
      </w:pPr>
      <w:r>
        <w:rPr>
          <w:b/>
        </w:rPr>
        <w:t>Transformation, Not Extinction, for Traditional Sectors:</w:t>
      </w:r>
      <w:r>
        <w:t xml:space="preserve"> While sectors like </w:t>
      </w:r>
      <w:r>
        <w:rPr>
          <w:b/>
        </w:rPr>
        <w:t>Clothing</w:t>
      </w:r>
      <w:r>
        <w:t xml:space="preserve"> and </w:t>
      </w:r>
      <w:r>
        <w:rPr>
          <w:b/>
        </w:rPr>
        <w:t>Transportation</w:t>
      </w:r>
      <w:r>
        <w:t xml:space="preserve"> see their market share shrink, they are not disappearing. They are transforming. The value will be in highly specialized niches: adaptive clothing instead of fast fashion, and mobility-as-a-service instead of car sales.</w:t>
      </w:r>
    </w:p>
    <w:p w14:paraId="333308D5">
      <w:pPr>
        <w:numPr>
          <w:ilvl w:val="-1"/>
          <w:numId w:val="1"/>
        </w:numPr>
        <w:spacing w:after="400" w:line="400" w:lineRule="atLeast"/>
      </w:pPr>
      <w:r>
        <w:rPr>
          <w:b/>
        </w:rPr>
        <w:t>The Tech Enabler:</w:t>
      </w:r>
      <w:r>
        <w:t xml:space="preserve"> The explosive growth of the technology sector is unique because it is also an enabler for all other sectors. Tech will reshape how healthcare is delivered, how seniors live at home, how they procure food, and how they stay entertained.</w:t>
      </w:r>
    </w:p>
    <w:p w14:paraId="52B1AFE3">
      <w:pPr>
        <w:spacing w:after="400" w:line="400" w:lineRule="atLeast"/>
      </w:pPr>
      <w:r>
        <w:rPr>
          <w:b/>
          <w:sz w:val="30"/>
        </w:rPr>
        <w:t>7. Conclusion: Navigating the ¥150 Trillion Silver Market</w:t>
      </w:r>
    </w:p>
    <w:p w14:paraId="1765FAC9">
      <w:pPr>
        <w:spacing w:after="400" w:line="400" w:lineRule="atLeast"/>
      </w:pPr>
      <w:r>
        <w:t>Japan's journey as a hyper-aged society presents one of the most significant economic transformations of the 21st century. The demographic destiny of the nation has created a vast and complex "silver market" that will become the undisputed center of gravity for Japan's domestic economy. This report's analysis indicates a market growing from over ¥100 trillion today to a staggering ¥150 trillion by 2050, a trajectory defined by profound internal shifts in both demographics and demand.</w:t>
      </w:r>
    </w:p>
    <w:p w14:paraId="4E565B1F">
      <w:pPr>
        <w:spacing w:after="400" w:line="400" w:lineRule="atLeast"/>
      </w:pPr>
      <w:r>
        <w:t>The key takeaway for businesses and policymakers is that the "elderly market" is not a single entity. The future lies in understanding its distinct and evolving segments. The "young-old" (65-74), while shrinking, will remain a market for active lifestyle and leisure pursuits. However, the overwhelming demographic and economic force is the rapid expansion of the "old-old" (85+). Their needs will power the immense growth of the healthcare, long-term care, personal wellness, and assistive technology sectors.</w:t>
      </w:r>
    </w:p>
    <w:p w14:paraId="5D2D8E20">
      <w:pPr>
        <w:spacing w:after="400" w:line="400" w:lineRule="atLeast"/>
      </w:pPr>
      <w:r>
        <w:t>Success in this market will not come from simply marketing existing products to an older audience. It will require fundamental innovation in service delivery, product design, and business models. The winning formula will be built on principles of accessibility, convenience, safety, and dignity. It will leverage technology not as a gimmick, but as an essential tool for enabling independence and improving quality of life. From barrier-free housing and prepared nutritional meals to telehealth platforms and user-friendly mobility services, the opportunities are centered on solving the real-world challenges of aging.</w:t>
      </w:r>
    </w:p>
    <w:p w14:paraId="0E1CF9F1">
      <w:pPr>
        <w:spacing w:after="400" w:line="400" w:lineRule="atLeast"/>
      </w:pPr>
      <w:r>
        <w:t>While the sheer scale of this market is compelling, its future is moderated by the financial health of the elderly. The sustainability of the pension system, the rising costs of healthcare, and the savings patterns of future retiree cohorts will ultimately determine the ceiling of consumption.</w:t>
      </w:r>
    </w:p>
    <w:p w14:paraId="07E9C17F">
      <w:pPr>
        <w:spacing w:after="400" w:line="400" w:lineRule="atLeast"/>
      </w:pPr>
      <w:r>
        <w:t>In conclusion, Japan's silver market is a landscape of unprecedented challenge and opportunity. It demands a long-term strategic vision that looks beyond outdated stereotypes of aging and recognizes the diverse, evolving, and essential needs of a demographic that is, and will continue to be, the cornerstone of the Japanese economy.</w:t>
      </w:r>
    </w:p>
    <w:p w14:paraId="662A8855">
      <w:pPr>
        <w:pStyle w:val="3"/>
        <w:spacing w:after="400" w:line="400" w:lineRule="atLeast"/>
      </w:pPr>
      <w:r>
        <w:t>文献来源</w:t>
      </w:r>
    </w:p>
    <w:p w14:paraId="16312867">
      <w:pPr>
        <w:spacing w:after="200" w:line="400" w:lineRule="atLeast"/>
      </w:pPr>
      <w:r>
        <w:fldChar w:fldCharType="begin"/>
      </w:r>
      <w:r>
        <w:instrText xml:space="preserve"> HYPERLINK "https://doi.org/10.1787/220005270870" \h </w:instrText>
      </w:r>
      <w:r>
        <w:fldChar w:fldCharType="separate"/>
      </w:r>
      <w:r>
        <w:rPr>
          <w:rStyle w:val="13"/>
          <w:color w:val="0563C1"/>
        </w:rPr>
        <w:t>[139,482]. Health-Care Reform in Japan: Controlling Costs, Improving Quality and Ensuring Equity</w:t>
      </w:r>
      <w:r>
        <w:rPr>
          <w:rStyle w:val="13"/>
          <w:color w:val="0563C1"/>
        </w:rPr>
        <w:fldChar w:fldCharType="end"/>
      </w:r>
    </w:p>
    <w:p w14:paraId="4E6E4A28">
      <w:pPr>
        <w:spacing w:after="200" w:line="400" w:lineRule="atLeast"/>
      </w:pPr>
      <w:r>
        <w:fldChar w:fldCharType="begin"/>
      </w:r>
      <w:r>
        <w:instrText xml:space="preserve"> HYPERLINK "https://www.semanticscholar.org/search?q=Projection%20of%20pension%2C%20health%20and%20long-term%20care%20expenditures%20in%20Japan%20through%20macro%20simulation&amp;sort=relevance" \h </w:instrText>
      </w:r>
      <w:r>
        <w:fldChar w:fldCharType="separate"/>
      </w:r>
      <w:r>
        <w:rPr>
          <w:rStyle w:val="13"/>
          <w:color w:val="0563C1"/>
        </w:rPr>
        <w:t>[140,141,261,483]. Projection of pension, health and long-term care expenditures in Japan through macro simulation</w:t>
      </w:r>
      <w:r>
        <w:rPr>
          <w:rStyle w:val="13"/>
          <w:color w:val="0563C1"/>
        </w:rPr>
        <w:fldChar w:fldCharType="end"/>
      </w:r>
    </w:p>
    <w:p w14:paraId="6AC4FEF2">
      <w:pPr>
        <w:spacing w:after="200" w:line="400" w:lineRule="atLeast"/>
      </w:pPr>
      <w:r>
        <w:fldChar w:fldCharType="begin"/>
      </w:r>
      <w:r>
        <w:instrText xml:space="preserve"> HYPERLINK "https://doi.org/10.5539/gjhs.v8n3p89" \h </w:instrText>
      </w:r>
      <w:r>
        <w:fldChar w:fldCharType="separate"/>
      </w:r>
      <w:r>
        <w:rPr>
          <w:rStyle w:val="13"/>
          <w:color w:val="0563C1"/>
        </w:rPr>
        <w:t>[143]. Decomposing Cost Efficiency in Regional Long-term Care Provision in Japan</w:t>
      </w:r>
      <w:r>
        <w:rPr>
          <w:rStyle w:val="13"/>
          <w:color w:val="0563C1"/>
        </w:rPr>
        <w:fldChar w:fldCharType="end"/>
      </w:r>
    </w:p>
    <w:p w14:paraId="4D1CFC37">
      <w:pPr>
        <w:spacing w:after="200" w:line="400" w:lineRule="atLeast"/>
      </w:pPr>
      <w:r>
        <w:fldChar w:fldCharType="begin"/>
      </w:r>
      <w:r>
        <w:instrText xml:space="preserve"> HYPERLINK "https://doi.org/10.7223/APJDM.5.57" \h </w:instrText>
      </w:r>
      <w:r>
        <w:fldChar w:fldCharType="separate"/>
      </w:r>
      <w:r>
        <w:rPr>
          <w:rStyle w:val="13"/>
          <w:color w:val="0563C1"/>
        </w:rPr>
        <w:t>[144,150,488]. Twelve Years Experiences of the Japanese Long Term Care Insurance</w:t>
      </w:r>
      <w:r>
        <w:rPr>
          <w:rStyle w:val="13"/>
          <w:color w:val="0563C1"/>
        </w:rPr>
        <w:fldChar w:fldCharType="end"/>
      </w:r>
    </w:p>
    <w:p w14:paraId="479D288E">
      <w:pPr>
        <w:spacing w:after="200" w:line="400" w:lineRule="atLeast"/>
      </w:pPr>
      <w:r>
        <w:fldChar w:fldCharType="begin"/>
      </w:r>
      <w:r>
        <w:instrText xml:space="preserve"> HYPERLINK "https://doi.org/10.1186/1472-6963-11-103" \h </w:instrText>
      </w:r>
      <w:r>
        <w:fldChar w:fldCharType="separate"/>
      </w:r>
      <w:r>
        <w:rPr>
          <w:rStyle w:val="13"/>
          <w:color w:val="0563C1"/>
        </w:rPr>
        <w:t>[148,267,268,270,273,275]. Predictors of the highest long-term care expenditures in Japan</w:t>
      </w:r>
      <w:r>
        <w:rPr>
          <w:rStyle w:val="13"/>
          <w:color w:val="0563C1"/>
        </w:rPr>
        <w:fldChar w:fldCharType="end"/>
      </w:r>
    </w:p>
    <w:p w14:paraId="7BE8C5E9">
      <w:pPr>
        <w:spacing w:after="200" w:line="400" w:lineRule="atLeast"/>
      </w:pPr>
      <w:r>
        <w:fldChar w:fldCharType="begin"/>
      </w:r>
      <w:r>
        <w:instrText xml:space="preserve"> HYPERLINK "https://www.semanticscholar.org/search?q=The%20current%20state%20and%20future%20development%20of%20the%20Long-term%20Care%20Insurance%20System%20in%20Japan.&amp;sort=relevance" \h </w:instrText>
      </w:r>
      <w:r>
        <w:fldChar w:fldCharType="separate"/>
      </w:r>
      <w:r>
        <w:rPr>
          <w:rStyle w:val="13"/>
          <w:color w:val="0563C1"/>
        </w:rPr>
        <w:t>[149]. The current state and future development of the Long-term Care Insurance System in Japan.</w:t>
      </w:r>
      <w:r>
        <w:rPr>
          <w:rStyle w:val="13"/>
          <w:color w:val="0563C1"/>
        </w:rPr>
        <w:fldChar w:fldCharType="end"/>
      </w:r>
    </w:p>
    <w:p w14:paraId="2718B5C3">
      <w:pPr>
        <w:spacing w:after="200" w:line="400" w:lineRule="atLeast"/>
      </w:pPr>
      <w:r>
        <w:fldChar w:fldCharType="begin"/>
      </w:r>
      <w:r>
        <w:instrText xml:space="preserve"> HYPERLINK "https://doi.org/10.1016/J.JAPWOR.2018.02.002" \h </w:instrText>
      </w:r>
      <w:r>
        <w:fldChar w:fldCharType="separate"/>
      </w:r>
      <w:r>
        <w:rPr>
          <w:rStyle w:val="13"/>
          <w:color w:val="0563C1"/>
        </w:rPr>
        <w:t>[260,263,266,269,481]. The future prospect of the long-term care insurance in Japan</w:t>
      </w:r>
      <w:r>
        <w:rPr>
          <w:rStyle w:val="13"/>
          <w:color w:val="0563C1"/>
        </w:rPr>
        <w:fldChar w:fldCharType="end"/>
      </w:r>
    </w:p>
    <w:p w14:paraId="19A0A84D">
      <w:pPr>
        <w:spacing w:after="200" w:line="400" w:lineRule="atLeast"/>
      </w:pPr>
      <w:r>
        <w:fldChar w:fldCharType="begin"/>
      </w:r>
      <w:r>
        <w:instrText xml:space="preserve"> HYPERLINK "https://www.semanticscholar.org/search?q=Besch%C3%A4ftigung%20%C3%A4lterer%20Arbeitnehmer%20im%20Spiegel%20bisheriger%20Forschung&amp;sort=relevance" \h </w:instrText>
      </w:r>
      <w:r>
        <w:fldChar w:fldCharType="separate"/>
      </w:r>
      <w:r>
        <w:rPr>
          <w:rStyle w:val="13"/>
          <w:color w:val="0563C1"/>
        </w:rPr>
        <w:t>[262,265]. Beschäftigung älterer Arbeitnehmer im Spiegel bisheriger Forschung</w:t>
      </w:r>
      <w:r>
        <w:rPr>
          <w:rStyle w:val="13"/>
          <w:color w:val="0563C1"/>
        </w:rPr>
        <w:fldChar w:fldCharType="end"/>
      </w:r>
    </w:p>
    <w:p w14:paraId="3390D100">
      <w:pPr>
        <w:spacing w:after="200" w:line="400" w:lineRule="atLeast"/>
      </w:pPr>
      <w:r>
        <w:fldChar w:fldCharType="begin"/>
      </w:r>
      <w:r>
        <w:instrText xml:space="preserve"> HYPERLINK "https://doi.org/10.1016/J.JJIE.2011.08.001" \h </w:instrText>
      </w:r>
      <w:r>
        <w:fldChar w:fldCharType="separate"/>
      </w:r>
      <w:r>
        <w:rPr>
          <w:rStyle w:val="13"/>
          <w:color w:val="0563C1"/>
        </w:rPr>
        <w:t>[272]. The impact of retirement on household consumption in Japan</w:t>
      </w:r>
      <w:r>
        <w:rPr>
          <w:rStyle w:val="13"/>
          <w:color w:val="0563C1"/>
        </w:rPr>
        <w:fldChar w:fldCharType="end"/>
      </w:r>
    </w:p>
    <w:p w14:paraId="00D09644">
      <w:pPr>
        <w:spacing w:after="200" w:line="400" w:lineRule="atLeast"/>
      </w:pPr>
      <w:r>
        <w:fldChar w:fldCharType="begin"/>
      </w:r>
      <w:r>
        <w:instrText xml:space="preserve"> HYPERLINK "https://doi.org/10.2188/jea.JE20180055" \h </w:instrText>
      </w:r>
      <w:r>
        <w:fldChar w:fldCharType="separate"/>
      </w:r>
      <w:r>
        <w:rPr>
          <w:rStyle w:val="13"/>
          <w:color w:val="0563C1"/>
        </w:rPr>
        <w:t>[375]. Household Income Relationship With Health Services Utilization and Healthcare Expenditures in People Aged 75 Years or Older in Japan: A Population-Based Study Using Medical and Long-term Care Insurance Claims Data</w:t>
      </w:r>
      <w:r>
        <w:rPr>
          <w:rStyle w:val="13"/>
          <w:color w:val="0563C1"/>
        </w:rPr>
        <w:fldChar w:fldCharType="end"/>
      </w:r>
    </w:p>
    <w:p w14:paraId="4921ACFE">
      <w:pPr>
        <w:spacing w:after="400" w:line="400" w:lineRule="atLeast"/>
      </w:pPr>
      <w:r>
        <w:rPr>
          <w:i/>
        </w:rPr>
        <w:t>以下来源未被直接引用</w:t>
      </w:r>
    </w:p>
    <w:p w14:paraId="48886224">
      <w:pPr>
        <w:spacing w:after="200" w:line="400" w:lineRule="atLeast"/>
      </w:pPr>
      <w:r>
        <w:fldChar w:fldCharType="begin"/>
      </w:r>
      <w:r>
        <w:instrText xml:space="preserve"> HYPERLINK "https://doi.org/10.1355/9789812307941-004" \h </w:instrText>
      </w:r>
      <w:r>
        <w:fldChar w:fldCharType="separate"/>
      </w:r>
      <w:r>
        <w:rPr>
          <w:rStyle w:val="13"/>
          <w:color w:val="0563C1"/>
        </w:rPr>
        <w:t>The Pension System in Japan and Retirement Needs of the Japanese Elderly</w:t>
      </w:r>
      <w:r>
        <w:rPr>
          <w:rStyle w:val="13"/>
          <w:color w:val="0563C1"/>
        </w:rPr>
        <w:fldChar w:fldCharType="end"/>
      </w:r>
    </w:p>
    <w:p w14:paraId="27C21CF9">
      <w:pPr>
        <w:spacing w:after="200" w:line="400" w:lineRule="atLeast"/>
      </w:pPr>
      <w:r>
        <w:fldChar w:fldCharType="begin"/>
      </w:r>
      <w:r>
        <w:instrText xml:space="preserve"> HYPERLINK "https://doi.org/10.1007/s10198-022-01550-x" \h </w:instrText>
      </w:r>
      <w:r>
        <w:fldChar w:fldCharType="separate"/>
      </w:r>
      <w:r>
        <w:rPr>
          <w:rStyle w:val="13"/>
          <w:color w:val="0563C1"/>
        </w:rPr>
        <w:t>Insurance coverage, long-term care utilization, and health outcomes</w:t>
      </w:r>
      <w:r>
        <w:rPr>
          <w:rStyle w:val="13"/>
          <w:color w:val="0563C1"/>
        </w:rPr>
        <w:fldChar w:fldCharType="end"/>
      </w:r>
    </w:p>
    <w:p w14:paraId="20079D2E">
      <w:pPr>
        <w:spacing w:after="200" w:line="400" w:lineRule="atLeast"/>
      </w:pPr>
      <w:r>
        <w:fldChar w:fldCharType="begin"/>
      </w:r>
      <w:r>
        <w:instrText xml:space="preserve"> HYPERLINK "https://doi.org/10.1080/13439006.2014.925199" \h </w:instrText>
      </w:r>
      <w:r>
        <w:fldChar w:fldCharType="separate"/>
      </w:r>
      <w:r>
        <w:rPr>
          <w:rStyle w:val="13"/>
          <w:color w:val="0563C1"/>
        </w:rPr>
        <w:t>The Future of Long-term Care in Japan</w:t>
      </w:r>
      <w:r>
        <w:rPr>
          <w:rStyle w:val="13"/>
          <w:color w:val="0563C1"/>
        </w:rPr>
        <w:fldChar w:fldCharType="end"/>
      </w:r>
    </w:p>
    <w:p w14:paraId="0FED47FC">
      <w:pPr>
        <w:spacing w:after="200" w:line="400" w:lineRule="atLeast"/>
      </w:pPr>
      <w:r>
        <w:fldChar w:fldCharType="begin"/>
      </w:r>
      <w:r>
        <w:instrText xml:space="preserve"> HYPERLINK "https://doi.org/10.1057/GPP.2008.25" \h </w:instrText>
      </w:r>
      <w:r>
        <w:fldChar w:fldCharType="separate"/>
      </w:r>
      <w:r>
        <w:rPr>
          <w:rStyle w:val="13"/>
          <w:color w:val="0563C1"/>
        </w:rPr>
        <w:t>An Empirical Analysis of Patterns in the Japanese Long-Term Care Insurance System</w:t>
      </w:r>
      <w:r>
        <w:rPr>
          <w:rStyle w:val="13"/>
          <w:color w:val="0563C1"/>
        </w:rPr>
        <w:fldChar w:fldCharType="end"/>
      </w:r>
    </w:p>
    <w:p w14:paraId="2E35EA20">
      <w:pPr>
        <w:spacing w:after="200" w:line="400" w:lineRule="atLeast"/>
      </w:pPr>
      <w:r>
        <w:fldChar w:fldCharType="begin"/>
      </w:r>
      <w:r>
        <w:instrText xml:space="preserve"> HYPERLINK "https://doi.org/10.4337/9781847208583.00016" \h </w:instrText>
      </w:r>
      <w:r>
        <w:fldChar w:fldCharType="separate"/>
      </w:r>
      <w:r>
        <w:rPr>
          <w:rStyle w:val="13"/>
          <w:color w:val="0563C1"/>
        </w:rPr>
        <w:t>Population Aging and Health Care Spending in Japan: Public- and Private-sector Responses</w:t>
      </w:r>
      <w:r>
        <w:rPr>
          <w:rStyle w:val="13"/>
          <w:color w:val="0563C1"/>
        </w:rPr>
        <w:fldChar w:fldCharType="end"/>
      </w:r>
    </w:p>
    <w:p w14:paraId="4C247EB1">
      <w:pPr>
        <w:pStyle w:val="3"/>
        <w:spacing w:after="400" w:line="400" w:lineRule="atLeast"/>
      </w:pPr>
      <w:r>
        <w:t>其他来源</w:t>
      </w:r>
    </w:p>
    <w:p w14:paraId="3846A656">
      <w:pPr>
        <w:spacing w:after="200" w:line="400" w:lineRule="atLeast"/>
      </w:pPr>
      <w:r>
        <w:fldChar w:fldCharType="begin"/>
      </w:r>
      <w:r>
        <w:instrText xml:space="preserve"> HYPERLINK "https://www5.cao.go.jp/keizai-shimon/kaigi/minutes/2024/0402/shiryo_05.pdf" \h </w:instrText>
      </w:r>
      <w:r>
        <w:fldChar w:fldCharType="separate"/>
      </w:r>
      <w:r>
        <w:rPr>
          <w:rStyle w:val="13"/>
          <w:color w:val="0563C1"/>
        </w:rPr>
        <w:t>[1,6,165,238,381,383,392,428,431,434,437,438,463,464]. 中長期的に持続可能な経済社会の検討に向けて②</w:t>
      </w:r>
      <w:r>
        <w:rPr>
          <w:rStyle w:val="13"/>
          <w:color w:val="0563C1"/>
        </w:rPr>
        <w:fldChar w:fldCharType="end"/>
      </w:r>
    </w:p>
    <w:p w14:paraId="12EA7B37">
      <w:pPr>
        <w:spacing w:after="200" w:line="400" w:lineRule="atLeast"/>
      </w:pPr>
      <w:r>
        <w:fldChar w:fldCharType="begin"/>
      </w:r>
      <w:r>
        <w:instrText xml:space="preserve"> HYPERLINK "https://files.metaso.cn/api/public-file/preview?fileName=8682577180468195328.pdf" \h </w:instrText>
      </w:r>
      <w:r>
        <w:fldChar w:fldCharType="separate"/>
      </w:r>
      <w:r>
        <w:rPr>
          <w:rStyle w:val="13"/>
          <w:color w:val="0563C1"/>
        </w:rPr>
        <w:t>[2,18,21,54,92,119,127,132,160,163,255,277,284,291,293,321,335,356,421,426,475]. 2025 银发经济生态：中国与全球实践白皮书</w:t>
      </w:r>
      <w:r>
        <w:rPr>
          <w:rStyle w:val="13"/>
          <w:color w:val="0563C1"/>
        </w:rPr>
        <w:fldChar w:fldCharType="end"/>
      </w:r>
    </w:p>
    <w:p w14:paraId="22A5583E">
      <w:pPr>
        <w:spacing w:after="200" w:line="400" w:lineRule="atLeast"/>
      </w:pPr>
      <w:r>
        <w:fldChar w:fldCharType="begin"/>
      </w:r>
      <w:r>
        <w:instrText xml:space="preserve"> HYPERLINK "https://www.newsgd.com/node_e75cadc545/e218a40aae.shtml" \h </w:instrText>
      </w:r>
      <w:r>
        <w:fldChar w:fldCharType="separate"/>
      </w:r>
      <w:r>
        <w:rPr>
          <w:rStyle w:val="13"/>
          <w:color w:val="0563C1"/>
        </w:rPr>
        <w:t>[3,432]. Japan forecasts elderly majority in 25 prefectures by 2050</w:t>
      </w:r>
      <w:r>
        <w:rPr>
          <w:rStyle w:val="13"/>
          <w:color w:val="0563C1"/>
        </w:rPr>
        <w:fldChar w:fldCharType="end"/>
      </w:r>
    </w:p>
    <w:p w14:paraId="10F17722">
      <w:pPr>
        <w:spacing w:after="200" w:line="400" w:lineRule="atLeast"/>
      </w:pPr>
      <w:r>
        <w:fldChar w:fldCharType="begin"/>
      </w:r>
      <w:r>
        <w:instrText xml:space="preserve"> HYPERLINK "http://www.mcw-forum.or.jp/image_report/DL/20240516-1.pdf" \h </w:instrText>
      </w:r>
      <w:r>
        <w:fldChar w:fldCharType="separate"/>
      </w:r>
      <w:r>
        <w:rPr>
          <w:rStyle w:val="13"/>
          <w:color w:val="0563C1"/>
        </w:rPr>
        <w:t>[4,90,94,154,159,224,281,331,429,433]. これからの施設整備の課題</w:t>
      </w:r>
      <w:r>
        <w:rPr>
          <w:rStyle w:val="13"/>
          <w:color w:val="0563C1"/>
        </w:rPr>
        <w:fldChar w:fldCharType="end"/>
      </w:r>
    </w:p>
    <w:p w14:paraId="3141B901">
      <w:pPr>
        <w:spacing w:after="200" w:line="400" w:lineRule="atLeast"/>
      </w:pPr>
      <w:r>
        <w:fldChar w:fldCharType="begin"/>
      </w:r>
      <w:r>
        <w:instrText xml:space="preserve"> HYPERLINK "https://www.union.nakaniikawa.toyama.jp/05kaigo/pdf/jk9.pdf" \h </w:instrText>
      </w:r>
      <w:r>
        <w:fldChar w:fldCharType="separate"/>
      </w:r>
      <w:r>
        <w:rPr>
          <w:rStyle w:val="13"/>
          <w:color w:val="0563C1"/>
        </w:rPr>
        <w:t>[5]. 第9期介護保険事業計画【令和6年度～令和8年度】</w:t>
      </w:r>
      <w:r>
        <w:rPr>
          <w:rStyle w:val="13"/>
          <w:color w:val="0563C1"/>
        </w:rPr>
        <w:fldChar w:fldCharType="end"/>
      </w:r>
    </w:p>
    <w:p w14:paraId="20CD3A78">
      <w:pPr>
        <w:spacing w:after="200" w:line="400" w:lineRule="atLeast"/>
      </w:pPr>
      <w:r>
        <w:fldChar w:fldCharType="begin"/>
      </w:r>
      <w:r>
        <w:instrText xml:space="preserve"> HYPERLINK "https://www.jri.co.jp/MediaLibrary/file/column/opinion/pdf/2504_mhlwkrouken_report_136_2.pdf" \h </w:instrText>
      </w:r>
      <w:r>
        <w:fldChar w:fldCharType="separate"/>
      </w:r>
      <w:r>
        <w:rPr>
          <w:rStyle w:val="13"/>
          <w:color w:val="0563C1"/>
        </w:rPr>
        <w:t>[7]. 「身寄りのない高齢者」を介護施設等で受け入れるときの主なポイント</w:t>
      </w:r>
      <w:r>
        <w:rPr>
          <w:rStyle w:val="13"/>
          <w:color w:val="0563C1"/>
        </w:rPr>
        <w:fldChar w:fldCharType="end"/>
      </w:r>
    </w:p>
    <w:p w14:paraId="76145446">
      <w:pPr>
        <w:spacing w:after="200" w:line="400" w:lineRule="atLeast"/>
      </w:pPr>
      <w:r>
        <w:fldChar w:fldCharType="begin"/>
      </w:r>
      <w:r>
        <w:instrText xml:space="preserve"> HYPERLINK "https://www.city.anjo.aichi.jp/kurasu/fukushikaigo/kaigo/documents/5syou.pdf" \h </w:instrText>
      </w:r>
      <w:r>
        <w:fldChar w:fldCharType="separate"/>
      </w:r>
      <w:r>
        <w:rPr>
          <w:rStyle w:val="13"/>
          <w:color w:val="0563C1"/>
        </w:rPr>
        <w:t>[8]. 第5章 介護保険事業の運営</w:t>
      </w:r>
      <w:r>
        <w:rPr>
          <w:rStyle w:val="13"/>
          <w:color w:val="0563C1"/>
        </w:rPr>
        <w:fldChar w:fldCharType="end"/>
      </w:r>
    </w:p>
    <w:p w14:paraId="75D07AFD">
      <w:pPr>
        <w:spacing w:after="200" w:line="400" w:lineRule="atLeast"/>
      </w:pPr>
      <w:r>
        <w:fldChar w:fldCharType="begin"/>
      </w:r>
      <w:r>
        <w:instrText xml:space="preserve"> HYPERLINK "https://www.city.yamaga.kumamoto.jp/kiji003626/3_626_35_yg220201.pdf" \h </w:instrText>
      </w:r>
      <w:r>
        <w:fldChar w:fldCharType="separate"/>
      </w:r>
      <w:r>
        <w:rPr>
          <w:rStyle w:val="13"/>
          <w:color w:val="0563C1"/>
        </w:rPr>
        <w:t>[9,288]. 広報やまが 2022年2月号</w:t>
      </w:r>
      <w:r>
        <w:rPr>
          <w:rStyle w:val="13"/>
          <w:color w:val="0563C1"/>
        </w:rPr>
        <w:fldChar w:fldCharType="end"/>
      </w:r>
    </w:p>
    <w:p w14:paraId="5F7FA60C">
      <w:pPr>
        <w:spacing w:after="200" w:line="400" w:lineRule="atLeast"/>
      </w:pPr>
      <w:r>
        <w:fldChar w:fldCharType="begin"/>
      </w:r>
      <w:r>
        <w:instrText xml:space="preserve"> HYPERLINK "https://www.ipss.go.jp/pp-pjsetai/j/hpjp2024/houkoku/houkoku.pdf" \h </w:instrText>
      </w:r>
      <w:r>
        <w:fldChar w:fldCharType="separate"/>
      </w:r>
      <w:r>
        <w:rPr>
          <w:rStyle w:val="13"/>
          <w:color w:val="0563C1"/>
        </w:rPr>
        <w:t>[10,88,155,156,157,158,222,223,234,235,236,282,283,325,326,329,330,341,343,344,387,388,390,496]. 日本の世帯数の将来推計(都道府県別推計)ー令和2(2020)〜32(2050)年ー Household Projections for Japan by Prefecture: 2020-2050</w:t>
      </w:r>
      <w:r>
        <w:rPr>
          <w:rStyle w:val="13"/>
          <w:color w:val="0563C1"/>
        </w:rPr>
        <w:fldChar w:fldCharType="end"/>
      </w:r>
    </w:p>
    <w:p w14:paraId="25A895F9">
      <w:pPr>
        <w:spacing w:after="200" w:line="400" w:lineRule="atLeast"/>
      </w:pPr>
      <w:r>
        <w:fldChar w:fldCharType="begin"/>
      </w:r>
      <w:r>
        <w:instrText xml:space="preserve"> HYPERLINK "https://www.city.hamamatsu.shizuoka.jp/documents/13614/r6koureishahukusinosiori_1.pdf" \h </w:instrText>
      </w:r>
      <w:r>
        <w:fldChar w:fldCharType="separate"/>
      </w:r>
      <w:r>
        <w:rPr>
          <w:rStyle w:val="13"/>
          <w:color w:val="0563C1"/>
        </w:rPr>
        <w:t>[11,239,287]. 高齢者福祉のしおり 令和6(2024)年度</w:t>
      </w:r>
      <w:r>
        <w:rPr>
          <w:rStyle w:val="13"/>
          <w:color w:val="0563C1"/>
        </w:rPr>
        <w:fldChar w:fldCharType="end"/>
      </w:r>
    </w:p>
    <w:p w14:paraId="5E09315C">
      <w:pPr>
        <w:spacing w:after="200" w:line="400" w:lineRule="atLeast"/>
      </w:pPr>
      <w:r>
        <w:fldChar w:fldCharType="begin"/>
      </w:r>
      <w:r>
        <w:instrText xml:space="preserve"> HYPERLINK "https://www.pictet.com/content/dam/www/documents/publications/pictet-research-institute/Demographics-and-technology-publication.pdf.coredownload.pdf" \h </w:instrText>
      </w:r>
      <w:r>
        <w:fldChar w:fldCharType="separate"/>
      </w:r>
      <w:r>
        <w:rPr>
          <w:rStyle w:val="13"/>
          <w:color w:val="0563C1"/>
        </w:rPr>
        <w:t>[12,28,29,31,32,34,35,39,42,43,47,48,109,112,116,122,439,440,441,455,460]. Demographics and technology</w:t>
      </w:r>
      <w:r>
        <w:rPr>
          <w:rStyle w:val="13"/>
          <w:color w:val="0563C1"/>
        </w:rPr>
        <w:fldChar w:fldCharType="end"/>
      </w:r>
    </w:p>
    <w:p w14:paraId="385535B4">
      <w:pPr>
        <w:spacing w:after="200" w:line="400" w:lineRule="atLeast"/>
      </w:pPr>
      <w:r>
        <w:fldChar w:fldCharType="begin"/>
      </w:r>
      <w:r>
        <w:instrText xml:space="preserve"> HYPERLINK "https://ticaret.gov.tr/data/684d9fcd13b876b9c40cb60a/Japonya_Hazir_Giyim_Sektoru_Pazar_Arastirmasi_Raporu.pdf" \h </w:instrText>
      </w:r>
      <w:r>
        <w:fldChar w:fldCharType="separate"/>
      </w:r>
      <w:r>
        <w:rPr>
          <w:rStyle w:val="13"/>
          <w:color w:val="0563C1"/>
        </w:rPr>
        <w:t>[13,14,45,46,114,120,121,124,174,444,445,446,466]. JAPONYA HAZIR GIYIM SEKTÖRÜ PAZAR ARAŞTIRMASI RAPORU</w:t>
      </w:r>
      <w:r>
        <w:rPr>
          <w:rStyle w:val="13"/>
          <w:color w:val="0563C1"/>
        </w:rPr>
        <w:fldChar w:fldCharType="end"/>
      </w:r>
    </w:p>
    <w:p w14:paraId="5632F865">
      <w:pPr>
        <w:spacing w:after="200" w:line="400" w:lineRule="atLeast"/>
      </w:pPr>
      <w:r>
        <w:fldChar w:fldCharType="begin"/>
      </w:r>
      <w:r>
        <w:instrText xml:space="preserve"> HYPERLINK "https://files.metaso.cn/api/public-file/preview?fileName=8682576383078051840.pdf" \h </w:instrText>
      </w:r>
      <w:r>
        <w:fldChar w:fldCharType="separate"/>
      </w:r>
      <w:r>
        <w:rPr>
          <w:rStyle w:val="13"/>
          <w:color w:val="0563C1"/>
        </w:rPr>
        <w:t>[15,20,22,24,38,53,55,97,101,108,113,117,118,131,168,170,179,188,190,192,195,198,206,208,210,211,215,226,245,254,259,264,290,300,302,333,358,360,401,448,458,468,471,495,500,501]. 消费洞察系列： "银发经济"的黄金时代</w:t>
      </w:r>
      <w:r>
        <w:rPr>
          <w:rStyle w:val="13"/>
          <w:color w:val="0563C1"/>
        </w:rPr>
        <w:fldChar w:fldCharType="end"/>
      </w:r>
    </w:p>
    <w:p w14:paraId="1A81E9CC">
      <w:pPr>
        <w:spacing w:after="200" w:line="400" w:lineRule="atLeast"/>
      </w:pPr>
      <w:r>
        <w:fldChar w:fldCharType="begin"/>
      </w:r>
      <w:r>
        <w:instrText xml:space="preserve"> HYPERLINK "https://www.iyiou.com/p/71393" \h </w:instrText>
      </w:r>
      <w:r>
        <w:fldChar w:fldCharType="separate"/>
      </w:r>
      <w:r>
        <w:rPr>
          <w:rStyle w:val="13"/>
          <w:color w:val="0563C1"/>
        </w:rPr>
        <w:t>[16,17,497]. OMTANKSAM 系列</w:t>
      </w:r>
      <w:r>
        <w:rPr>
          <w:rStyle w:val="13"/>
          <w:color w:val="0563C1"/>
        </w:rPr>
        <w:fldChar w:fldCharType="end"/>
      </w:r>
    </w:p>
    <w:p w14:paraId="532D0C09">
      <w:pPr>
        <w:spacing w:after="200" w:line="400" w:lineRule="atLeast"/>
      </w:pPr>
      <w:r>
        <w:fldChar w:fldCharType="begin"/>
      </w:r>
      <w:r>
        <w:instrText xml:space="preserve"> HYPERLINK "https://files.metaso.cn/api/public-file/preview?fileName=8682576499280330752.pdf" \h </w:instrText>
      </w:r>
      <w:r>
        <w:fldChar w:fldCharType="separate"/>
      </w:r>
      <w:r>
        <w:rPr>
          <w:rStyle w:val="13"/>
          <w:color w:val="0563C1"/>
        </w:rPr>
        <w:t>[19,25,30,44,52,252,303,453]. 展望银发经济的结构性机遇</w:t>
      </w:r>
      <w:r>
        <w:rPr>
          <w:rStyle w:val="13"/>
          <w:color w:val="0563C1"/>
        </w:rPr>
        <w:fldChar w:fldCharType="end"/>
      </w:r>
    </w:p>
    <w:p w14:paraId="1F196339">
      <w:pPr>
        <w:spacing w:after="200" w:line="400" w:lineRule="atLeast"/>
      </w:pPr>
      <w:r>
        <w:fldChar w:fldCharType="begin"/>
      </w:r>
      <w:r>
        <w:instrText xml:space="preserve"> HYPERLINK "https://files.metaso.cn/api/public-file/preview?fileName=8681687708655763456.pdf" \h </w:instrText>
      </w:r>
      <w:r>
        <w:fldChar w:fldCharType="separate"/>
      </w:r>
      <w:r>
        <w:rPr>
          <w:rStyle w:val="13"/>
          <w:color w:val="0563C1"/>
        </w:rPr>
        <w:t>[23,37,51,256,257,402,447,450,467,490,502]. 人口结构主题报告：老龄化无声而至，银发经济悄然崛起</w:t>
      </w:r>
      <w:r>
        <w:rPr>
          <w:rStyle w:val="13"/>
          <w:color w:val="0563C1"/>
        </w:rPr>
        <w:fldChar w:fldCharType="end"/>
      </w:r>
    </w:p>
    <w:p w14:paraId="221CE5E9">
      <w:pPr>
        <w:spacing w:after="200" w:line="400" w:lineRule="atLeast"/>
      </w:pPr>
      <w:r>
        <w:fldChar w:fldCharType="begin"/>
      </w:r>
      <w:r>
        <w:instrText xml:space="preserve"> HYPERLINK "https://files.metaso.cn/api/public-file/preview?fileName=8682576620727316480.pdf" \h </w:instrText>
      </w:r>
      <w:r>
        <w:fldChar w:fldCharType="separate"/>
      </w:r>
      <w:r>
        <w:rPr>
          <w:rStyle w:val="13"/>
          <w:color w:val="0563C1"/>
        </w:rPr>
        <w:t>[26,41,172,177,454]. 老龄化进程下的消费变迁和银发经济</w:t>
      </w:r>
      <w:r>
        <w:rPr>
          <w:rStyle w:val="13"/>
          <w:color w:val="0563C1"/>
        </w:rPr>
        <w:fldChar w:fldCharType="end"/>
      </w:r>
    </w:p>
    <w:p w14:paraId="2BBB43F6">
      <w:pPr>
        <w:spacing w:after="200" w:line="400" w:lineRule="atLeast"/>
      </w:pPr>
      <w:r>
        <w:fldChar w:fldCharType="begin"/>
      </w:r>
      <w:r>
        <w:instrText xml:space="preserve"> HYPERLINK "https://www.sangyo-rodo.metro.tokyo.lg.jp/toukei/chushou/genjou2023_all.pdf" \h </w:instrText>
      </w:r>
      <w:r>
        <w:fldChar w:fldCharType="separate"/>
      </w:r>
      <w:r>
        <w:rPr>
          <w:rStyle w:val="13"/>
          <w:color w:val="0563C1"/>
        </w:rPr>
        <w:t>[27]. 令和5年度 東京の中小企業の現状（流通産業編）</w:t>
      </w:r>
      <w:r>
        <w:rPr>
          <w:rStyle w:val="13"/>
          <w:color w:val="0563C1"/>
        </w:rPr>
        <w:fldChar w:fldCharType="end"/>
      </w:r>
    </w:p>
    <w:p w14:paraId="76981987">
      <w:pPr>
        <w:spacing w:after="200" w:line="400" w:lineRule="atLeast"/>
      </w:pPr>
      <w:r>
        <w:fldChar w:fldCharType="begin"/>
      </w:r>
      <w:r>
        <w:instrText xml:space="preserve"> HYPERLINK "https://sagirikitao.github.io/mywebsite/kitao_ADBI.pdf" \h </w:instrText>
      </w:r>
      <w:r>
        <w:fldChar w:fldCharType="separate"/>
      </w:r>
      <w:r>
        <w:rPr>
          <w:rStyle w:val="13"/>
          <w:color w:val="0563C1"/>
        </w:rPr>
        <w:t>[33,36,49,105,123,125,461]. Navigating Demographic Aging and Macroeconomic Growth in Asia: Lessons from Japan’s Experience</w:t>
      </w:r>
      <w:r>
        <w:rPr>
          <w:rStyle w:val="13"/>
          <w:color w:val="0563C1"/>
        </w:rPr>
        <w:fldChar w:fldCharType="end"/>
      </w:r>
    </w:p>
    <w:p w14:paraId="69A015F9">
      <w:pPr>
        <w:spacing w:after="200" w:line="400" w:lineRule="atLeast"/>
      </w:pPr>
      <w:r>
        <w:fldChar w:fldCharType="begin"/>
      </w:r>
      <w:r>
        <w:instrText xml:space="preserve"> HYPERLINK "https://files.metaso.cn/api/public-file/preview?fileName=8673491031998713856.pdf" \h </w:instrText>
      </w:r>
      <w:r>
        <w:fldChar w:fldCharType="separate"/>
      </w:r>
      <w:r>
        <w:rPr>
          <w:rStyle w:val="13"/>
          <w:color w:val="0563C1"/>
        </w:rPr>
        <w:t>[40,305]. 宏观深度报告：老龄化进程下的消费变迁和银发经济</w:t>
      </w:r>
      <w:r>
        <w:rPr>
          <w:rStyle w:val="13"/>
          <w:color w:val="0563C1"/>
        </w:rPr>
        <w:fldChar w:fldCharType="end"/>
      </w:r>
    </w:p>
    <w:p w14:paraId="3C495960">
      <w:pPr>
        <w:spacing w:after="200" w:line="400" w:lineRule="atLeast"/>
      </w:pPr>
      <w:r>
        <w:fldChar w:fldCharType="begin"/>
      </w:r>
      <w:r>
        <w:instrText xml:space="preserve"> HYPERLINK "https://www.astuteanalytica.com/industry-report/japan-quick-commerce-market" \h </w:instrText>
      </w:r>
      <w:r>
        <w:fldChar w:fldCharType="separate"/>
      </w:r>
      <w:r>
        <w:rPr>
          <w:rStyle w:val="13"/>
          <w:color w:val="0563C1"/>
        </w:rPr>
        <w:t>[50,462]. Market Scenario</w:t>
      </w:r>
      <w:r>
        <w:rPr>
          <w:rStyle w:val="13"/>
          <w:color w:val="0563C1"/>
        </w:rPr>
        <w:fldChar w:fldCharType="end"/>
      </w:r>
    </w:p>
    <w:p w14:paraId="41B6BC3E">
      <w:pPr>
        <w:spacing w:after="200" w:line="400" w:lineRule="atLeast"/>
      </w:pPr>
      <w:r>
        <w:fldChar w:fldCharType="begin"/>
      </w:r>
      <w:r>
        <w:instrText xml:space="preserve"> HYPERLINK "https://files.metaso.cn/api/public-file/preview?fileName=8691349087539195904.pdf" \h </w:instrText>
      </w:r>
      <w:r>
        <w:fldChar w:fldCharType="separate"/>
      </w:r>
      <w:r>
        <w:rPr>
          <w:rStyle w:val="13"/>
          <w:color w:val="0563C1"/>
        </w:rPr>
        <w:t>[56]. 中国消费在‘十五五’规划下的发展挑战与前景分析</w:t>
      </w:r>
      <w:r>
        <w:rPr>
          <w:rStyle w:val="13"/>
          <w:color w:val="0563C1"/>
        </w:rPr>
        <w:fldChar w:fldCharType="end"/>
      </w:r>
    </w:p>
    <w:p w14:paraId="456BB3B8">
      <w:pPr>
        <w:spacing w:after="200" w:line="400" w:lineRule="atLeast"/>
      </w:pPr>
      <w:r>
        <w:fldChar w:fldCharType="begin"/>
      </w:r>
      <w:r>
        <w:instrText xml:space="preserve"> HYPERLINK "https://www.nepjol.info/index.php/DSAJ/article/view/2781/2472" \h </w:instrText>
      </w:r>
      <w:r>
        <w:fldChar w:fldCharType="separate"/>
      </w:r>
      <w:r>
        <w:rPr>
          <w:rStyle w:val="13"/>
          <w:color w:val="0563C1"/>
        </w:rPr>
        <w:t>[57,60,63,70,476,486]. Aging and Elderly Care Practice in Japan: Main Issues, Policy and Program Perspective; What Lessons can be Learned from Japanese Experiences?</w:t>
      </w:r>
      <w:r>
        <w:rPr>
          <w:rStyle w:val="13"/>
          <w:color w:val="0563C1"/>
        </w:rPr>
        <w:fldChar w:fldCharType="end"/>
      </w:r>
    </w:p>
    <w:p w14:paraId="6155AC26">
      <w:pPr>
        <w:spacing w:after="200" w:line="400" w:lineRule="atLeast"/>
      </w:pPr>
      <w:r>
        <w:fldChar w:fldCharType="begin"/>
      </w:r>
      <w:r>
        <w:instrText xml:space="preserve"> HYPERLINK "http://www.petersheller.com/documents/publications/Japan_Aging_Article_JEOA_2016.pdf" \h </w:instrText>
      </w:r>
      <w:r>
        <w:fldChar w:fldCharType="separate"/>
      </w:r>
      <w:r>
        <w:rPr>
          <w:rStyle w:val="13"/>
          <w:color w:val="0563C1"/>
        </w:rPr>
        <w:t>[58]. The challenge of an aged and shrinking population: Lessons to be drawn from Japan's experience</w:t>
      </w:r>
      <w:r>
        <w:rPr>
          <w:rStyle w:val="13"/>
          <w:color w:val="0563C1"/>
        </w:rPr>
        <w:fldChar w:fldCharType="end"/>
      </w:r>
    </w:p>
    <w:p w14:paraId="26F97A2B">
      <w:pPr>
        <w:spacing w:after="200" w:line="400" w:lineRule="atLeast"/>
      </w:pPr>
      <w:r>
        <w:fldChar w:fldCharType="begin"/>
      </w:r>
      <w:r>
        <w:instrText xml:space="preserve"> HYPERLINK "https://pure.iiasa.ac.at/id/file/199435" \h </w:instrText>
      </w:r>
      <w:r>
        <w:fldChar w:fldCharType="separate"/>
      </w:r>
      <w:r>
        <w:rPr>
          <w:rStyle w:val="13"/>
          <w:color w:val="0563C1"/>
        </w:rPr>
        <w:t>[59]. Japan's Longevity Revolution and the Implications for Health Care Finance and Long-term Care</w:t>
      </w:r>
      <w:r>
        <w:rPr>
          <w:rStyle w:val="13"/>
          <w:color w:val="0563C1"/>
        </w:rPr>
        <w:fldChar w:fldCharType="end"/>
      </w:r>
    </w:p>
    <w:p w14:paraId="53E02AAB">
      <w:pPr>
        <w:spacing w:after="200" w:line="400" w:lineRule="atLeast"/>
      </w:pPr>
      <w:r>
        <w:fldChar w:fldCharType="begin"/>
      </w:r>
      <w:r>
        <w:instrText xml:space="preserve"> HYPERLINK "https://pidswebs.pids.gov.ph/CDN/PUBLICATIONS/pidsbk14-pjepa_vol2.pdf" \h </w:instrText>
      </w:r>
      <w:r>
        <w:fldChar w:fldCharType="separate"/>
      </w:r>
      <w:r>
        <w:rPr>
          <w:rStyle w:val="13"/>
          <w:color w:val="0563C1"/>
        </w:rPr>
        <w:t>[61,487]. PJEPA: Strengthening the Foundation for Regional Cooperation and Economic Integration</w:t>
      </w:r>
      <w:r>
        <w:rPr>
          <w:rStyle w:val="13"/>
          <w:color w:val="0563C1"/>
        </w:rPr>
        <w:fldChar w:fldCharType="end"/>
      </w:r>
    </w:p>
    <w:p w14:paraId="3CED49B4">
      <w:pPr>
        <w:spacing w:after="200" w:line="400" w:lineRule="atLeast"/>
      </w:pPr>
      <w:r>
        <w:fldChar w:fldCharType="begin"/>
      </w:r>
      <w:r>
        <w:instrText xml:space="preserve"> HYPERLINK "https://thameezacademy.com/wp-content/uploads/2025/04/7.-pestel-analysis-on-japan.pdf" \h </w:instrText>
      </w:r>
      <w:r>
        <w:fldChar w:fldCharType="separate"/>
      </w:r>
      <w:r>
        <w:rPr>
          <w:rStyle w:val="13"/>
          <w:color w:val="0563C1"/>
        </w:rPr>
        <w:t>[62,64,78,477]. PESTEL Analysis on Japan</w:t>
      </w:r>
      <w:r>
        <w:rPr>
          <w:rStyle w:val="13"/>
          <w:color w:val="0563C1"/>
        </w:rPr>
        <w:fldChar w:fldCharType="end"/>
      </w:r>
    </w:p>
    <w:p w14:paraId="3C21A5C0">
      <w:pPr>
        <w:spacing w:after="200" w:line="400" w:lineRule="atLeast"/>
      </w:pPr>
      <w:r>
        <w:fldChar w:fldCharType="begin"/>
      </w:r>
      <w:r>
        <w:instrText xml:space="preserve"> HYPERLINK "https://www.oecd.org/content/dam/oecd/en/publications/reports/2017/10/ensuring-fiscal-sustainability-in-japan-in-the-context-of-a-shrinking-and-ageing-population_4024b32f/6c1673d2-en.pdf" \h </w:instrText>
      </w:r>
      <w:r>
        <w:fldChar w:fldCharType="separate"/>
      </w:r>
      <w:r>
        <w:rPr>
          <w:rStyle w:val="13"/>
          <w:color w:val="0563C1"/>
        </w:rPr>
        <w:t>[65]. Ensuring Fiscal Sustainability in Japan in the Context of a Shrinking and Ageing Population</w:t>
      </w:r>
      <w:r>
        <w:rPr>
          <w:rStyle w:val="13"/>
          <w:color w:val="0563C1"/>
        </w:rPr>
        <w:fldChar w:fldCharType="end"/>
      </w:r>
    </w:p>
    <w:p w14:paraId="0748189B">
      <w:pPr>
        <w:spacing w:after="200" w:line="400" w:lineRule="atLeast"/>
      </w:pPr>
      <w:r>
        <w:fldChar w:fldCharType="begin"/>
      </w:r>
      <w:r>
        <w:instrText xml:space="preserve"> HYPERLINK "https://apda.jp/pdf/p02_report/2016_Malaysia_Report_en.pdf" \h </w:instrText>
      </w:r>
      <w:r>
        <w:fldChar w:fldCharType="separate"/>
      </w:r>
      <w:r>
        <w:rPr>
          <w:rStyle w:val="13"/>
          <w:color w:val="0563C1"/>
        </w:rPr>
        <w:t>[66,479]. Report on the Policy Dialogue of Asian Parliamentarians and Experts on Ageing</w:t>
      </w:r>
      <w:r>
        <w:rPr>
          <w:rStyle w:val="13"/>
          <w:color w:val="0563C1"/>
        </w:rPr>
        <w:fldChar w:fldCharType="end"/>
      </w:r>
    </w:p>
    <w:p w14:paraId="7982B5C4">
      <w:pPr>
        <w:spacing w:after="200" w:line="400" w:lineRule="atLeast"/>
      </w:pPr>
      <w:r>
        <w:fldChar w:fldCharType="begin"/>
      </w:r>
      <w:r>
        <w:instrText xml:space="preserve"> HYPERLINK "https://www.paradigmpress.org/SSSH/article/download/1025/894" \h </w:instrText>
      </w:r>
      <w:r>
        <w:fldChar w:fldCharType="separate"/>
      </w:r>
      <w:r>
        <w:rPr>
          <w:rStyle w:val="13"/>
          <w:color w:val="0563C1"/>
        </w:rPr>
        <w:t>[67,69,318]. Impact of Japan’s Aging Population on Healthcare Costs and the Long-Term Care Insurance System</w:t>
      </w:r>
      <w:r>
        <w:rPr>
          <w:rStyle w:val="13"/>
          <w:color w:val="0563C1"/>
        </w:rPr>
        <w:fldChar w:fldCharType="end"/>
      </w:r>
    </w:p>
    <w:p w14:paraId="369E6E66">
      <w:pPr>
        <w:spacing w:after="200" w:line="400" w:lineRule="atLeast"/>
      </w:pPr>
      <w:r>
        <w:fldChar w:fldCharType="begin"/>
      </w:r>
      <w:r>
        <w:instrText xml:space="preserve"> HYPERLINK "https://files.metaso.cn/api/public-file/preview?fileName=8682576630082318336.pdf" \h </w:instrText>
      </w:r>
      <w:r>
        <w:fldChar w:fldCharType="separate"/>
      </w:r>
      <w:r>
        <w:rPr>
          <w:rStyle w:val="13"/>
          <w:color w:val="0563C1"/>
        </w:rPr>
        <w:t>[68,77,197,205,427,465]. The Economic Benefit of Promoting Healthy Ageing and Community Care</w:t>
      </w:r>
      <w:r>
        <w:rPr>
          <w:rStyle w:val="13"/>
          <w:color w:val="0563C1"/>
        </w:rPr>
        <w:fldChar w:fldCharType="end"/>
      </w:r>
    </w:p>
    <w:p w14:paraId="5837BAB9">
      <w:pPr>
        <w:spacing w:after="200" w:line="400" w:lineRule="atLeast"/>
      </w:pPr>
      <w:r>
        <w:fldChar w:fldCharType="begin"/>
      </w:r>
      <w:r>
        <w:instrText xml:space="preserve"> HYPERLINK "https://www.grdspublishing.org/index.php/people/article/download/2799/2589/4856" \h </w:instrText>
      </w:r>
      <w:r>
        <w:fldChar w:fldCharType="separate"/>
      </w:r>
      <w:r>
        <w:rPr>
          <w:rStyle w:val="13"/>
          <w:color w:val="0563C1"/>
        </w:rPr>
        <w:t>[71,74]. JAPAN'S AGING SOCIETY: POLICY, LESSON AND THE SILVER ECONOMY</w:t>
      </w:r>
      <w:r>
        <w:rPr>
          <w:rStyle w:val="13"/>
          <w:color w:val="0563C1"/>
        </w:rPr>
        <w:fldChar w:fldCharType="end"/>
      </w:r>
    </w:p>
    <w:p w14:paraId="44FF638B">
      <w:pPr>
        <w:spacing w:after="200" w:line="400" w:lineRule="atLeast"/>
      </w:pPr>
      <w:r>
        <w:fldChar w:fldCharType="begin"/>
      </w:r>
      <w:r>
        <w:instrText xml:space="preserve"> HYPERLINK "https://englishkyoto-seas.org/wp-content/uploads/SEAS1101_Ong.pdf" \h </w:instrText>
      </w:r>
      <w:r>
        <w:fldChar w:fldCharType="separate"/>
      </w:r>
      <w:r>
        <w:rPr>
          <w:rStyle w:val="13"/>
          <w:color w:val="0563C1"/>
        </w:rPr>
        <w:t>[72,75,80]. Filipina Migrants and the Embodiment of Successful Aging in Japan: Individual Quests for Wealth, Health, and Meaningful Interdependence</w:t>
      </w:r>
      <w:r>
        <w:rPr>
          <w:rStyle w:val="13"/>
          <w:color w:val="0563C1"/>
        </w:rPr>
        <w:fldChar w:fldCharType="end"/>
      </w:r>
    </w:p>
    <w:p w14:paraId="578A3E13">
      <w:pPr>
        <w:spacing w:after="200" w:line="400" w:lineRule="atLeast"/>
      </w:pPr>
      <w:r>
        <w:fldChar w:fldCharType="begin"/>
      </w:r>
      <w:r>
        <w:instrText xml:space="preserve"> HYPERLINK "https://finance.sina.com.cn/stock/stockzmt/2024-09-01/doc-incmskca4772835.shtml" \h </w:instrText>
      </w:r>
      <w:r>
        <w:fldChar w:fldCharType="separate"/>
      </w:r>
      <w:r>
        <w:rPr>
          <w:rStyle w:val="13"/>
          <w:color w:val="0563C1"/>
        </w:rPr>
        <w:t>[73,76,81,480]. 消费心理与行为变迁是捕捉商业机会的重要视角</w:t>
      </w:r>
      <w:r>
        <w:rPr>
          <w:rStyle w:val="13"/>
          <w:color w:val="0563C1"/>
        </w:rPr>
        <w:fldChar w:fldCharType="end"/>
      </w:r>
    </w:p>
    <w:p w14:paraId="4054D087">
      <w:pPr>
        <w:spacing w:after="200" w:line="400" w:lineRule="atLeast"/>
      </w:pPr>
      <w:r>
        <w:fldChar w:fldCharType="begin"/>
      </w:r>
      <w:r>
        <w:instrText xml:space="preserve"> HYPERLINK "https://www.eria.org/uploads/media/Research-Project-Report/RPR-2009-9.pdf" \h </w:instrText>
      </w:r>
      <w:r>
        <w:fldChar w:fldCharType="separate"/>
      </w:r>
      <w:r>
        <w:rPr>
          <w:rStyle w:val="13"/>
          <w:color w:val="0563C1"/>
        </w:rPr>
        <w:t>[79]. SOCIAL PROTECTION IN EAST ASIA - CURRENT STATE AND CHALLENGES</w:t>
      </w:r>
      <w:r>
        <w:rPr>
          <w:rStyle w:val="13"/>
          <w:color w:val="0563C1"/>
        </w:rPr>
        <w:fldChar w:fldCharType="end"/>
      </w:r>
    </w:p>
    <w:p w14:paraId="092BFE02">
      <w:pPr>
        <w:spacing w:after="200" w:line="400" w:lineRule="atLeast"/>
      </w:pPr>
      <w:r>
        <w:fldChar w:fldCharType="begin"/>
      </w:r>
      <w:r>
        <w:instrText xml:space="preserve"> HYPERLINK "https://www.suntory.co.jp/sfnd/jgc/forum/005/pdf/005_tsuya.pdf" \h </w:instrText>
      </w:r>
      <w:r>
        <w:fldChar w:fldCharType="separate"/>
      </w:r>
      <w:r>
        <w:rPr>
          <w:rStyle w:val="13"/>
          <w:color w:val="0563C1"/>
        </w:rPr>
        <w:t>[82,430]. The Impacts of Population Decline in Japan: Demographic Prospects and Policy Implications</w:t>
      </w:r>
      <w:r>
        <w:rPr>
          <w:rStyle w:val="13"/>
          <w:color w:val="0563C1"/>
        </w:rPr>
        <w:fldChar w:fldCharType="end"/>
      </w:r>
    </w:p>
    <w:p w14:paraId="5205FB66">
      <w:pPr>
        <w:spacing w:after="200" w:line="400" w:lineRule="atLeast"/>
      </w:pPr>
      <w:r>
        <w:fldChar w:fldCharType="begin"/>
      </w:r>
      <w:r>
        <w:instrText xml:space="preserve"> HYPERLINK "https://amro-asia.org/wp-content/uploads/2025/04/COMPILATION-Fiscal-Management-of-SP-2-April-2025.pdf" \h </w:instrText>
      </w:r>
      <w:r>
        <w:fldChar w:fldCharType="separate"/>
      </w:r>
      <w:r>
        <w:rPr>
          <w:rStyle w:val="13"/>
          <w:color w:val="0563C1"/>
        </w:rPr>
        <w:t>[83]. FISCAL MANAGEMENT OF SOCIAL PROTECTION SYSTEMS IN SELECTED ASEAN+3 ECONOMIES</w:t>
      </w:r>
      <w:r>
        <w:rPr>
          <w:rStyle w:val="13"/>
          <w:color w:val="0563C1"/>
        </w:rPr>
        <w:fldChar w:fldCharType="end"/>
      </w:r>
    </w:p>
    <w:p w14:paraId="2DC6BD75">
      <w:pPr>
        <w:spacing w:after="200" w:line="400" w:lineRule="atLeast"/>
      </w:pPr>
      <w:r>
        <w:fldChar w:fldCharType="begin"/>
      </w:r>
      <w:r>
        <w:instrText xml:space="preserve"> HYPERLINK "https://www.jcer.or.jp/eng/pdf/Worawan.pdf" \h </w:instrText>
      </w:r>
      <w:r>
        <w:fldChar w:fldCharType="separate"/>
      </w:r>
      <w:r>
        <w:rPr>
          <w:rStyle w:val="13"/>
          <w:color w:val="0563C1"/>
        </w:rPr>
        <w:t>[84]. Social Security Systems in Japan: Lessons Learned for Thailand</w:t>
      </w:r>
      <w:r>
        <w:rPr>
          <w:rStyle w:val="13"/>
          <w:color w:val="0563C1"/>
        </w:rPr>
        <w:fldChar w:fldCharType="end"/>
      </w:r>
    </w:p>
    <w:p w14:paraId="232308D4">
      <w:pPr>
        <w:spacing w:after="200" w:line="400" w:lineRule="atLeast"/>
      </w:pPr>
      <w:r>
        <w:fldChar w:fldCharType="begin"/>
      </w:r>
      <w:r>
        <w:instrText xml:space="preserve"> HYPERLINK "https://www.tokyoupdates.metro.tokyo.lg.jp/en/post-1582/" \h </w:instrText>
      </w:r>
      <w:r>
        <w:fldChar w:fldCharType="separate"/>
      </w:r>
      <w:r>
        <w:rPr>
          <w:rStyle w:val="13"/>
          <w:color w:val="0563C1"/>
        </w:rPr>
        <w:t>[85]. Komaji no Uchi</w:t>
      </w:r>
      <w:r>
        <w:rPr>
          <w:rStyle w:val="13"/>
          <w:color w:val="0563C1"/>
        </w:rPr>
        <w:fldChar w:fldCharType="end"/>
      </w:r>
    </w:p>
    <w:p w14:paraId="1A64B317">
      <w:pPr>
        <w:spacing w:after="200" w:line="400" w:lineRule="atLeast"/>
      </w:pPr>
      <w:r>
        <w:fldChar w:fldCharType="begin"/>
      </w:r>
      <w:r>
        <w:instrText xml:space="preserve"> HYPERLINK "https://www.ipss.go.jp/pp-shicyoson/j/shicyoson23/6houkoku/houkoku.pdf" \h </w:instrText>
      </w:r>
      <w:r>
        <w:fldChar w:fldCharType="separate"/>
      </w:r>
      <w:r>
        <w:rPr>
          <w:rStyle w:val="13"/>
          <w:color w:val="0563C1"/>
        </w:rPr>
        <w:t>[86]. 日本の地域別将来推計人口——令和 2(2020)～32(2050) 年——</w:t>
      </w:r>
      <w:r>
        <w:rPr>
          <w:rStyle w:val="13"/>
          <w:color w:val="0563C1"/>
        </w:rPr>
        <w:fldChar w:fldCharType="end"/>
      </w:r>
    </w:p>
    <w:p w14:paraId="36100C1D">
      <w:pPr>
        <w:spacing w:after="200" w:line="400" w:lineRule="atLeast"/>
      </w:pPr>
      <w:r>
        <w:fldChar w:fldCharType="begin"/>
      </w:r>
      <w:r>
        <w:instrText xml:space="preserve"> HYPERLINK "https://magicalir.net/Disclosure/-/file/1232057" \h </w:instrText>
      </w:r>
      <w:r>
        <w:fldChar w:fldCharType="separate"/>
      </w:r>
      <w:r>
        <w:rPr>
          <w:rStyle w:val="13"/>
          <w:color w:val="0563C1"/>
        </w:rPr>
        <w:t>[87]. NIHON CHOUZAI Integrated Report 2021</w:t>
      </w:r>
      <w:r>
        <w:rPr>
          <w:rStyle w:val="13"/>
          <w:color w:val="0563C1"/>
        </w:rPr>
        <w:fldChar w:fldCharType="end"/>
      </w:r>
    </w:p>
    <w:p w14:paraId="7D913B92">
      <w:pPr>
        <w:spacing w:after="200" w:line="400" w:lineRule="atLeast"/>
      </w:pPr>
      <w:r>
        <w:fldChar w:fldCharType="begin"/>
      </w:r>
      <w:r>
        <w:instrText xml:space="preserve"> HYPERLINK "https://www.murc.jp/wp-content/uploads/2025/04/houkatsu_02_2504_01.pdf" \h </w:instrText>
      </w:r>
      <w:r>
        <w:fldChar w:fldCharType="separate"/>
      </w:r>
      <w:r>
        <w:rPr>
          <w:rStyle w:val="13"/>
          <w:color w:val="0563C1"/>
        </w:rPr>
        <w:t>[89,95]. 介護予防・日常生活支援総合事業における多様なサービス・活動の充実に向けた調査研究事業報告書</w:t>
      </w:r>
      <w:r>
        <w:rPr>
          <w:rStyle w:val="13"/>
          <w:color w:val="0563C1"/>
        </w:rPr>
        <w:fldChar w:fldCharType="end"/>
      </w:r>
    </w:p>
    <w:p w14:paraId="29EFF596">
      <w:pPr>
        <w:spacing w:after="200" w:line="400" w:lineRule="atLeast"/>
      </w:pPr>
      <w:r>
        <w:fldChar w:fldCharType="begin"/>
      </w:r>
      <w:r>
        <w:instrText xml:space="preserve"> HYPERLINK "https://www.jkri.or.jp/PDF/2022/Rep185abeyama.pdf" \h </w:instrText>
      </w:r>
      <w:r>
        <w:fldChar w:fldCharType="separate"/>
      </w:r>
      <w:r>
        <w:rPr>
          <w:rStyle w:val="13"/>
          <w:color w:val="0563C1"/>
        </w:rPr>
        <w:t>[91,164,237,286,384,393,435]. 令和6年度介護保険制度の動向</w:t>
      </w:r>
      <w:r>
        <w:rPr>
          <w:rStyle w:val="13"/>
          <w:color w:val="0563C1"/>
        </w:rPr>
        <w:fldChar w:fldCharType="end"/>
      </w:r>
    </w:p>
    <w:p w14:paraId="599001A1">
      <w:pPr>
        <w:spacing w:after="200" w:line="400" w:lineRule="atLeast"/>
      </w:pPr>
      <w:r>
        <w:fldChar w:fldCharType="begin"/>
      </w:r>
      <w:r>
        <w:instrText xml:space="preserve"> HYPERLINK "https://files.metaso.cn/api/public-file/preview?fileName=8682577137549717504.pdf" \h </w:instrText>
      </w:r>
      <w:r>
        <w:fldChar w:fldCharType="separate"/>
      </w:r>
      <w:r>
        <w:rPr>
          <w:rStyle w:val="13"/>
          <w:color w:val="0563C1"/>
        </w:rPr>
        <w:t>[93]. Longevity &amp; Healthy Ageing</w:t>
      </w:r>
      <w:r>
        <w:rPr>
          <w:rStyle w:val="13"/>
          <w:color w:val="0563C1"/>
        </w:rPr>
        <w:fldChar w:fldCharType="end"/>
      </w:r>
    </w:p>
    <w:p w14:paraId="169F20D9">
      <w:pPr>
        <w:spacing w:after="200" w:line="400" w:lineRule="atLeast"/>
      </w:pPr>
      <w:r>
        <w:fldChar w:fldCharType="begin"/>
      </w:r>
      <w:r>
        <w:instrText xml:space="preserve"> HYPERLINK "https://memory.library.kr/files/original/a2cd821b152a2814623c1115db264ef9.pdf" \h </w:instrText>
      </w:r>
      <w:r>
        <w:fldChar w:fldCharType="separate"/>
      </w:r>
      <w:r>
        <w:rPr>
          <w:rStyle w:val="13"/>
          <w:color w:val="0563C1"/>
        </w:rPr>
        <w:t>[96,99,129,247]. 고령화사회와 효 가족문화 학술회의</w:t>
      </w:r>
      <w:r>
        <w:rPr>
          <w:rStyle w:val="13"/>
          <w:color w:val="0563C1"/>
        </w:rPr>
        <w:fldChar w:fldCharType="end"/>
      </w:r>
    </w:p>
    <w:p w14:paraId="07FE9B3A">
      <w:pPr>
        <w:spacing w:after="200" w:line="400" w:lineRule="atLeast"/>
      </w:pPr>
      <w:r>
        <w:fldChar w:fldCharType="begin"/>
      </w:r>
      <w:r>
        <w:instrText xml:space="preserve"> HYPERLINK "https://files.metaso.cn/api/public-file/preview?fileName=8682582882764337152.pdf" \h </w:instrText>
      </w:r>
      <w:r>
        <w:fldChar w:fldCharType="separate"/>
      </w:r>
      <w:r>
        <w:rPr>
          <w:rStyle w:val="13"/>
          <w:color w:val="0563C1"/>
        </w:rPr>
        <w:t>[98,102,115,130,171,175,176,246,249,296,332,357,359,361,452]. 数智养老产业投资研究报告</w:t>
      </w:r>
      <w:r>
        <w:rPr>
          <w:rStyle w:val="13"/>
          <w:color w:val="0563C1"/>
        </w:rPr>
        <w:fldChar w:fldCharType="end"/>
      </w:r>
    </w:p>
    <w:p w14:paraId="25793545">
      <w:pPr>
        <w:spacing w:after="200" w:line="400" w:lineRule="atLeast"/>
      </w:pPr>
      <w:r>
        <w:fldChar w:fldCharType="begin"/>
      </w:r>
      <w:r>
        <w:instrText xml:space="preserve"> HYPERLINK "https://www.univ.gakushuin.ac.jp/iss/iss_headline/docs/2024_GT01_sakogoshi.pdf" \h </w:instrText>
      </w:r>
      <w:r>
        <w:fldChar w:fldCharType="separate"/>
      </w:r>
      <w:r>
        <w:rPr>
          <w:rStyle w:val="13"/>
          <w:color w:val="0563C1"/>
        </w:rPr>
        <w:t>[100,107,110,166,169,225,250,498,499]. An Exploratory Study on Promoting New Consumptions of Elderly Consumers: How to Break Stereotypes and Threats against Elderly</w:t>
      </w:r>
      <w:r>
        <w:rPr>
          <w:rStyle w:val="13"/>
          <w:color w:val="0563C1"/>
        </w:rPr>
        <w:fldChar w:fldCharType="end"/>
      </w:r>
    </w:p>
    <w:p w14:paraId="6DB2480F">
      <w:pPr>
        <w:spacing w:after="200" w:line="400" w:lineRule="atLeast"/>
      </w:pPr>
      <w:r>
        <w:fldChar w:fldCharType="begin"/>
      </w:r>
      <w:r>
        <w:instrText xml:space="preserve"> HYPERLINK "https://www.kiet.re.kr/common/file/userDownload?atch_no=KslStsUlbzQiZsyNDanxig%3D%3D" \h </w:instrText>
      </w:r>
      <w:r>
        <w:fldChar w:fldCharType="separate"/>
      </w:r>
      <w:r>
        <w:rPr>
          <w:rStyle w:val="13"/>
          <w:color w:val="0563C1"/>
        </w:rPr>
        <w:t>[103,167]. 우리나라 고령층의 특징과 소비구조 변화</w:t>
      </w:r>
      <w:r>
        <w:rPr>
          <w:rStyle w:val="13"/>
          <w:color w:val="0563C1"/>
        </w:rPr>
        <w:fldChar w:fldCharType="end"/>
      </w:r>
    </w:p>
    <w:p w14:paraId="514AC932">
      <w:pPr>
        <w:spacing w:after="200" w:line="400" w:lineRule="atLeast"/>
      </w:pPr>
      <w:r>
        <w:fldChar w:fldCharType="begin"/>
      </w:r>
      <w:r>
        <w:instrText xml:space="preserve"> HYPERLINK "https://www.nabo.go.kr/mailing/download.jsp?fCode=33314874" \h </w:instrText>
      </w:r>
      <w:r>
        <w:fldChar w:fldCharType="separate"/>
      </w:r>
      <w:r>
        <w:rPr>
          <w:rStyle w:val="13"/>
          <w:color w:val="0563C1"/>
        </w:rPr>
        <w:t>[104]. 경제동향&amp;이슈</w:t>
      </w:r>
      <w:r>
        <w:rPr>
          <w:rStyle w:val="13"/>
          <w:color w:val="0563C1"/>
        </w:rPr>
        <w:fldChar w:fldCharType="end"/>
      </w:r>
    </w:p>
    <w:p w14:paraId="4F8FBC99">
      <w:pPr>
        <w:spacing w:after="200" w:line="400" w:lineRule="atLeast"/>
      </w:pPr>
      <w:r>
        <w:fldChar w:fldCharType="begin"/>
      </w:r>
      <w:r>
        <w:instrText xml:space="preserve"> HYPERLINK "https://files.metaso.cn/api/public-file/preview?fileName=8682938423847849984.pdf" \h </w:instrText>
      </w:r>
      <w:r>
        <w:fldChar w:fldCharType="separate"/>
      </w:r>
      <w:r>
        <w:rPr>
          <w:rStyle w:val="13"/>
          <w:color w:val="0563C1"/>
        </w:rPr>
        <w:t>[106,111]. Dependency and depopulation? Confronting the consequences of a new demographic reality</w:t>
      </w:r>
      <w:r>
        <w:rPr>
          <w:rStyle w:val="13"/>
          <w:color w:val="0563C1"/>
        </w:rPr>
        <w:fldChar w:fldCharType="end"/>
      </w:r>
    </w:p>
    <w:p w14:paraId="2BF1D8B0">
      <w:pPr>
        <w:spacing w:after="200" w:line="400" w:lineRule="atLeast"/>
      </w:pPr>
      <w:r>
        <w:fldChar w:fldCharType="begin"/>
      </w:r>
      <w:r>
        <w:instrText xml:space="preserve"> HYPERLINK "https://www.imarcgroup.com/japan-elderly-care-products-market" \h </w:instrText>
      </w:r>
      <w:r>
        <w:fldChar w:fldCharType="separate"/>
      </w:r>
      <w:r>
        <w:rPr>
          <w:rStyle w:val="13"/>
          <w:color w:val="0563C1"/>
        </w:rPr>
        <w:t>[126]. Japan Elderly Care Products Market Size</w:t>
      </w:r>
      <w:r>
        <w:rPr>
          <w:rStyle w:val="13"/>
          <w:color w:val="0563C1"/>
        </w:rPr>
        <w:fldChar w:fldCharType="end"/>
      </w:r>
    </w:p>
    <w:p w14:paraId="65B4A9DF">
      <w:pPr>
        <w:spacing w:after="200" w:line="400" w:lineRule="atLeast"/>
      </w:pPr>
      <w:r>
        <w:fldChar w:fldCharType="begin"/>
      </w:r>
      <w:r>
        <w:instrText xml:space="preserve"> HYPERLINK "https://files.metaso.cn/api/public-file/preview?fileName=8682583344480399360.pdf" \h </w:instrText>
      </w:r>
      <w:r>
        <w:fldChar w:fldCharType="separate"/>
      </w:r>
      <w:r>
        <w:rPr>
          <w:rStyle w:val="13"/>
          <w:color w:val="0563C1"/>
        </w:rPr>
        <w:t>[128,457]. 日本镜鉴：深度老龄化社会的产业发展经验</w:t>
      </w:r>
      <w:r>
        <w:rPr>
          <w:rStyle w:val="13"/>
          <w:color w:val="0563C1"/>
        </w:rPr>
        <w:fldChar w:fldCharType="end"/>
      </w:r>
    </w:p>
    <w:p w14:paraId="29D6A8FB">
      <w:pPr>
        <w:spacing w:after="200" w:line="400" w:lineRule="atLeast"/>
      </w:pPr>
      <w:r>
        <w:fldChar w:fldCharType="begin"/>
      </w:r>
      <w:r>
        <w:instrText xml:space="preserve"> HYPERLINK "https://files.metaso.cn/api/public-file/preview?fileName=8682576551032664064.pdf" \h </w:instrText>
      </w:r>
      <w:r>
        <w:fldChar w:fldCharType="separate"/>
      </w:r>
      <w:r>
        <w:rPr>
          <w:rStyle w:val="13"/>
          <w:color w:val="0563C1"/>
        </w:rPr>
        <w:t>[133,134,136,137,152,315]. 25-4 Managing an Aging Society: Learning the Right Lessons from Japan</w:t>
      </w:r>
      <w:r>
        <w:rPr>
          <w:rStyle w:val="13"/>
          <w:color w:val="0563C1"/>
        </w:rPr>
        <w:fldChar w:fldCharType="end"/>
      </w:r>
    </w:p>
    <w:p w14:paraId="00402B70">
      <w:pPr>
        <w:spacing w:after="200" w:line="400" w:lineRule="atLeast"/>
      </w:pPr>
      <w:r>
        <w:fldChar w:fldCharType="begin"/>
      </w:r>
      <w:r>
        <w:instrText xml:space="preserve"> HYPERLINK "https://files.metaso.cn/api/public-file/preview?fileName=8682583412281847808.pdf" \h </w:instrText>
      </w:r>
      <w:r>
        <w:fldChar w:fldCharType="separate"/>
      </w:r>
      <w:r>
        <w:rPr>
          <w:rStyle w:val="13"/>
          <w:color w:val="0563C1"/>
        </w:rPr>
        <w:t>[135,138,142,145,151,153,478]. 2024年拥抱人口转型：老龄化世界中的健康与财富研究报告</w:t>
      </w:r>
      <w:r>
        <w:rPr>
          <w:rStyle w:val="13"/>
          <w:color w:val="0563C1"/>
        </w:rPr>
        <w:fldChar w:fldCharType="end"/>
      </w:r>
    </w:p>
    <w:p w14:paraId="56736FDA">
      <w:pPr>
        <w:spacing w:after="200" w:line="400" w:lineRule="atLeast"/>
      </w:pPr>
      <w:r>
        <w:fldChar w:fldCharType="begin"/>
      </w:r>
      <w:r>
        <w:instrText xml:space="preserve"> HYPERLINK "https://files.metaso.cn/api/public-file/preview?fileName=8676803217350606848.pdf" \h </w:instrText>
      </w:r>
      <w:r>
        <w:fldChar w:fldCharType="separate"/>
      </w:r>
      <w:r>
        <w:rPr>
          <w:rStyle w:val="13"/>
          <w:color w:val="0563C1"/>
        </w:rPr>
        <w:t>[146,147]. 繁荣与停滞：日本经济发展和转型</w:t>
      </w:r>
      <w:r>
        <w:rPr>
          <w:rStyle w:val="13"/>
          <w:color w:val="0563C1"/>
        </w:rPr>
        <w:fldChar w:fldCharType="end"/>
      </w:r>
    </w:p>
    <w:p w14:paraId="1C9E927E">
      <w:pPr>
        <w:spacing w:after="400" w:line="400" w:lineRule="atLeast"/>
      </w:pPr>
      <w:r>
        <w:t>[[161,347]. 相談支援の基本的理解 I 相談支援の変遷とわたしたちの役割 ](http://www.rehab.go.jp/College/japanese/kenshu/2024/pdf/PG D-2_0917.pdf)</w:t>
      </w:r>
    </w:p>
    <w:p w14:paraId="42EBB41D">
      <w:pPr>
        <w:spacing w:after="200" w:line="400" w:lineRule="atLeast"/>
      </w:pPr>
      <w:r>
        <w:fldChar w:fldCharType="begin"/>
      </w:r>
      <w:r>
        <w:instrText xml:space="preserve"> HYPERLINK "https://hcm3455.co.jp/file/en-term-1614ab35cdbee200a0fc40e3046cefb79f02ed93.pdf" \h </w:instrText>
      </w:r>
      <w:r>
        <w:fldChar w:fldCharType="separate"/>
      </w:r>
      <w:r>
        <w:rPr>
          <w:rStyle w:val="13"/>
          <w:color w:val="0563C1"/>
        </w:rPr>
        <w:t>[162,338,346]. Financial Results Briefing materials</w:t>
      </w:r>
      <w:r>
        <w:rPr>
          <w:rStyle w:val="13"/>
          <w:color w:val="0563C1"/>
        </w:rPr>
        <w:fldChar w:fldCharType="end"/>
      </w:r>
    </w:p>
    <w:p w14:paraId="0451755D">
      <w:pPr>
        <w:spacing w:after="200" w:line="400" w:lineRule="atLeast"/>
      </w:pPr>
      <w:r>
        <w:fldChar w:fldCharType="begin"/>
      </w:r>
      <w:r>
        <w:instrText xml:space="preserve"> HYPERLINK "https://bottleship-marketing.com/blogs/articles/meti-japan-ec-report-2025?srsltid=AfmBOopuEE6HCPGP2XwZZ4HbHTd0sfJ6mZ3x6cKGGmdIgwir-w36Oiqw" \h </w:instrText>
      </w:r>
      <w:r>
        <w:fldChar w:fldCharType="separate"/>
      </w:r>
      <w:r>
        <w:rPr>
          <w:rStyle w:val="13"/>
          <w:color w:val="0563C1"/>
        </w:rPr>
        <w:t>[173]. A Must-Read for E-commerce Managers: 3 Key Trends Shaping Japan's EC Market in 2025</w:t>
      </w:r>
      <w:r>
        <w:rPr>
          <w:rStyle w:val="13"/>
          <w:color w:val="0563C1"/>
        </w:rPr>
        <w:fldChar w:fldCharType="end"/>
      </w:r>
    </w:p>
    <w:p w14:paraId="09420D90">
      <w:pPr>
        <w:spacing w:after="200" w:line="400" w:lineRule="atLeast"/>
      </w:pPr>
      <w:r>
        <w:fldChar w:fldCharType="begin"/>
      </w:r>
      <w:r>
        <w:instrText xml:space="preserve"> HYPERLINK "https://www.samsungpop.com/common.do?cmd=down&amp;contentType=application/pdf&amp;inlineYn=Y&amp;saveKey=research.pdf&amp;fileName=2020/2025073014271952K_02_02.pdf" \h </w:instrText>
      </w:r>
      <w:r>
        <w:fldChar w:fldCharType="separate"/>
      </w:r>
      <w:r>
        <w:rPr>
          <w:rStyle w:val="13"/>
          <w:color w:val="0563C1"/>
        </w:rPr>
        <w:t>[178]. SECTOR UPDATE 2025.7</w:t>
      </w:r>
      <w:r>
        <w:rPr>
          <w:rStyle w:val="13"/>
          <w:color w:val="0563C1"/>
        </w:rPr>
        <w:fldChar w:fldCharType="end"/>
      </w:r>
    </w:p>
    <w:p w14:paraId="533266D5">
      <w:pPr>
        <w:spacing w:after="200" w:line="400" w:lineRule="atLeast"/>
      </w:pPr>
      <w:r>
        <w:fldChar w:fldCharType="begin"/>
      </w:r>
      <w:r>
        <w:instrText xml:space="preserve"> HYPERLINK "https://www.theseus.fi/bitstream/handle/10024/333508/Meristo_Laitinen.pdf?sequence=1" \h </w:instrText>
      </w:r>
      <w:r>
        <w:fldChar w:fldCharType="separate"/>
      </w:r>
      <w:r>
        <w:rPr>
          <w:rStyle w:val="13"/>
          <w:color w:val="0563C1"/>
        </w:rPr>
        <w:t>[180,183,196,216,328,492]. Digital innovations for elderly people – sustainable solutions for the future</w:t>
      </w:r>
      <w:r>
        <w:rPr>
          <w:rStyle w:val="13"/>
          <w:color w:val="0563C1"/>
        </w:rPr>
        <w:fldChar w:fldCharType="end"/>
      </w:r>
    </w:p>
    <w:p w14:paraId="07DA1931">
      <w:pPr>
        <w:spacing w:after="200" w:line="400" w:lineRule="atLeast"/>
      </w:pPr>
      <w:r>
        <w:fldChar w:fldCharType="begin"/>
      </w:r>
      <w:r>
        <w:instrText xml:space="preserve"> HYPERLINK "https://finance.sina.cn/zl/2021-11-12/zl-iktzqtyu6947422.d.html?vt=4&amp;wm=3049_b111&amp;cid=79615&amp;node_id=79615" \h </w:instrText>
      </w:r>
      <w:r>
        <w:fldChar w:fldCharType="separate"/>
      </w:r>
      <w:r>
        <w:rPr>
          <w:rStyle w:val="13"/>
          <w:color w:val="0563C1"/>
        </w:rPr>
        <w:t>[181,186,189,191,212]. 长寿时代的日本</w:t>
      </w:r>
      <w:r>
        <w:rPr>
          <w:rStyle w:val="13"/>
          <w:color w:val="0563C1"/>
        </w:rPr>
        <w:fldChar w:fldCharType="end"/>
      </w:r>
    </w:p>
    <w:p w14:paraId="6925272E">
      <w:pPr>
        <w:spacing w:after="200" w:line="400" w:lineRule="atLeast"/>
      </w:pPr>
      <w:r>
        <w:fldChar w:fldCharType="begin"/>
      </w:r>
      <w:r>
        <w:instrText xml:space="preserve"> HYPERLINK "https://www.ucc.ie/en/media/academic/law/vnuconference2020/35.NPNhung_DIGITALTECHNOLOGYANDTHERIGHTSOFTHEELDERLY.doc" \h </w:instrText>
      </w:r>
      <w:r>
        <w:fldChar w:fldCharType="separate"/>
      </w:r>
      <w:r>
        <w:rPr>
          <w:rStyle w:val="13"/>
          <w:color w:val="0563C1"/>
        </w:rPr>
        <w:t>[182,184,201,217]. DIGITAL TECHNOLOGY AND THE RIGHTS OF THE ELDERLY: CASE STUDY IN VIETNAM</w:t>
      </w:r>
      <w:r>
        <w:rPr>
          <w:rStyle w:val="13"/>
          <w:color w:val="0563C1"/>
        </w:rPr>
        <w:fldChar w:fldCharType="end"/>
      </w:r>
    </w:p>
    <w:p w14:paraId="11540783">
      <w:pPr>
        <w:spacing w:after="200" w:line="400" w:lineRule="atLeast"/>
      </w:pPr>
      <w:r>
        <w:fldChar w:fldCharType="begin"/>
      </w:r>
      <w:r>
        <w:instrText xml:space="preserve"> HYPERLINK "https://journal.gerontechnology.org/archives/340-342-1-PB.pdf" \h </w:instrText>
      </w:r>
      <w:r>
        <w:fldChar w:fldCharType="separate"/>
      </w:r>
      <w:r>
        <w:rPr>
          <w:rStyle w:val="13"/>
          <w:color w:val="0563C1"/>
        </w:rPr>
        <w:t>[185,202,204,218]. Computer attitudes, cognitive abilities, and technology usage among older Japanese adults</w:t>
      </w:r>
      <w:r>
        <w:rPr>
          <w:rStyle w:val="13"/>
          <w:color w:val="0563C1"/>
        </w:rPr>
        <w:fldChar w:fldCharType="end"/>
      </w:r>
    </w:p>
    <w:p w14:paraId="2304CD91">
      <w:pPr>
        <w:spacing w:after="200" w:line="400" w:lineRule="atLeast"/>
      </w:pPr>
      <w:r>
        <w:fldChar w:fldCharType="begin"/>
      </w:r>
      <w:r>
        <w:instrText xml:space="preserve"> HYPERLINK "https://files.metaso.cn/api/public-file/preview?fileName=8682576383054327808.pdf" \h </w:instrText>
      </w:r>
      <w:r>
        <w:fldChar w:fldCharType="separate"/>
      </w:r>
      <w:r>
        <w:rPr>
          <w:rStyle w:val="13"/>
          <w:color w:val="0563C1"/>
        </w:rPr>
        <w:t>[187,214,219]. 2025银发经济生态：中国与全球实践白皮书（PPT版）</w:t>
      </w:r>
      <w:r>
        <w:rPr>
          <w:rStyle w:val="13"/>
          <w:color w:val="0563C1"/>
        </w:rPr>
        <w:fldChar w:fldCharType="end"/>
      </w:r>
    </w:p>
    <w:p w14:paraId="198852B5">
      <w:pPr>
        <w:spacing w:after="400" w:line="400" w:lineRule="atLeast"/>
      </w:pPr>
      <w:r>
        <w:t>[[193]. Ageing in an Unequal World: Shaping Environments for the 21st Century ](https://www.britishgerontology.org/content/30809/Live/Download PDF File.pdf)</w:t>
      </w:r>
    </w:p>
    <w:p w14:paraId="7B8B037F">
      <w:pPr>
        <w:spacing w:after="200" w:line="400" w:lineRule="atLeast"/>
      </w:pPr>
      <w:r>
        <w:fldChar w:fldCharType="begin"/>
      </w:r>
      <w:r>
        <w:instrText xml:space="preserve"> HYPERLINK "https://stylus.com/technology/smart-assistive-tech-facilitates-senior-care" \h </w:instrText>
      </w:r>
      <w:r>
        <w:fldChar w:fldCharType="separate"/>
      </w:r>
      <w:r>
        <w:rPr>
          <w:rStyle w:val="13"/>
          <w:color w:val="0563C1"/>
        </w:rPr>
        <w:t>[194,220]. Smart Assistive Tech Facilitates Senior Care</w:t>
      </w:r>
      <w:r>
        <w:rPr>
          <w:rStyle w:val="13"/>
          <w:color w:val="0563C1"/>
        </w:rPr>
        <w:fldChar w:fldCharType="end"/>
      </w:r>
    </w:p>
    <w:p w14:paraId="0AEDA7B4">
      <w:pPr>
        <w:spacing w:after="200" w:line="400" w:lineRule="atLeast"/>
      </w:pPr>
      <w:r>
        <w:fldChar w:fldCharType="begin"/>
      </w:r>
      <w:r>
        <w:instrText xml:space="preserve"> HYPERLINK "https://files.metaso.cn/api/public-file/preview?fileName=8693574608229269504.pdf" \h </w:instrText>
      </w:r>
      <w:r>
        <w:fldChar w:fldCharType="separate"/>
      </w:r>
      <w:r>
        <w:rPr>
          <w:rStyle w:val="13"/>
          <w:color w:val="0563C1"/>
        </w:rPr>
        <w:t>[199,207,209,213,472]. 养老事业和养老产业协同发展：日本经验借鉴</w:t>
      </w:r>
      <w:r>
        <w:rPr>
          <w:rStyle w:val="13"/>
          <w:color w:val="0563C1"/>
        </w:rPr>
        <w:fldChar w:fldCharType="end"/>
      </w:r>
    </w:p>
    <w:p w14:paraId="12E34918">
      <w:pPr>
        <w:spacing w:after="200" w:line="400" w:lineRule="atLeast"/>
      </w:pPr>
      <w:r>
        <w:fldChar w:fldCharType="begin"/>
      </w:r>
      <w:r>
        <w:instrText xml:space="preserve"> HYPERLINK "https://warin.ca/japan/Japan-in-Transition.pdf" \h </w:instrText>
      </w:r>
      <w:r>
        <w:fldChar w:fldCharType="separate"/>
      </w:r>
      <w:r>
        <w:rPr>
          <w:rStyle w:val="13"/>
          <w:color w:val="0563C1"/>
        </w:rPr>
        <w:t>[200,420,470]. Japan in Transition: Institutions, Culture, and Transformation from Tokugawa to the Twenty-First Century</w:t>
      </w:r>
      <w:r>
        <w:rPr>
          <w:rStyle w:val="13"/>
          <w:color w:val="0563C1"/>
        </w:rPr>
        <w:fldChar w:fldCharType="end"/>
      </w:r>
    </w:p>
    <w:p w14:paraId="78184B3A">
      <w:pPr>
        <w:spacing w:after="200" w:line="400" w:lineRule="atLeast"/>
      </w:pPr>
      <w:r>
        <w:fldChar w:fldCharType="begin"/>
      </w:r>
      <w:r>
        <w:instrText xml:space="preserve"> HYPERLINK "https://files.metaso.cn/api/public-file/preview?fileName=8684215783650594816.pdf" \h </w:instrText>
      </w:r>
      <w:r>
        <w:fldChar w:fldCharType="separate"/>
      </w:r>
      <w:r>
        <w:rPr>
          <w:rStyle w:val="13"/>
          <w:color w:val="0563C1"/>
        </w:rPr>
        <w:t>[203,474]. 长寿时代——从长寿、健康、财富的角度透视人类未来</w:t>
      </w:r>
      <w:r>
        <w:rPr>
          <w:rStyle w:val="13"/>
          <w:color w:val="0563C1"/>
        </w:rPr>
        <w:fldChar w:fldCharType="end"/>
      </w:r>
    </w:p>
    <w:p w14:paraId="3B7B4203">
      <w:pPr>
        <w:spacing w:after="200" w:line="400" w:lineRule="atLeast"/>
      </w:pPr>
      <w:r>
        <w:fldChar w:fldCharType="begin"/>
      </w:r>
      <w:r>
        <w:instrText xml:space="preserve"> HYPERLINK "https://epc2012.eaps.nl/papers/120266" \h </w:instrText>
      </w:r>
      <w:r>
        <w:fldChar w:fldCharType="separate"/>
      </w:r>
      <w:r>
        <w:rPr>
          <w:rStyle w:val="13"/>
          <w:color w:val="0563C1"/>
        </w:rPr>
        <w:t>[221]. Drivers, Barriers and long-term Requirements of assistive Technologies supporting older Persons in living longer independently at Home: A systematic Review of European, US-American and Japanese Policy Papers and Assessment Studies</w:t>
      </w:r>
      <w:r>
        <w:rPr>
          <w:rStyle w:val="13"/>
          <w:color w:val="0563C1"/>
        </w:rPr>
        <w:fldChar w:fldCharType="end"/>
      </w:r>
    </w:p>
    <w:p w14:paraId="5855BC63">
      <w:pPr>
        <w:spacing w:after="200" w:line="400" w:lineRule="atLeast"/>
      </w:pPr>
      <w:r>
        <w:fldChar w:fldCharType="begin"/>
      </w:r>
      <w:r>
        <w:instrText xml:space="preserve"> HYPERLINK "https://www.ipss.go.jp/pp-zenkoku/e/zenkoku_e2023/pp2023e_Summary.pdf" \h </w:instrText>
      </w:r>
      <w:r>
        <w:fldChar w:fldCharType="separate"/>
      </w:r>
      <w:r>
        <w:rPr>
          <w:rStyle w:val="13"/>
          <w:color w:val="0563C1"/>
        </w:rPr>
        <w:t>[227,228,231,232,233]. Population Projections for Japan (2023 revision): 2021 to 2070 Appendix: Auxiliary Projections 2071 to 2120</w:t>
      </w:r>
      <w:r>
        <w:rPr>
          <w:rStyle w:val="13"/>
          <w:color w:val="0563C1"/>
        </w:rPr>
        <w:fldChar w:fldCharType="end"/>
      </w:r>
    </w:p>
    <w:p w14:paraId="4BF924A9">
      <w:pPr>
        <w:spacing w:after="200" w:line="400" w:lineRule="atLeast"/>
      </w:pPr>
      <w:r>
        <w:fldChar w:fldCharType="begin"/>
      </w:r>
      <w:r>
        <w:instrText xml:space="preserve"> HYPERLINK "https://www.stat.go.jp/english/data/nenkan/72nenkan/zenbun/en72/book/pageindices/index66.html" \h </w:instrText>
      </w:r>
      <w:r>
        <w:fldChar w:fldCharType="separate"/>
      </w:r>
      <w:r>
        <w:rPr>
          <w:rStyle w:val="13"/>
          <w:color w:val="0563C1"/>
        </w:rPr>
        <w:t>[229]. Japan Statistical Yearbook 2023 66/796</w:t>
      </w:r>
      <w:r>
        <w:rPr>
          <w:rStyle w:val="13"/>
          <w:color w:val="0563C1"/>
        </w:rPr>
        <w:fldChar w:fldCharType="end"/>
      </w:r>
    </w:p>
    <w:p w14:paraId="5CECF896">
      <w:pPr>
        <w:spacing w:after="200" w:line="400" w:lineRule="atLeast"/>
      </w:pPr>
      <w:r>
        <w:fldChar w:fldCharType="begin"/>
      </w:r>
      <w:r>
        <w:instrText xml:space="preserve"> HYPERLINK "https://www.ipss.go.jp/pp-zenkoku/e/zenkoku_e2017/pp_zenkoku2017e_gaiyou.html#%3A~%3Atext%3DBy%202036%2C%2033.3%25%20of%20the%2Cand%20Figure%201-2%29." \h </w:instrText>
      </w:r>
      <w:r>
        <w:fldChar w:fldCharType="separate"/>
      </w:r>
      <w:r>
        <w:rPr>
          <w:rStyle w:val="13"/>
          <w:color w:val="0563C1"/>
        </w:rPr>
        <w:t>[230,244]. Population Projections for Japan</w:t>
      </w:r>
      <w:r>
        <w:rPr>
          <w:rStyle w:val="13"/>
          <w:color w:val="0563C1"/>
        </w:rPr>
        <w:fldChar w:fldCharType="end"/>
      </w:r>
    </w:p>
    <w:p w14:paraId="31990503">
      <w:pPr>
        <w:spacing w:after="200" w:line="400" w:lineRule="atLeast"/>
      </w:pPr>
      <w:r>
        <w:fldChar w:fldCharType="begin"/>
      </w:r>
      <w:r>
        <w:instrText xml:space="preserve"> HYPERLINK "https://www.population-trends-asiapacific.org/data/JPN?op=print" \h </w:instrText>
      </w:r>
      <w:r>
        <w:fldChar w:fldCharType="separate"/>
      </w:r>
      <w:r>
        <w:rPr>
          <w:rStyle w:val="13"/>
          <w:color w:val="0563C1"/>
        </w:rPr>
        <w:t>[240]. Japan</w:t>
      </w:r>
      <w:r>
        <w:rPr>
          <w:rStyle w:val="13"/>
          <w:color w:val="0563C1"/>
        </w:rPr>
        <w:fldChar w:fldCharType="end"/>
      </w:r>
    </w:p>
    <w:p w14:paraId="2415A937">
      <w:pPr>
        <w:spacing w:after="200" w:line="400" w:lineRule="atLeast"/>
      </w:pPr>
      <w:r>
        <w:fldChar w:fldCharType="begin"/>
      </w:r>
      <w:r>
        <w:instrText xml:space="preserve"> HYPERLINK "https://fred.stlouisfed.org/data/SPPOP65UPTOZSJPN" \h </w:instrText>
      </w:r>
      <w:r>
        <w:fldChar w:fldCharType="separate"/>
      </w:r>
      <w:r>
        <w:rPr>
          <w:rStyle w:val="13"/>
          <w:color w:val="0563C1"/>
        </w:rPr>
        <w:t>[241]. Population ages 65 and above for Japan</w:t>
      </w:r>
      <w:r>
        <w:rPr>
          <w:rStyle w:val="13"/>
          <w:color w:val="0563C1"/>
        </w:rPr>
        <w:fldChar w:fldCharType="end"/>
      </w:r>
    </w:p>
    <w:p w14:paraId="2AD8D694">
      <w:pPr>
        <w:spacing w:after="200" w:line="400" w:lineRule="atLeast"/>
      </w:pPr>
      <w:r>
        <w:fldChar w:fldCharType="begin"/>
      </w:r>
      <w:r>
        <w:instrText xml:space="preserve"> HYPERLINK "https://www.statista.com/statistics/612575/japan-population-age-group/" \h </w:instrText>
      </w:r>
      <w:r>
        <w:fldChar w:fldCharType="separate"/>
      </w:r>
      <w:r>
        <w:rPr>
          <w:rStyle w:val="13"/>
          <w:color w:val="0563C1"/>
        </w:rPr>
        <w:t>[242]. Population of Japan from 2000 to 2020 with a forecast until 2030, by age group (in millions)</w:t>
      </w:r>
      <w:r>
        <w:rPr>
          <w:rStyle w:val="13"/>
          <w:color w:val="0563C1"/>
        </w:rPr>
        <w:fldChar w:fldCharType="end"/>
      </w:r>
    </w:p>
    <w:p w14:paraId="1DDEBACB">
      <w:pPr>
        <w:spacing w:after="200" w:line="400" w:lineRule="atLeast"/>
      </w:pPr>
      <w:r>
        <w:fldChar w:fldCharType="begin"/>
      </w:r>
      <w:r>
        <w:instrText xml:space="preserve"> HYPERLINK "https://www.e-solar.co.jp/en/column/post1230" \h </w:instrText>
      </w:r>
      <w:r>
        <w:fldChar w:fldCharType="separate"/>
      </w:r>
      <w:r>
        <w:rPr>
          <w:rStyle w:val="13"/>
          <w:color w:val="0563C1"/>
        </w:rPr>
        <w:t>[243]. Population Prospects by Region in Japan and the World</w:t>
      </w:r>
      <w:r>
        <w:rPr>
          <w:rStyle w:val="13"/>
          <w:color w:val="0563C1"/>
        </w:rPr>
        <w:fldChar w:fldCharType="end"/>
      </w:r>
    </w:p>
    <w:p w14:paraId="7C8BB6FC">
      <w:pPr>
        <w:spacing w:after="200" w:line="400" w:lineRule="atLeast"/>
      </w:pPr>
      <w:r>
        <w:fldChar w:fldCharType="begin"/>
      </w:r>
      <w:r>
        <w:instrText xml:space="preserve"> HYPERLINK "https://www.adic.or.kr/lit/paper/download.xhr?objectType=LP&amp;objectUkey=1087&amp;fileName=1087.pdf" \h </w:instrText>
      </w:r>
      <w:r>
        <w:fldChar w:fldCharType="separate"/>
      </w:r>
      <w:r>
        <w:rPr>
          <w:rStyle w:val="13"/>
          <w:color w:val="0563C1"/>
        </w:rPr>
        <w:t>[248]. 실버패션 마케팅 전략에 관한 연구</w:t>
      </w:r>
      <w:r>
        <w:rPr>
          <w:rStyle w:val="13"/>
          <w:color w:val="0563C1"/>
        </w:rPr>
        <w:fldChar w:fldCharType="end"/>
      </w:r>
    </w:p>
    <w:p w14:paraId="5B73E1D6">
      <w:pPr>
        <w:spacing w:after="200" w:line="400" w:lineRule="atLeast"/>
      </w:pPr>
      <w:r>
        <w:fldChar w:fldCharType="begin"/>
      </w:r>
      <w:r>
        <w:instrText xml:space="preserve"> HYPERLINK "https://www.verifiedmarketresearch.com/product/elderly-clothing-market/" \h </w:instrText>
      </w:r>
      <w:r>
        <w:fldChar w:fldCharType="separate"/>
      </w:r>
      <w:r>
        <w:rPr>
          <w:rStyle w:val="13"/>
          <w:color w:val="0563C1"/>
        </w:rPr>
        <w:t>[251]. Elderly Clothing Market Size And Forecast</w:t>
      </w:r>
      <w:r>
        <w:rPr>
          <w:rStyle w:val="13"/>
          <w:color w:val="0563C1"/>
        </w:rPr>
        <w:fldChar w:fldCharType="end"/>
      </w:r>
    </w:p>
    <w:p w14:paraId="682F8C0C">
      <w:pPr>
        <w:spacing w:after="200" w:line="400" w:lineRule="atLeast"/>
      </w:pPr>
      <w:r>
        <w:fldChar w:fldCharType="begin"/>
      </w:r>
      <w:r>
        <w:instrText xml:space="preserve"> HYPERLINK "https://pms.nrc.re.kr:8081/EgovFileDown.do?fileSeq=CFL0000052171" \h </w:instrText>
      </w:r>
      <w:r>
        <w:fldChar w:fldCharType="separate"/>
      </w:r>
      <w:r>
        <w:rPr>
          <w:rStyle w:val="13"/>
          <w:color w:val="0563C1"/>
        </w:rPr>
        <w:t>[253]. 우리나라 각 세대의 특징 및 소비구조 분석 - 포스트베이비부머를 중심으로 -</w:t>
      </w:r>
      <w:r>
        <w:rPr>
          <w:rStyle w:val="13"/>
          <w:color w:val="0563C1"/>
        </w:rPr>
        <w:fldChar w:fldCharType="end"/>
      </w:r>
    </w:p>
    <w:p w14:paraId="597B35FD">
      <w:pPr>
        <w:spacing w:after="200" w:line="400" w:lineRule="atLeast"/>
      </w:pPr>
      <w:r>
        <w:fldChar w:fldCharType="begin"/>
      </w:r>
      <w:r>
        <w:instrText xml:space="preserve"> HYPERLINK "https://files.metaso.cn/api/public-file/preview?fileName=8692127986458652672.pdf" \h </w:instrText>
      </w:r>
      <w:r>
        <w:fldChar w:fldCharType="separate"/>
      </w:r>
      <w:r>
        <w:rPr>
          <w:rStyle w:val="13"/>
          <w:color w:val="0563C1"/>
        </w:rPr>
        <w:t>[258,491]. 2025年奢侈品零售趋势与店长发展白皮书</w:t>
      </w:r>
      <w:r>
        <w:rPr>
          <w:rStyle w:val="13"/>
          <w:color w:val="0563C1"/>
        </w:rPr>
        <w:fldChar w:fldCharType="end"/>
      </w:r>
    </w:p>
    <w:p w14:paraId="13EFE165">
      <w:pPr>
        <w:spacing w:after="200" w:line="400" w:lineRule="atLeast"/>
      </w:pPr>
      <w:r>
        <w:fldChar w:fldCharType="begin"/>
      </w:r>
      <w:r>
        <w:instrText xml:space="preserve"> HYPERLINK "https://www.cgl.org.cn/auto/db/detail.aspx?db=950008&amp;rid=1308976&amp;agfi=0&amp;cls=0&amp;uni=False&amp;cid=0&amp;showgp=False&amp;prec=False&amp;md=93&amp;pd=6&amp;msd=93&amp;psd=6&amp;mdd=93&amp;pdd=6&amp;count=10&amp;reds=%E7%BB%9F%E8%B4%A6%E7%BB%93%E5%90%88" \h </w:instrText>
      </w:r>
      <w:r>
        <w:fldChar w:fldCharType="separate"/>
      </w:r>
      <w:r>
        <w:rPr>
          <w:rStyle w:val="13"/>
          <w:color w:val="0563C1"/>
        </w:rPr>
        <w:t>[271,276]. 日本公共养老金制度的经济效应与改革路径分析</w:t>
      </w:r>
      <w:r>
        <w:rPr>
          <w:rStyle w:val="13"/>
          <w:color w:val="0563C1"/>
        </w:rPr>
        <w:fldChar w:fldCharType="end"/>
      </w:r>
    </w:p>
    <w:p w14:paraId="241126A1">
      <w:pPr>
        <w:spacing w:after="200" w:line="400" w:lineRule="atLeast"/>
      </w:pPr>
      <w:r>
        <w:fldChar w:fldCharType="begin"/>
      </w:r>
      <w:r>
        <w:instrText xml:space="preserve"> HYPERLINK "https://files.metaso.cn/api/public-file/preview?fileName=8682576550860697600.pdf" \h </w:instrText>
      </w:r>
      <w:r>
        <w:fldChar w:fldCharType="separate"/>
      </w:r>
      <w:r>
        <w:rPr>
          <w:rStyle w:val="13"/>
          <w:color w:val="0563C1"/>
        </w:rPr>
        <w:t>[274]. 25-4 Managing an Aging Society: Learning the Right Lessons from Japan</w:t>
      </w:r>
      <w:r>
        <w:rPr>
          <w:rStyle w:val="13"/>
          <w:color w:val="0563C1"/>
        </w:rPr>
        <w:fldChar w:fldCharType="end"/>
      </w:r>
    </w:p>
    <w:p w14:paraId="5D7F9D85">
      <w:pPr>
        <w:spacing w:after="200" w:line="400" w:lineRule="atLeast"/>
      </w:pPr>
      <w:r>
        <w:fldChar w:fldCharType="begin"/>
      </w:r>
      <w:r>
        <w:instrText xml:space="preserve"> HYPERLINK "https://www.ipss.go.jp/pr-ad/e/eng/04.html" \h </w:instrText>
      </w:r>
      <w:r>
        <w:fldChar w:fldCharType="separate"/>
      </w:r>
      <w:r>
        <w:rPr>
          <w:rStyle w:val="13"/>
          <w:color w:val="0563C1"/>
        </w:rPr>
        <w:t>[278]. National Institute of Population and Social Security Research : About Institute</w:t>
      </w:r>
      <w:r>
        <w:rPr>
          <w:rStyle w:val="13"/>
          <w:color w:val="0563C1"/>
        </w:rPr>
        <w:fldChar w:fldCharType="end"/>
      </w:r>
    </w:p>
    <w:p w14:paraId="020B1E16">
      <w:pPr>
        <w:spacing w:after="200" w:line="400" w:lineRule="atLeast"/>
      </w:pPr>
      <w:r>
        <w:fldChar w:fldCharType="begin"/>
      </w:r>
      <w:r>
        <w:instrText xml:space="preserve"> HYPERLINK "https://tbiomed.biomedcentral.com/articles/10.1186/s12976-018-0091-z" \h </w:instrText>
      </w:r>
      <w:r>
        <w:fldChar w:fldCharType="separate"/>
      </w:r>
      <w:r>
        <w:rPr>
          <w:rStyle w:val="13"/>
          <w:color w:val="0563C1"/>
        </w:rPr>
        <w:t>[279]. Demographic supply-demand imbalance in industrial structure in the super-aged nation Japan</w:t>
      </w:r>
      <w:r>
        <w:rPr>
          <w:rStyle w:val="13"/>
          <w:color w:val="0563C1"/>
        </w:rPr>
        <w:fldChar w:fldCharType="end"/>
      </w:r>
    </w:p>
    <w:p w14:paraId="6F44FD7C">
      <w:pPr>
        <w:spacing w:after="200" w:line="400" w:lineRule="atLeast"/>
      </w:pPr>
      <w:r>
        <w:fldChar w:fldCharType="begin"/>
      </w:r>
      <w:r>
        <w:instrText xml:space="preserve"> HYPERLINK "https://www8.cao.go.jp/kourei/english/annualreport/2022/pdf/2022.pdf" \h </w:instrText>
      </w:r>
      <w:r>
        <w:fldChar w:fldCharType="separate"/>
      </w:r>
      <w:r>
        <w:rPr>
          <w:rStyle w:val="13"/>
          <w:color w:val="0563C1"/>
        </w:rPr>
        <w:t>[280,340,342]. Annual Report on the Ageing Society [Summary] FY2022</w:t>
      </w:r>
      <w:r>
        <w:rPr>
          <w:rStyle w:val="13"/>
          <w:color w:val="0563C1"/>
        </w:rPr>
        <w:fldChar w:fldCharType="end"/>
      </w:r>
    </w:p>
    <w:p w14:paraId="2E5842A9">
      <w:pPr>
        <w:spacing w:after="200" w:line="400" w:lineRule="atLeast"/>
      </w:pPr>
      <w:r>
        <w:fldChar w:fldCharType="begin"/>
      </w:r>
      <w:r>
        <w:instrText xml:space="preserve"> HYPERLINK "https://www.un.org/development/desa/pd/sites/www.un.org.development.desa.pd/files/undesa_pd_2024_cpd58_egm_session_iv_reiko_hayashi.pdf" \h </w:instrText>
      </w:r>
      <w:r>
        <w:fldChar w:fldCharType="separate"/>
      </w:r>
      <w:r>
        <w:rPr>
          <w:rStyle w:val="13"/>
          <w:color w:val="0563C1"/>
        </w:rPr>
        <w:t>[285]. Population change and health systems: The case of Japan</w:t>
      </w:r>
      <w:r>
        <w:rPr>
          <w:rStyle w:val="13"/>
          <w:color w:val="0563C1"/>
        </w:rPr>
        <w:fldChar w:fldCharType="end"/>
      </w:r>
    </w:p>
    <w:p w14:paraId="25B44C5B">
      <w:pPr>
        <w:spacing w:after="200" w:line="400" w:lineRule="atLeast"/>
      </w:pPr>
      <w:r>
        <w:fldChar w:fldCharType="begin"/>
      </w:r>
      <w:r>
        <w:instrText xml:space="preserve"> HYPERLINK "https://www.mfat.govt.nz/assets/Trade-General/Trade-Market-reports/Japan-Economy-Update-20-September-2020-PDF.pdf" \h </w:instrText>
      </w:r>
      <w:r>
        <w:fldChar w:fldCharType="separate"/>
      </w:r>
      <w:r>
        <w:rPr>
          <w:rStyle w:val="13"/>
          <w:color w:val="0563C1"/>
        </w:rPr>
        <w:t>[289,292]. Japan: Economy Update Market Report</w:t>
      </w:r>
      <w:r>
        <w:rPr>
          <w:rStyle w:val="13"/>
          <w:color w:val="0563C1"/>
        </w:rPr>
        <w:fldChar w:fldCharType="end"/>
      </w:r>
    </w:p>
    <w:p w14:paraId="25343FBD">
      <w:pPr>
        <w:spacing w:after="200" w:line="400" w:lineRule="atLeast"/>
      </w:pPr>
      <w:r>
        <w:fldChar w:fldCharType="begin"/>
      </w:r>
      <w:r>
        <w:instrText xml:space="preserve"> HYPERLINK "https://www.iat.eu/aktuell/veroeff/jahrbuch/jahrb0102/06-cirkel-gerling-hilbert.pdf" \h </w:instrText>
      </w:r>
      <w:r>
        <w:fldChar w:fldCharType="separate"/>
      </w:r>
      <w:r>
        <w:rPr>
          <w:rStyle w:val="13"/>
          <w:color w:val="0563C1"/>
        </w:rPr>
        <w:t>[294,295]. Silbermarkt Japan – eine Perspektive für die NRW-Wirtschaft?</w:t>
      </w:r>
      <w:r>
        <w:rPr>
          <w:rStyle w:val="13"/>
          <w:color w:val="0563C1"/>
        </w:rPr>
        <w:fldChar w:fldCharType="end"/>
      </w:r>
    </w:p>
    <w:p w14:paraId="4EC23ED7">
      <w:pPr>
        <w:spacing w:after="200" w:line="400" w:lineRule="atLeast"/>
      </w:pPr>
      <w:r>
        <w:fldChar w:fldCharType="begin"/>
      </w:r>
      <w:r>
        <w:instrText xml:space="preserve"> HYPERLINK "http://zjdaily.zjol.com.cn/csjr/images/2006-08/18/csjr20060818c0002v01n.pdf" \h </w:instrText>
      </w:r>
      <w:r>
        <w:fldChar w:fldCharType="separate"/>
      </w:r>
      <w:r>
        <w:rPr>
          <w:rStyle w:val="13"/>
          <w:color w:val="0563C1"/>
        </w:rPr>
        <w:t>[297]. 在杭州,到底谁最会花钱？</w:t>
      </w:r>
      <w:r>
        <w:rPr>
          <w:rStyle w:val="13"/>
          <w:color w:val="0563C1"/>
        </w:rPr>
        <w:fldChar w:fldCharType="end"/>
      </w:r>
    </w:p>
    <w:p w14:paraId="22785ED5">
      <w:pPr>
        <w:spacing w:after="200" w:line="400" w:lineRule="atLeast"/>
      </w:pPr>
      <w:r>
        <w:fldChar w:fldCharType="begin"/>
      </w:r>
      <w:r>
        <w:instrText xml:space="preserve"> HYPERLINK "https://www.jef.or.jp/journal/pdf/analysis_8503.pdf" \h </w:instrText>
      </w:r>
      <w:r>
        <w:fldChar w:fldCharType="separate"/>
      </w:r>
      <w:r>
        <w:rPr>
          <w:rStyle w:val="13"/>
          <w:color w:val="0563C1"/>
        </w:rPr>
        <w:t>[298]. Japan’s “Silver Market” and Aging Society</w:t>
      </w:r>
      <w:r>
        <w:rPr>
          <w:rStyle w:val="13"/>
          <w:color w:val="0563C1"/>
        </w:rPr>
        <w:fldChar w:fldCharType="end"/>
      </w:r>
    </w:p>
    <w:p w14:paraId="726F19C8">
      <w:pPr>
        <w:spacing w:after="200" w:line="400" w:lineRule="atLeast"/>
      </w:pPr>
      <w:r>
        <w:fldChar w:fldCharType="begin"/>
      </w:r>
      <w:r>
        <w:instrText xml:space="preserve"> HYPERLINK "https://www.irsglobal.com/img_up/shop_pds/irsglobal1/design/pdf/80.pdf" \h </w:instrText>
      </w:r>
      <w:r>
        <w:fldChar w:fldCharType="separate"/>
      </w:r>
      <w:r>
        <w:rPr>
          <w:rStyle w:val="13"/>
          <w:color w:val="0563C1"/>
        </w:rPr>
        <w:t>[299]. 고령화로 주목받는 유망 실버산업 제품 및 시장동향</w:t>
      </w:r>
      <w:r>
        <w:rPr>
          <w:rStyle w:val="13"/>
          <w:color w:val="0563C1"/>
        </w:rPr>
        <w:fldChar w:fldCharType="end"/>
      </w:r>
    </w:p>
    <w:p w14:paraId="145AC912">
      <w:pPr>
        <w:spacing w:after="200" w:line="400" w:lineRule="atLeast"/>
      </w:pPr>
      <w:r>
        <w:fldChar w:fldCharType="begin"/>
      </w:r>
      <w:r>
        <w:instrText xml:space="preserve"> HYPERLINK "https://cdnw8.eu-japan.eu/sites/default/files/2021-01-japanese-consumers-behavior_0.pdf" \h </w:instrText>
      </w:r>
      <w:r>
        <w:fldChar w:fldCharType="separate"/>
      </w:r>
      <w:r>
        <w:rPr>
          <w:rStyle w:val="13"/>
          <w:color w:val="0563C1"/>
        </w:rPr>
        <w:t>[301,304]. JAPANESE CONSUMERS` BEHAVIOR: BY AGE AND GENDER</w:t>
      </w:r>
      <w:r>
        <w:rPr>
          <w:rStyle w:val="13"/>
          <w:color w:val="0563C1"/>
        </w:rPr>
        <w:fldChar w:fldCharType="end"/>
      </w:r>
    </w:p>
    <w:p w14:paraId="330E892C">
      <w:pPr>
        <w:spacing w:after="200" w:line="400" w:lineRule="atLeast"/>
      </w:pPr>
      <w:r>
        <w:fldChar w:fldCharType="begin"/>
      </w:r>
      <w:r>
        <w:instrText xml:space="preserve"> HYPERLINK "https://www.mdpi.com/2227-9032/11/13/1843" \h </w:instrText>
      </w:r>
      <w:r>
        <w:fldChar w:fldCharType="separate"/>
      </w:r>
      <w:r>
        <w:rPr>
          <w:rStyle w:val="13"/>
          <w:color w:val="0563C1"/>
        </w:rPr>
        <w:t>[306,311]. Empirical Analysis of Preferences of Older Adults for Care Facilities in Japan: Focusing on Household Structure and Economic Status</w:t>
      </w:r>
      <w:r>
        <w:rPr>
          <w:rStyle w:val="13"/>
          <w:color w:val="0563C1"/>
        </w:rPr>
        <w:fldChar w:fldCharType="end"/>
      </w:r>
    </w:p>
    <w:p w14:paraId="33737C98">
      <w:pPr>
        <w:spacing w:after="200" w:line="400" w:lineRule="atLeast"/>
      </w:pPr>
      <w:r>
        <w:fldChar w:fldCharType="begin"/>
      </w:r>
      <w:r>
        <w:instrText xml:space="preserve"> HYPERLINK "https://pmc.ncbi.nlm.nih.gov/articles/PMC10340401/" \h </w:instrText>
      </w:r>
      <w:r>
        <w:fldChar w:fldCharType="separate"/>
      </w:r>
      <w:r>
        <w:rPr>
          <w:rStyle w:val="13"/>
          <w:color w:val="0563C1"/>
        </w:rPr>
        <w:t>[307,312]. Preferences for Care Facilities Among Older Adults in Japan: The Role of Household Structure, Economic Status, and Other Factors</w:t>
      </w:r>
      <w:r>
        <w:rPr>
          <w:rStyle w:val="13"/>
          <w:color w:val="0563C1"/>
        </w:rPr>
        <w:fldChar w:fldCharType="end"/>
      </w:r>
    </w:p>
    <w:p w14:paraId="77872D91">
      <w:pPr>
        <w:spacing w:after="200" w:line="400" w:lineRule="atLeast"/>
      </w:pPr>
      <w:r>
        <w:fldChar w:fldCharType="begin"/>
      </w:r>
      <w:r>
        <w:instrText xml:space="preserve"> HYPERLINK "http://www.olis.or.jp/e/pdf/asia_report0037en.pdf" \h </w:instrText>
      </w:r>
      <w:r>
        <w:fldChar w:fldCharType="separate"/>
      </w:r>
      <w:r>
        <w:rPr>
          <w:rStyle w:val="13"/>
          <w:color w:val="0563C1"/>
        </w:rPr>
        <w:t>[308]. Services and Housing for the Elderly in Japan ⑤</w:t>
      </w:r>
      <w:r>
        <w:rPr>
          <w:rStyle w:val="13"/>
          <w:color w:val="0563C1"/>
        </w:rPr>
        <w:fldChar w:fldCharType="end"/>
      </w:r>
    </w:p>
    <w:p w14:paraId="635F99A4">
      <w:pPr>
        <w:spacing w:after="200" w:line="400" w:lineRule="atLeast"/>
      </w:pPr>
      <w:r>
        <w:fldChar w:fldCharType="begin"/>
      </w:r>
      <w:r>
        <w:instrText xml:space="preserve"> HYPERLINK "https://www.openaccessgovernment.org/article/primary-care-and-medical-education-for-japans-ageing-population/171246/" \h </w:instrText>
      </w:r>
      <w:r>
        <w:fldChar w:fldCharType="separate"/>
      </w:r>
      <w:r>
        <w:rPr>
          <w:rStyle w:val="13"/>
          <w:color w:val="0563C1"/>
        </w:rPr>
        <w:t>[309]. Japan’s elderly demographics and its implications</w:t>
      </w:r>
      <w:r>
        <w:rPr>
          <w:rStyle w:val="13"/>
          <w:color w:val="0563C1"/>
        </w:rPr>
        <w:fldChar w:fldCharType="end"/>
      </w:r>
    </w:p>
    <w:p w14:paraId="32ED9081">
      <w:pPr>
        <w:spacing w:after="200" w:line="400" w:lineRule="atLeast"/>
      </w:pPr>
      <w:r>
        <w:fldChar w:fldCharType="begin"/>
      </w:r>
      <w:r>
        <w:instrText xml:space="preserve"> HYPERLINK "https://firstreit.listedcompany.com/misc/AR2023.pdf" \h </w:instrText>
      </w:r>
      <w:r>
        <w:fldChar w:fldCharType="separate"/>
      </w:r>
      <w:r>
        <w:rPr>
          <w:rStyle w:val="13"/>
          <w:color w:val="0563C1"/>
        </w:rPr>
        <w:t>[310]. FIRST REIT: Strengthens for Sustainable Growth - Annual Report 2023</w:t>
      </w:r>
      <w:r>
        <w:rPr>
          <w:rStyle w:val="13"/>
          <w:color w:val="0563C1"/>
        </w:rPr>
        <w:fldChar w:fldCharType="end"/>
      </w:r>
    </w:p>
    <w:p w14:paraId="694C7AA0">
      <w:pPr>
        <w:spacing w:after="200" w:line="400" w:lineRule="atLeast"/>
      </w:pPr>
      <w:r>
        <w:fldChar w:fldCharType="begin"/>
      </w:r>
      <w:r>
        <w:instrText xml:space="preserve"> HYPERLINK "https://ijccr.net/wp-content/uploads/2012/08/ijccr-2012-hayashi.pdf" \h </w:instrText>
      </w:r>
      <w:r>
        <w:fldChar w:fldCharType="separate"/>
      </w:r>
      <w:r>
        <w:rPr>
          <w:rStyle w:val="13"/>
          <w:color w:val="0563C1"/>
        </w:rPr>
        <w:t>[313]. JAPAN'S FUREAI KIPPU TIME-BANKING IN ELDERLY CARE: ORIGINS, DEVELOPMENT, CHALLENGES AND IMPACT.</w:t>
      </w:r>
      <w:r>
        <w:rPr>
          <w:rStyle w:val="13"/>
          <w:color w:val="0563C1"/>
        </w:rPr>
        <w:fldChar w:fldCharType="end"/>
      </w:r>
    </w:p>
    <w:p w14:paraId="3F4BDA71">
      <w:pPr>
        <w:spacing w:after="200" w:line="400" w:lineRule="atLeast"/>
      </w:pPr>
      <w:r>
        <w:fldChar w:fldCharType="begin"/>
      </w:r>
      <w:r>
        <w:instrText xml:space="preserve"> HYPERLINK "https://tnozomiecon.github.io/PR_AEPR.pdf" \h </w:instrText>
      </w:r>
      <w:r>
        <w:fldChar w:fldCharType="separate"/>
      </w:r>
      <w:r>
        <w:rPr>
          <w:rStyle w:val="13"/>
          <w:color w:val="0563C1"/>
        </w:rPr>
        <w:t>[314,317,320,327,334,489]. Working Elderly in Japan</w:t>
      </w:r>
      <w:r>
        <w:rPr>
          <w:rStyle w:val="13"/>
          <w:color w:val="0563C1"/>
        </w:rPr>
        <w:fldChar w:fldCharType="end"/>
      </w:r>
    </w:p>
    <w:p w14:paraId="1A00FB1B">
      <w:pPr>
        <w:spacing w:after="200" w:line="400" w:lineRule="atLeast"/>
      </w:pPr>
      <w:r>
        <w:fldChar w:fldCharType="begin"/>
      </w:r>
      <w:r>
        <w:instrText xml:space="preserve"> HYPERLINK "https://sagirikitao.github.io/mywebsite/KitaoMikoshiba_short.pdf" \h </w:instrText>
      </w:r>
      <w:r>
        <w:fldChar w:fldCharType="separate"/>
      </w:r>
      <w:r>
        <w:rPr>
          <w:rStyle w:val="13"/>
          <w:color w:val="0563C1"/>
        </w:rPr>
        <w:t>[316,324]. Aging Demographics and Fiscal Sustainability: Women’s Labor Supply in Japan</w:t>
      </w:r>
      <w:r>
        <w:rPr>
          <w:rStyle w:val="13"/>
          <w:color w:val="0563C1"/>
        </w:rPr>
        <w:fldChar w:fldCharType="end"/>
      </w:r>
    </w:p>
    <w:p w14:paraId="639B3D19">
      <w:pPr>
        <w:spacing w:after="200" w:line="400" w:lineRule="atLeast"/>
      </w:pPr>
      <w:r>
        <w:fldChar w:fldCharType="begin"/>
      </w:r>
      <w:r>
        <w:instrText xml:space="preserve"> HYPERLINK "http://asiancfea.org/userfiles/file/2025ACFEA/O2-1.pdf" \h </w:instrText>
      </w:r>
      <w:r>
        <w:fldChar w:fldCharType="separate"/>
      </w:r>
      <w:r>
        <w:rPr>
          <w:rStyle w:val="13"/>
          <w:color w:val="0563C1"/>
        </w:rPr>
        <w:t>[319,323,368]. Accessibility of Elderly Care Services in Japan Under the Context of an Aging Society with Declining Birthrates</w:t>
      </w:r>
      <w:r>
        <w:rPr>
          <w:rStyle w:val="13"/>
          <w:color w:val="0563C1"/>
        </w:rPr>
        <w:fldChar w:fldCharType="end"/>
      </w:r>
    </w:p>
    <w:p w14:paraId="2F30A5DE">
      <w:pPr>
        <w:spacing w:after="200" w:line="400" w:lineRule="atLeast"/>
      </w:pPr>
      <w:r>
        <w:fldChar w:fldCharType="begin"/>
      </w:r>
      <w:r>
        <w:instrText xml:space="preserve"> HYPERLINK "https://files.metaso.cn/api/public-file/preview?fileName=8673850500690493440.pdf" \h </w:instrText>
      </w:r>
      <w:r>
        <w:fldChar w:fldCharType="separate"/>
      </w:r>
      <w:r>
        <w:rPr>
          <w:rStyle w:val="13"/>
          <w:color w:val="0563C1"/>
        </w:rPr>
        <w:t>[322]. The Japan Geriatrics Society 2025 Position Statement on End-of-Life Care for Older Adults: English Translation of the Japanese Article</w:t>
      </w:r>
      <w:r>
        <w:rPr>
          <w:rStyle w:val="13"/>
          <w:color w:val="0563C1"/>
        </w:rPr>
        <w:fldChar w:fldCharType="end"/>
      </w:r>
    </w:p>
    <w:p w14:paraId="582FFD2E">
      <w:pPr>
        <w:spacing w:after="200" w:line="400" w:lineRule="atLeast"/>
      </w:pPr>
      <w:r>
        <w:fldChar w:fldCharType="begin"/>
      </w:r>
      <w:r>
        <w:instrText xml:space="preserve"> HYPERLINK "https://s24.q4cdn.com/367535798/files/doc_financials/2024/sr/2024-Aflac-Financial-Analysts-Briefing-2-28-25.pdf" \h </w:instrText>
      </w:r>
      <w:r>
        <w:fldChar w:fldCharType="separate"/>
      </w:r>
      <w:r>
        <w:rPr>
          <w:rStyle w:val="13"/>
          <w:color w:val="0563C1"/>
        </w:rPr>
        <w:t>[336]. 2024 Financial Analysts Briefing</w:t>
      </w:r>
      <w:r>
        <w:rPr>
          <w:rStyle w:val="13"/>
          <w:color w:val="0563C1"/>
        </w:rPr>
        <w:fldChar w:fldCharType="end"/>
      </w:r>
    </w:p>
    <w:p w14:paraId="05A43325">
      <w:pPr>
        <w:spacing w:after="200" w:line="400" w:lineRule="atLeast"/>
      </w:pPr>
      <w:r>
        <w:fldChar w:fldCharType="begin"/>
      </w:r>
      <w:r>
        <w:instrText xml:space="preserve"> HYPERLINK "https://www.city.hamamatsu.shizuoka.jp/documents/13614/r7koureisyahukusinosiori-1.pdf" \h </w:instrText>
      </w:r>
      <w:r>
        <w:fldChar w:fldCharType="separate"/>
      </w:r>
      <w:r>
        <w:rPr>
          <w:rStyle w:val="13"/>
          <w:color w:val="0563C1"/>
        </w:rPr>
        <w:t>[337,339,345]. 高齢者福祉のしおり</w:t>
      </w:r>
      <w:r>
        <w:rPr>
          <w:rStyle w:val="13"/>
          <w:color w:val="0563C1"/>
        </w:rPr>
        <w:fldChar w:fldCharType="end"/>
      </w:r>
    </w:p>
    <w:p w14:paraId="7856D63D">
      <w:pPr>
        <w:spacing w:after="200" w:line="400" w:lineRule="atLeast"/>
      </w:pPr>
      <w:r>
        <w:fldChar w:fldCharType="begin"/>
      </w:r>
      <w:r>
        <w:instrText xml:space="preserve"> HYPERLINK "https://presswalker.jp/press/87975" \h </w:instrText>
      </w:r>
      <w:r>
        <w:fldChar w:fldCharType="separate"/>
      </w:r>
      <w:r>
        <w:rPr>
          <w:rStyle w:val="13"/>
          <w:color w:val="0563C1"/>
        </w:rPr>
        <w:t>[348]. 日本高齢者介護サービス市場の将来動向と機会分析 – 2025年から2035年</w:t>
      </w:r>
      <w:r>
        <w:rPr>
          <w:rStyle w:val="13"/>
          <w:color w:val="0563C1"/>
        </w:rPr>
        <w:fldChar w:fldCharType="end"/>
      </w:r>
    </w:p>
    <w:p w14:paraId="2EE3142F">
      <w:pPr>
        <w:spacing w:after="200" w:line="400" w:lineRule="atLeast"/>
      </w:pPr>
      <w:r>
        <w:fldChar w:fldCharType="begin"/>
      </w:r>
      <w:r>
        <w:instrText xml:space="preserve"> HYPERLINK "https://www.reportocean.co.jp/industry-reports/japan-elderly-care-services-market" \h </w:instrText>
      </w:r>
      <w:r>
        <w:fldChar w:fldCharType="separate"/>
      </w:r>
      <w:r>
        <w:rPr>
          <w:rStyle w:val="13"/>
          <w:color w:val="0563C1"/>
        </w:rPr>
        <w:t>[349]. 日本高齢者介護サービス市場規模、シェア、競争環境、トレンド分析レポート：サービス別（在宅介護サービス、成人介護サービス、施設介護サービス）： 2024年から2032年までの機会分析および業界予測</w:t>
      </w:r>
      <w:r>
        <w:rPr>
          <w:rStyle w:val="13"/>
          <w:color w:val="0563C1"/>
        </w:rPr>
        <w:fldChar w:fldCharType="end"/>
      </w:r>
    </w:p>
    <w:p w14:paraId="0AB41A2F">
      <w:pPr>
        <w:spacing w:after="200" w:line="400" w:lineRule="atLeast"/>
      </w:pPr>
      <w:r>
        <w:fldChar w:fldCharType="begin"/>
      </w:r>
      <w:r>
        <w:instrText xml:space="preserve"> HYPERLINK "https://mainichigahakken.net/release/detail.php?id=90036" \h </w:instrText>
      </w:r>
      <w:r>
        <w:fldChar w:fldCharType="separate"/>
      </w:r>
      <w:r>
        <w:rPr>
          <w:rStyle w:val="13"/>
          <w:color w:val="0563C1"/>
        </w:rPr>
        <w:t>[350]. 日本高齢者介護サービス市場規模（～2030）：訪問介護、成人デイケア、施設介護</w:t>
      </w:r>
      <w:r>
        <w:rPr>
          <w:rStyle w:val="13"/>
          <w:color w:val="0563C1"/>
        </w:rPr>
        <w:fldChar w:fldCharType="end"/>
      </w:r>
    </w:p>
    <w:p w14:paraId="5C6B817E">
      <w:pPr>
        <w:spacing w:after="200" w:line="400" w:lineRule="atLeast"/>
      </w:pPr>
      <w:r>
        <w:fldChar w:fldCharType="begin"/>
      </w:r>
      <w:r>
        <w:instrText xml:space="preserve"> HYPERLINK "https://www.hiroshima-kokuhoren.or.jp/profile/pdf/mid_term2.pdf" \h </w:instrText>
      </w:r>
      <w:r>
        <w:fldChar w:fldCharType="separate"/>
      </w:r>
      <w:r>
        <w:rPr>
          <w:rStyle w:val="13"/>
          <w:color w:val="0563C1"/>
        </w:rPr>
        <w:t>[351,354]. 中期経営計画（第２次）</w:t>
      </w:r>
      <w:r>
        <w:rPr>
          <w:rStyle w:val="13"/>
          <w:color w:val="0563C1"/>
        </w:rPr>
        <w:fldChar w:fldCharType="end"/>
      </w:r>
    </w:p>
    <w:p w14:paraId="39B3DB2B">
      <w:pPr>
        <w:spacing w:after="200" w:line="400" w:lineRule="atLeast"/>
      </w:pPr>
      <w:r>
        <w:fldChar w:fldCharType="begin"/>
      </w:r>
      <w:r>
        <w:instrText xml:space="preserve"> HYPERLINK "https://www.sphericalinsights.com/zh/reports/japan-geriatric-medicine-market" \h </w:instrText>
      </w:r>
      <w:r>
        <w:fldChar w:fldCharType="separate"/>
      </w:r>
      <w:r>
        <w:rPr>
          <w:rStyle w:val="13"/>
          <w:color w:val="0563C1"/>
        </w:rPr>
        <w:t>[352]. 日本老年病 医药市场趋势、预测、研究报告</w:t>
      </w:r>
      <w:r>
        <w:rPr>
          <w:rStyle w:val="13"/>
          <w:color w:val="0563C1"/>
        </w:rPr>
        <w:fldChar w:fldCharType="end"/>
      </w:r>
    </w:p>
    <w:p w14:paraId="4B400260">
      <w:pPr>
        <w:spacing w:after="200" w:line="400" w:lineRule="atLeast"/>
      </w:pPr>
      <w:r>
        <w:fldChar w:fldCharType="begin"/>
      </w:r>
      <w:r>
        <w:instrText xml:space="preserve"> HYPERLINK "https://www.marketsandata.com/industry-reports/japan-augmented-reality-in-healthcare-market" \h </w:instrText>
      </w:r>
      <w:r>
        <w:fldChar w:fldCharType="separate"/>
      </w:r>
      <w:r>
        <w:rPr>
          <w:rStyle w:val="13"/>
          <w:color w:val="0563C1"/>
        </w:rPr>
        <w:t>[353]. Japan Augmented Reality in Healthcare Market Assessment, Opportunities and Forecast, FY2018-FY2032F</w:t>
      </w:r>
      <w:r>
        <w:rPr>
          <w:rStyle w:val="13"/>
          <w:color w:val="0563C1"/>
        </w:rPr>
        <w:fldChar w:fldCharType="end"/>
      </w:r>
    </w:p>
    <w:p w14:paraId="011DFB35">
      <w:pPr>
        <w:spacing w:after="200" w:line="400" w:lineRule="atLeast"/>
      </w:pPr>
      <w:r>
        <w:fldChar w:fldCharType="begin"/>
      </w:r>
      <w:r>
        <w:instrText xml:space="preserve"> HYPERLINK "https://files.metaso.cn/api/public-file/preview?fileName=8690278192578932736.pdf" \h </w:instrText>
      </w:r>
      <w:r>
        <w:fldChar w:fldCharType="separate"/>
      </w:r>
      <w:r>
        <w:rPr>
          <w:rStyle w:val="13"/>
          <w:color w:val="0563C1"/>
        </w:rPr>
        <w:t>[355,362]. 银发经济市场分析</w:t>
      </w:r>
      <w:r>
        <w:rPr>
          <w:rStyle w:val="13"/>
          <w:color w:val="0563C1"/>
        </w:rPr>
        <w:fldChar w:fldCharType="end"/>
      </w:r>
    </w:p>
    <w:p w14:paraId="49BE69D1">
      <w:pPr>
        <w:spacing w:after="200" w:line="400" w:lineRule="atLeast"/>
      </w:pPr>
      <w:r>
        <w:fldChar w:fldCharType="begin"/>
      </w:r>
      <w:r>
        <w:instrText xml:space="preserve"> HYPERLINK "https://www.statista.com/statistics/1197766/japan-hr-business-market-size/?srsltid=AfmBOoqjlF5CrJdVW_kHWxykTxAPw7tE41vo5UyBWZzK8NipixB377SN" \h </w:instrText>
      </w:r>
      <w:r>
        <w:fldChar w:fldCharType="separate"/>
      </w:r>
      <w:r>
        <w:rPr>
          <w:rStyle w:val="13"/>
          <w:color w:val="0563C1"/>
        </w:rPr>
        <w:t>[363]. Market size of the recruiting industry in Japan from fiscal year 2019 to 2025 (in trillion Japanese yen)</w:t>
      </w:r>
      <w:r>
        <w:rPr>
          <w:rStyle w:val="13"/>
          <w:color w:val="0563C1"/>
        </w:rPr>
        <w:fldChar w:fldCharType="end"/>
      </w:r>
    </w:p>
    <w:p w14:paraId="0D05CE24">
      <w:pPr>
        <w:spacing w:after="400" w:line="400" w:lineRule="atLeast"/>
      </w:pPr>
      <w:r>
        <w:t>[[364]. The Aging Readiness &amp; Competitiveness Report: Japan ](https://www.aarpinternational.org/file library/arc/countries/full reports/arc-report---japan.pdf)</w:t>
      </w:r>
    </w:p>
    <w:p w14:paraId="36A8B671">
      <w:pPr>
        <w:spacing w:after="200" w:line="400" w:lineRule="atLeast"/>
      </w:pPr>
      <w:r>
        <w:fldChar w:fldCharType="begin"/>
      </w:r>
      <w:r>
        <w:instrText xml:space="preserve"> HYPERLINK "https://www.oecd.org/content/dam/oecd/en/publications/reports/2015/04/oecd-economic-surveys-japan-2015_g1g52920/eco_surveys-jpn-2015-en.pdf" \h </w:instrText>
      </w:r>
      <w:r>
        <w:fldChar w:fldCharType="separate"/>
      </w:r>
      <w:r>
        <w:rPr>
          <w:rStyle w:val="13"/>
          <w:color w:val="0563C1"/>
        </w:rPr>
        <w:t>[365,367,485]. OECD Economic Surveys: Japan 2015</w:t>
      </w:r>
      <w:r>
        <w:rPr>
          <w:rStyle w:val="13"/>
          <w:color w:val="0563C1"/>
        </w:rPr>
        <w:fldChar w:fldCharType="end"/>
      </w:r>
    </w:p>
    <w:p w14:paraId="53D394D7">
      <w:pPr>
        <w:spacing w:after="200" w:line="400" w:lineRule="atLeast"/>
      </w:pPr>
      <w:r>
        <w:fldChar w:fldCharType="begin"/>
      </w:r>
      <w:r>
        <w:instrText xml:space="preserve"> HYPERLINK "https://www.econstor.eu/dspace/bitstream/10419/73068/1/736215484.pdf" \h </w:instrText>
      </w:r>
      <w:r>
        <w:fldChar w:fldCharType="separate"/>
      </w:r>
      <w:r>
        <w:rPr>
          <w:rStyle w:val="13"/>
          <w:color w:val="0563C1"/>
        </w:rPr>
        <w:t>[366,369,370,371,372,378,379]. Linkage between Benefit Expenditure and Premium Burden: Long-Term Care Insurance in Japan</w:t>
      </w:r>
      <w:r>
        <w:rPr>
          <w:rStyle w:val="13"/>
          <w:color w:val="0563C1"/>
        </w:rPr>
        <w:fldChar w:fldCharType="end"/>
      </w:r>
    </w:p>
    <w:p w14:paraId="26E35686">
      <w:pPr>
        <w:spacing w:after="200" w:line="400" w:lineRule="atLeast"/>
      </w:pPr>
      <w:r>
        <w:fldChar w:fldCharType="begin"/>
      </w:r>
      <w:r>
        <w:instrText xml:space="preserve"> HYPERLINK "https://www.ipss.go.jp/syoushika/bunken/DATA/pdf/24800103.pdf" \h </w:instrText>
      </w:r>
      <w:r>
        <w:fldChar w:fldCharType="separate"/>
      </w:r>
      <w:r>
        <w:rPr>
          <w:rStyle w:val="13"/>
          <w:color w:val="0563C1"/>
        </w:rPr>
        <w:t>[373,374,377,484]. 在宅要介護高齢者の介護費用と家族介護の同時決定モデルに関する研究</w:t>
      </w:r>
      <w:r>
        <w:rPr>
          <w:rStyle w:val="13"/>
          <w:color w:val="0563C1"/>
        </w:rPr>
        <w:fldChar w:fldCharType="end"/>
      </w:r>
    </w:p>
    <w:p w14:paraId="33928630">
      <w:pPr>
        <w:spacing w:after="200" w:line="400" w:lineRule="atLeast"/>
      </w:pPr>
      <w:r>
        <w:fldChar w:fldCharType="begin"/>
      </w:r>
      <w:r>
        <w:instrText xml:space="preserve"> HYPERLINK "https://pmc.ncbi.nlm.nih.gov/articles/PMC7536255/" \h </w:instrText>
      </w:r>
      <w:r>
        <w:fldChar w:fldCharType="separate"/>
      </w:r>
      <w:r>
        <w:rPr>
          <w:rStyle w:val="13"/>
          <w:color w:val="0563C1"/>
        </w:rPr>
        <w:t>[376]. Individual and municipality characteristics associated with long-term care (LTC) expenditure in Japan</w:t>
      </w:r>
      <w:r>
        <w:rPr>
          <w:rStyle w:val="13"/>
          <w:color w:val="0563C1"/>
        </w:rPr>
        <w:fldChar w:fldCharType="end"/>
      </w:r>
    </w:p>
    <w:p w14:paraId="02ACBD1E">
      <w:pPr>
        <w:spacing w:after="200" w:line="400" w:lineRule="atLeast"/>
      </w:pPr>
      <w:r>
        <w:fldChar w:fldCharType="begin"/>
      </w:r>
      <w:r>
        <w:instrText xml:space="preserve"> HYPERLINK "https://www.statista.com/statistics/612575/japan-population-age-group/?srsltid=AfmBOoo8aFQbHkKL0wZdjk1lUWzEnoYNOE-AhSpESu3Xh2eAaeKt6FuP" \h </w:instrText>
      </w:r>
      <w:r>
        <w:fldChar w:fldCharType="separate"/>
      </w:r>
      <w:r>
        <w:rPr>
          <w:rStyle w:val="13"/>
          <w:color w:val="0563C1"/>
        </w:rPr>
        <w:t>[380]. Population of Japan from 2000 to 2020 with a forecast until 2034, by age group (in millions)</w:t>
      </w:r>
      <w:r>
        <w:rPr>
          <w:rStyle w:val="13"/>
          <w:color w:val="0563C1"/>
        </w:rPr>
        <w:fldChar w:fldCharType="end"/>
      </w:r>
    </w:p>
    <w:p w14:paraId="54F187E4">
      <w:pPr>
        <w:spacing w:after="200" w:line="400" w:lineRule="atLeast"/>
      </w:pPr>
      <w:r>
        <w:fldChar w:fldCharType="begin"/>
      </w:r>
      <w:r>
        <w:instrText xml:space="preserve"> HYPERLINK "https://www.abm.lth.se/article/funding-granted-for-age-15-advancing-age-friendly-neighbourhoods-through-collaborative-research/" \h </w:instrText>
      </w:r>
      <w:r>
        <w:fldChar w:fldCharType="separate"/>
      </w:r>
      <w:r>
        <w:rPr>
          <w:rStyle w:val="13"/>
          <w:color w:val="0563C1"/>
        </w:rPr>
        <w:t>[382]. Funding granted for AGE-15: Advancing age-friendly neighbourhoods through collaborative research</w:t>
      </w:r>
      <w:r>
        <w:rPr>
          <w:rStyle w:val="13"/>
          <w:color w:val="0563C1"/>
        </w:rPr>
        <w:fldChar w:fldCharType="end"/>
      </w:r>
    </w:p>
    <w:p w14:paraId="7557ED6E">
      <w:pPr>
        <w:spacing w:after="200" w:line="400" w:lineRule="atLeast"/>
      </w:pPr>
      <w:r>
        <w:fldChar w:fldCharType="begin"/>
      </w:r>
      <w:r>
        <w:instrText xml:space="preserve"> HYPERLINK "https://pmc.ncbi.nlm.nih.gov/articles/PMC7533196/#%3A~%3Atext%3DIn%20Japan%27s%20LTCI%20system%2C%20older%2Ccovered%20by%20the%20LTCI%20budget." \h </w:instrText>
      </w:r>
      <w:r>
        <w:fldChar w:fldCharType="separate"/>
      </w:r>
      <w:r>
        <w:rPr>
          <w:rStyle w:val="13"/>
          <w:color w:val="0563C1"/>
        </w:rPr>
        <w:t>[385]. Implementation of the Long-Term Care Insurance System in Japan and the Development of a Community-Based Integrated Care System</w:t>
      </w:r>
      <w:r>
        <w:rPr>
          <w:rStyle w:val="13"/>
          <w:color w:val="0563C1"/>
        </w:rPr>
        <w:fldChar w:fldCharType="end"/>
      </w:r>
    </w:p>
    <w:p w14:paraId="3A11AFB5">
      <w:pPr>
        <w:spacing w:after="200" w:line="400" w:lineRule="atLeast"/>
      </w:pPr>
      <w:r>
        <w:fldChar w:fldCharType="begin"/>
      </w:r>
      <w:r>
        <w:instrText xml:space="preserve"> HYPERLINK "https://collaboration.worldbank.org/content/usergenerated/asi/cloud/attachments/sites/collaboration-for-development/en/groups/tdlc-technical-deep-dive/groups/aging-cities-tdd/documents/jcr:content/content/primary/blog/presentations_day2-TqGY/D2_01_Ms.Nakamura%20Kaori.pdf" \h </w:instrText>
      </w:r>
      <w:r>
        <w:fldChar w:fldCharType="separate"/>
      </w:r>
      <w:r>
        <w:rPr>
          <w:rStyle w:val="13"/>
          <w:color w:val="0563C1"/>
        </w:rPr>
        <w:t>[386,436]. Japan’s Ageing Society : Facts and Challenges</w:t>
      </w:r>
      <w:r>
        <w:rPr>
          <w:rStyle w:val="13"/>
          <w:color w:val="0563C1"/>
        </w:rPr>
        <w:fldChar w:fldCharType="end"/>
      </w:r>
    </w:p>
    <w:p w14:paraId="1F6170E7">
      <w:pPr>
        <w:spacing w:after="200" w:line="400" w:lineRule="atLeast"/>
      </w:pPr>
      <w:r>
        <w:fldChar w:fldCharType="begin"/>
      </w:r>
      <w:r>
        <w:instrText xml:space="preserve"> HYPERLINK "https://files.metaso.cn/api/public-file/preview?fileName=8689524331742941184.pdf" \h </w:instrText>
      </w:r>
      <w:r>
        <w:fldChar w:fldCharType="separate"/>
      </w:r>
      <w:r>
        <w:rPr>
          <w:rStyle w:val="13"/>
          <w:color w:val="0563C1"/>
        </w:rPr>
        <w:t>[389,391]. 2026 年全球宏观展望</w:t>
      </w:r>
      <w:r>
        <w:rPr>
          <w:rStyle w:val="13"/>
          <w:color w:val="0563C1"/>
        </w:rPr>
        <w:fldChar w:fldCharType="end"/>
      </w:r>
    </w:p>
    <w:p w14:paraId="262DB204">
      <w:pPr>
        <w:spacing w:after="200" w:line="400" w:lineRule="atLeast"/>
      </w:pPr>
      <w:r>
        <w:fldChar w:fldCharType="begin"/>
      </w:r>
      <w:r>
        <w:instrText xml:space="preserve"> HYPERLINK "https://www.city.osaka.lg.jp/fukushi/cmsfiles/contents/0000211/211772/20231018_shiryou1.pdf" \h </w:instrText>
      </w:r>
      <w:r>
        <w:fldChar w:fldCharType="separate"/>
      </w:r>
      <w:r>
        <w:rPr>
          <w:rStyle w:val="13"/>
          <w:color w:val="0563C1"/>
        </w:rPr>
        <w:t>[394]. 大阪市高齢者保健福祉計画・介護保険事業計画（素案）</w:t>
      </w:r>
      <w:r>
        <w:rPr>
          <w:rStyle w:val="13"/>
          <w:color w:val="0563C1"/>
        </w:rPr>
        <w:fldChar w:fldCharType="end"/>
      </w:r>
    </w:p>
    <w:p w14:paraId="289773D8">
      <w:pPr>
        <w:spacing w:after="200" w:line="400" w:lineRule="atLeast"/>
      </w:pPr>
      <w:r>
        <w:fldChar w:fldCharType="begin"/>
      </w:r>
      <w:r>
        <w:instrText xml:space="preserve"> HYPERLINK "https://www.city.imabari.ehime.jp/kaigo/plan9/plan9.pdf" \h </w:instrText>
      </w:r>
      <w:r>
        <w:fldChar w:fldCharType="separate"/>
      </w:r>
      <w:r>
        <w:rPr>
          <w:rStyle w:val="13"/>
          <w:color w:val="0563C1"/>
        </w:rPr>
        <w:t>[395]. 今治市高齢者福祉計画 介護保険事業計画 第9期[令和6年度～令和8年度]</w:t>
      </w:r>
      <w:r>
        <w:rPr>
          <w:rStyle w:val="13"/>
          <w:color w:val="0563C1"/>
        </w:rPr>
        <w:fldChar w:fldCharType="end"/>
      </w:r>
    </w:p>
    <w:p w14:paraId="0B5E1460">
      <w:pPr>
        <w:spacing w:after="200" w:line="400" w:lineRule="atLeast"/>
      </w:pPr>
      <w:r>
        <w:fldChar w:fldCharType="begin"/>
      </w:r>
      <w:r>
        <w:instrText xml:space="preserve"> HYPERLINK "https://www.population-trends-asiapacific.org/data/JPN" \h </w:instrText>
      </w:r>
      <w:r>
        <w:fldChar w:fldCharType="separate"/>
      </w:r>
      <w:r>
        <w:rPr>
          <w:rStyle w:val="13"/>
          <w:color w:val="0563C1"/>
        </w:rPr>
        <w:t>[396]. Japan</w:t>
      </w:r>
      <w:r>
        <w:rPr>
          <w:rStyle w:val="13"/>
          <w:color w:val="0563C1"/>
        </w:rPr>
        <w:fldChar w:fldCharType="end"/>
      </w:r>
    </w:p>
    <w:p w14:paraId="0BB96B25">
      <w:pPr>
        <w:spacing w:after="200" w:line="400" w:lineRule="atLeast"/>
      </w:pPr>
      <w:r>
        <w:fldChar w:fldCharType="begin"/>
      </w:r>
      <w:r>
        <w:instrText xml:space="preserve"> HYPERLINK "https://www.stat.go.jp/english/data/handbook/pdf/2023half_2.pdf" \h </w:instrText>
      </w:r>
      <w:r>
        <w:fldChar w:fldCharType="separate"/>
      </w:r>
      <w:r>
        <w:rPr>
          <w:rStyle w:val="13"/>
          <w:color w:val="0563C1"/>
        </w:rPr>
        <w:t>[397,442,456]. Statistical Handbook of Japan 2023</w:t>
      </w:r>
      <w:r>
        <w:rPr>
          <w:rStyle w:val="13"/>
          <w:color w:val="0563C1"/>
        </w:rPr>
        <w:fldChar w:fldCharType="end"/>
      </w:r>
    </w:p>
    <w:p w14:paraId="39693C98">
      <w:pPr>
        <w:spacing w:after="200" w:line="400" w:lineRule="atLeast"/>
      </w:pPr>
      <w:r>
        <w:fldChar w:fldCharType="begin"/>
      </w:r>
      <w:r>
        <w:instrText xml:space="preserve"> HYPERLINK "https://www.jil.go.jp/kokunai/statistics/databook/2022/documents/Databook2022.pdf" \h </w:instrText>
      </w:r>
      <w:r>
        <w:fldChar w:fldCharType="separate"/>
      </w:r>
      <w:r>
        <w:rPr>
          <w:rStyle w:val="13"/>
          <w:color w:val="0563C1"/>
        </w:rPr>
        <w:t>[398,400]. Databook of International Labour Statistics 国際労働比較 2022</w:t>
      </w:r>
      <w:r>
        <w:rPr>
          <w:rStyle w:val="13"/>
          <w:color w:val="0563C1"/>
        </w:rPr>
        <w:fldChar w:fldCharType="end"/>
      </w:r>
    </w:p>
    <w:p w14:paraId="3A1B32BE">
      <w:pPr>
        <w:spacing w:after="200" w:line="400" w:lineRule="atLeast"/>
      </w:pPr>
      <w:r>
        <w:fldChar w:fldCharType="begin"/>
      </w:r>
      <w:r>
        <w:instrText xml:space="preserve"> HYPERLINK "https://www.stat.go.jp/english/data/nenkan/71nenkan/zenbun/en71/book/book.pdf" \h </w:instrText>
      </w:r>
      <w:r>
        <w:fldChar w:fldCharType="separate"/>
      </w:r>
      <w:r>
        <w:rPr>
          <w:rStyle w:val="13"/>
          <w:color w:val="0563C1"/>
        </w:rPr>
        <w:t>[399]. 第七十一回 日本統計年鑑 令和 4 年 JAPAN STATISTICAL YEARBOOK 2022</w:t>
      </w:r>
      <w:r>
        <w:rPr>
          <w:rStyle w:val="13"/>
          <w:color w:val="0563C1"/>
        </w:rPr>
        <w:fldChar w:fldCharType="end"/>
      </w:r>
    </w:p>
    <w:p w14:paraId="32C3206D">
      <w:pPr>
        <w:spacing w:after="200" w:line="400" w:lineRule="atLeast"/>
      </w:pPr>
      <w:r>
        <w:fldChar w:fldCharType="begin"/>
      </w:r>
      <w:r>
        <w:instrText xml:space="preserve"> HYPERLINK "https://www.randa.hk/static/upload/file/20240408/1712561184252592.pdf" \h </w:instrText>
      </w:r>
      <w:r>
        <w:fldChar w:fldCharType="separate"/>
      </w:r>
      <w:r>
        <w:rPr>
          <w:rStyle w:val="13"/>
          <w:color w:val="0563C1"/>
        </w:rPr>
        <w:t>[403,443]. IC THE WORLD Issue No.6</w:t>
      </w:r>
      <w:r>
        <w:rPr>
          <w:rStyle w:val="13"/>
          <w:color w:val="0563C1"/>
        </w:rPr>
        <w:fldChar w:fldCharType="end"/>
      </w:r>
    </w:p>
    <w:p w14:paraId="210AFAC1">
      <w:pPr>
        <w:spacing w:after="200" w:line="400" w:lineRule="atLeast"/>
      </w:pPr>
      <w:r>
        <w:fldChar w:fldCharType="begin"/>
      </w:r>
      <w:r>
        <w:instrText xml:space="preserve"> HYPERLINK "https://diamond-rm.net/drr/pdf/retail-japan-2020-sample.pdf" \h </w:instrText>
      </w:r>
      <w:r>
        <w:fldChar w:fldCharType="separate"/>
      </w:r>
      <w:r>
        <w:rPr>
          <w:rStyle w:val="13"/>
          <w:color w:val="0563C1"/>
        </w:rPr>
        <w:t>[404,449]. Retail Japan 2020</w:t>
      </w:r>
      <w:r>
        <w:rPr>
          <w:rStyle w:val="13"/>
          <w:color w:val="0563C1"/>
        </w:rPr>
        <w:fldChar w:fldCharType="end"/>
      </w:r>
    </w:p>
    <w:p w14:paraId="3A494CF0">
      <w:pPr>
        <w:spacing w:after="200" w:line="400" w:lineRule="atLeast"/>
      </w:pPr>
      <w:r>
        <w:fldChar w:fldCharType="begin"/>
      </w:r>
      <w:r>
        <w:instrText xml:space="preserve"> HYPERLINK "https://www.stat.go.jp/english/data/handbook/pdf/2025half_2.pdf" \h </w:instrText>
      </w:r>
      <w:r>
        <w:fldChar w:fldCharType="separate"/>
      </w:r>
      <w:r>
        <w:rPr>
          <w:rStyle w:val="13"/>
          <w:color w:val="0563C1"/>
        </w:rPr>
        <w:t>[405,451,469,503]. Statistical Handbook of Japan 2025 by Statistics Bureau, Japan</w:t>
      </w:r>
      <w:r>
        <w:rPr>
          <w:rStyle w:val="13"/>
          <w:color w:val="0563C1"/>
        </w:rPr>
        <w:fldChar w:fldCharType="end"/>
      </w:r>
    </w:p>
    <w:p w14:paraId="5CA4DFD8">
      <w:pPr>
        <w:spacing w:after="200" w:line="400" w:lineRule="atLeast"/>
      </w:pPr>
      <w:r>
        <w:fldChar w:fldCharType="begin"/>
      </w:r>
      <w:r>
        <w:instrText xml:space="preserve"> HYPERLINK "https://www.statista.com/statistics/1254395/japan-average-monthly-consumption-expenditures-household-by-household-head-age/" \h </w:instrText>
      </w:r>
      <w:r>
        <w:fldChar w:fldCharType="separate"/>
      </w:r>
      <w:r>
        <w:rPr>
          <w:rStyle w:val="13"/>
          <w:color w:val="0563C1"/>
        </w:rPr>
        <w:t>[406]. Average monthly consumption expenditures per household in Japan from 2015 to 2023, by age group of household head (in 1,000 Japanese yen)</w:t>
      </w:r>
      <w:r>
        <w:rPr>
          <w:rStyle w:val="13"/>
          <w:color w:val="0563C1"/>
        </w:rPr>
        <w:fldChar w:fldCharType="end"/>
      </w:r>
    </w:p>
    <w:p w14:paraId="11F81B82">
      <w:pPr>
        <w:spacing w:after="200" w:line="400" w:lineRule="atLeast"/>
      </w:pPr>
      <w:r>
        <w:fldChar w:fldCharType="begin"/>
      </w:r>
      <w:r>
        <w:instrText xml:space="preserve"> HYPERLINK "https://www.statista.com/statistics/1227010/japan-domestic-final-household-consumption-expenditure/?srsltid=AfmBOorxsEAT5NRwfzoyM9DD-6Y05ZafJtTOOBLgiHvMC3Q_j6Vap2Xs" \h </w:instrText>
      </w:r>
      <w:r>
        <w:fldChar w:fldCharType="separate"/>
      </w:r>
      <w:r>
        <w:rPr>
          <w:rStyle w:val="13"/>
          <w:color w:val="0563C1"/>
        </w:rPr>
        <w:t>[407]. Domestic final household consumption expenditures on consumer goods and services in Japan from 2015 to 2024 (in trillion Japanese yen)</w:t>
      </w:r>
      <w:r>
        <w:rPr>
          <w:rStyle w:val="13"/>
          <w:color w:val="0563C1"/>
        </w:rPr>
        <w:fldChar w:fldCharType="end"/>
      </w:r>
    </w:p>
    <w:p w14:paraId="239219D4">
      <w:pPr>
        <w:spacing w:after="200" w:line="400" w:lineRule="atLeast"/>
      </w:pPr>
      <w:r>
        <w:fldChar w:fldCharType="begin"/>
      </w:r>
      <w:r>
        <w:instrText xml:space="preserve"> HYPERLINK "https://files.metaso.cn/api/public-file/preview?fileName=8688766578941112320.pdf" \h </w:instrText>
      </w:r>
      <w:r>
        <w:fldChar w:fldCharType="separate"/>
      </w:r>
      <w:r>
        <w:rPr>
          <w:rStyle w:val="13"/>
          <w:color w:val="0563C1"/>
        </w:rPr>
        <w:t>[408]. 家庭户二十年变迁</w:t>
      </w:r>
      <w:r>
        <w:rPr>
          <w:rStyle w:val="13"/>
          <w:color w:val="0563C1"/>
        </w:rPr>
        <w:fldChar w:fldCharType="end"/>
      </w:r>
    </w:p>
    <w:p w14:paraId="1EA1FDF6">
      <w:pPr>
        <w:spacing w:after="200" w:line="400" w:lineRule="atLeast"/>
      </w:pPr>
      <w:r>
        <w:fldChar w:fldCharType="begin"/>
      </w:r>
      <w:r>
        <w:instrText xml:space="preserve"> HYPERLINK "https://www.statista.com/statistics/1005512/yearly-average-of-monthly-household-eating-out-spending-japan/?srsltid=AfmBOoqv18XaZvV9T31L4QfUUY3nfNmOglVEUjQc_I9AW7hdiE_lPr9Z" \h </w:instrText>
      </w:r>
      <w:r>
        <w:fldChar w:fldCharType="separate"/>
      </w:r>
      <w:r>
        <w:rPr>
          <w:rStyle w:val="13"/>
          <w:color w:val="0563C1"/>
        </w:rPr>
        <w:t>[409]. Annual average of monthly expenditure of households on eating out in Japan from 2015 to 2024 (in 1,000 Japanese yen)</w:t>
      </w:r>
      <w:r>
        <w:rPr>
          <w:rStyle w:val="13"/>
          <w:color w:val="0563C1"/>
        </w:rPr>
        <w:fldChar w:fldCharType="end"/>
      </w:r>
    </w:p>
    <w:p w14:paraId="0C688688">
      <w:pPr>
        <w:spacing w:after="200" w:line="400" w:lineRule="atLeast"/>
      </w:pPr>
      <w:r>
        <w:fldChar w:fldCharType="begin"/>
      </w:r>
      <w:r>
        <w:instrText xml:space="preserve"> HYPERLINK "https://www.statista.com/statistics/1005518/yearly-average-of-monthly-household-housing-spending-japan/" \h </w:instrText>
      </w:r>
      <w:r>
        <w:fldChar w:fldCharType="separate"/>
      </w:r>
      <w:r>
        <w:rPr>
          <w:rStyle w:val="13"/>
          <w:color w:val="0563C1"/>
        </w:rPr>
        <w:t>[410,412]. Annual average of monthly expenditure of households on housing in Japan from 2014 to 2023 (in 1,000 Japanese yen)</w:t>
      </w:r>
      <w:r>
        <w:rPr>
          <w:rStyle w:val="13"/>
          <w:color w:val="0563C1"/>
        </w:rPr>
        <w:fldChar w:fldCharType="end"/>
      </w:r>
    </w:p>
    <w:p w14:paraId="2C652271">
      <w:pPr>
        <w:spacing w:after="200" w:line="400" w:lineRule="atLeast"/>
      </w:pPr>
      <w:r>
        <w:fldChar w:fldCharType="begin"/>
      </w:r>
      <w:r>
        <w:instrText xml:space="preserve"> HYPERLINK "https://www.pref.miyagi.jp/documents/40774/r3brand_strategy_seri_2.pdf" \h </w:instrText>
      </w:r>
      <w:r>
        <w:fldChar w:fldCharType="separate"/>
      </w:r>
      <w:r>
        <w:rPr>
          <w:rStyle w:val="13"/>
          <w:color w:val="0563C1"/>
        </w:rPr>
        <w:t>[411]. 4. 4P・4C分析 せり編</w:t>
      </w:r>
      <w:r>
        <w:rPr>
          <w:rStyle w:val="13"/>
          <w:color w:val="0563C1"/>
        </w:rPr>
        <w:fldChar w:fldCharType="end"/>
      </w:r>
    </w:p>
    <w:p w14:paraId="3F6BFE88">
      <w:pPr>
        <w:spacing w:after="200" w:line="400" w:lineRule="atLeast"/>
      </w:pPr>
      <w:r>
        <w:fldChar w:fldCharType="begin"/>
      </w:r>
      <w:r>
        <w:instrText xml:space="preserve"> HYPERLINK "https://www.astuteanalytica.com/industry-report/japan-smart-home-healthcare-market" \h </w:instrText>
      </w:r>
      <w:r>
        <w:fldChar w:fldCharType="separate"/>
      </w:r>
      <w:r>
        <w:rPr>
          <w:rStyle w:val="13"/>
          <w:color w:val="0563C1"/>
        </w:rPr>
        <w:t>[413,423,473,493]. User Satisfaction Soars as Smart Healthcare Devices Enhance Daily Life Quality</w:t>
      </w:r>
      <w:r>
        <w:rPr>
          <w:rStyle w:val="13"/>
          <w:color w:val="0563C1"/>
        </w:rPr>
        <w:fldChar w:fldCharType="end"/>
      </w:r>
    </w:p>
    <w:p w14:paraId="3CD08279">
      <w:pPr>
        <w:spacing w:after="200" w:line="400" w:lineRule="atLeast"/>
      </w:pPr>
      <w:r>
        <w:fldChar w:fldCharType="begin"/>
      </w:r>
      <w:r>
        <w:instrText xml:space="preserve"> HYPERLINK "https://36kr.com/p/1723152433153" \h </w:instrText>
      </w:r>
      <w:r>
        <w:fldChar w:fldCharType="separate"/>
      </w:r>
      <w:r>
        <w:rPr>
          <w:rStyle w:val="13"/>
          <w:color w:val="0563C1"/>
        </w:rPr>
        <w:t>[414,417]. 万物皆可IoT：日本养老启示录</w:t>
      </w:r>
      <w:r>
        <w:rPr>
          <w:rStyle w:val="13"/>
          <w:color w:val="0563C1"/>
        </w:rPr>
        <w:fldChar w:fldCharType="end"/>
      </w:r>
    </w:p>
    <w:p w14:paraId="2CEC31CF">
      <w:pPr>
        <w:spacing w:after="200" w:line="400" w:lineRule="atLeast"/>
      </w:pPr>
      <w:r>
        <w:fldChar w:fldCharType="begin"/>
      </w:r>
      <w:r>
        <w:instrText xml:space="preserve"> HYPERLINK "https://www.atlantis-press.com/article/126013593.pdf" \h </w:instrText>
      </w:r>
      <w:r>
        <w:fldChar w:fldCharType="separate"/>
      </w:r>
      <w:r>
        <w:rPr>
          <w:rStyle w:val="13"/>
          <w:color w:val="0563C1"/>
        </w:rPr>
        <w:t>[415,418,459]. Enlightenment of Japan’s Community-based Integrated Care Systems on Meizhou</w:t>
      </w:r>
      <w:r>
        <w:rPr>
          <w:rStyle w:val="13"/>
          <w:color w:val="0563C1"/>
        </w:rPr>
        <w:fldChar w:fldCharType="end"/>
      </w:r>
    </w:p>
    <w:p w14:paraId="00447AF9">
      <w:pPr>
        <w:spacing w:after="200" w:line="400" w:lineRule="atLeast"/>
      </w:pPr>
      <w:r>
        <w:fldChar w:fldCharType="begin"/>
      </w:r>
      <w:r>
        <w:instrText xml:space="preserve"> HYPERLINK "https://www.futuremarketinsights.com/reports/japan-homecare-medical-devices-market" \h </w:instrText>
      </w:r>
      <w:r>
        <w:fldChar w:fldCharType="separate"/>
      </w:r>
      <w:r>
        <w:rPr>
          <w:rStyle w:val="13"/>
          <w:color w:val="0563C1"/>
        </w:rPr>
        <w:t>[416,422]. Demand for Homecare Medical Devices in Japan</w:t>
      </w:r>
      <w:r>
        <w:rPr>
          <w:rStyle w:val="13"/>
          <w:color w:val="0563C1"/>
        </w:rPr>
        <w:fldChar w:fldCharType="end"/>
      </w:r>
    </w:p>
    <w:p w14:paraId="319C720A">
      <w:pPr>
        <w:spacing w:after="200" w:line="400" w:lineRule="atLeast"/>
      </w:pPr>
      <w:r>
        <w:fldChar w:fldCharType="begin"/>
      </w:r>
      <w:r>
        <w:instrText xml:space="preserve"> HYPERLINK "https://www.globenewswire.com/news-release/2025/07/16/3116524/0/en/Japan-Smart-Home-Healthcare-Market-to-Worth-Over-US-9622-53-Million-By-2033-Astute-Analytica.html" \h </w:instrText>
      </w:r>
      <w:r>
        <w:fldChar w:fldCharType="separate"/>
      </w:r>
      <w:r>
        <w:rPr>
          <w:rStyle w:val="13"/>
          <w:color w:val="0563C1"/>
        </w:rPr>
        <w:t>[419,494]. Japan Smart Home Healthcare Market</w:t>
      </w:r>
      <w:r>
        <w:rPr>
          <w:rStyle w:val="13"/>
          <w:color w:val="0563C1"/>
        </w:rPr>
        <w:fldChar w:fldCharType="end"/>
      </w:r>
    </w:p>
    <w:p w14:paraId="1AF4B526">
      <w:pPr>
        <w:spacing w:after="200" w:line="400" w:lineRule="atLeast"/>
      </w:pPr>
      <w:r>
        <w:fldChar w:fldCharType="begin"/>
      </w:r>
      <w:r>
        <w:instrText xml:space="preserve"> HYPERLINK "https://www.globenewswire.com/news-release/2025/10/03/3161036/0/en/Smart-Home-Healthcare-Market-Size-Worth-USD-284-86-Billion-by-2034-Growth-Fueled-by-Rising-Demand-for-Remote-Patient-Monitoring.html" \h </w:instrText>
      </w:r>
      <w:r>
        <w:fldChar w:fldCharType="separate"/>
      </w:r>
      <w:r>
        <w:rPr>
          <w:rStyle w:val="13"/>
          <w:color w:val="0563C1"/>
        </w:rPr>
        <w:t>[424,425]. Smart Home Healthcare Market Report</w:t>
      </w:r>
      <w:r>
        <w:rPr>
          <w:rStyle w:val="13"/>
          <w:color w:val="0563C1"/>
        </w:rPr>
        <w:fldChar w:fldCharType="end"/>
      </w:r>
    </w:p>
    <w:p w14:paraId="699D9650">
      <w:pPr>
        <w:spacing w:after="400" w:line="400" w:lineRule="atLeast"/>
      </w:pPr>
      <w:r>
        <w:rPr>
          <w:i/>
        </w:rPr>
        <w:t>以下来源未被直接引用</w:t>
      </w:r>
    </w:p>
    <w:p w14:paraId="36F2BD54">
      <w:pPr>
        <w:spacing w:after="200" w:line="400" w:lineRule="atLeast"/>
      </w:pPr>
      <w:r>
        <w:fldChar w:fldCharType="begin"/>
      </w:r>
      <w:r>
        <w:instrText xml:space="preserve"> HYPERLINK "https://earth.org/understanding-japans-demographic-crisis-an-alternative-perspective-on-population-decline/#%3A~%3Atext%3DJapan%20holds%20the%20world%27s%20second%2Cold%20%2819.37%20million%20people%29%3B" \h </w:instrText>
      </w:r>
      <w:r>
        <w:fldChar w:fldCharType="separate"/>
      </w:r>
      <w:r>
        <w:rPr>
          <w:rStyle w:val="13"/>
          <w:color w:val="0563C1"/>
        </w:rPr>
        <w:t>Japan’s Demographic Situation</w:t>
      </w:r>
      <w:r>
        <w:rPr>
          <w:rStyle w:val="13"/>
          <w:color w:val="0563C1"/>
        </w:rPr>
        <w:fldChar w:fldCharType="end"/>
      </w:r>
    </w:p>
    <w:p w14:paraId="0771DB90">
      <w:pPr>
        <w:spacing w:after="200" w:line="400" w:lineRule="atLeast"/>
      </w:pPr>
      <w:r>
        <w:fldChar w:fldCharType="begin"/>
      </w:r>
      <w:r>
        <w:instrText xml:space="preserve"> HYPERLINK "https://www.city.anjo.aichi.jp/kurasu/fukushikaigo/kaigo/documents/anjoyplan9honpen.pdf" \h </w:instrText>
      </w:r>
      <w:r>
        <w:fldChar w:fldCharType="separate"/>
      </w:r>
      <w:r>
        <w:rPr>
          <w:rStyle w:val="13"/>
          <w:color w:val="0563C1"/>
        </w:rPr>
        <w:t>あんジョイプラン9</w:t>
      </w:r>
      <w:r>
        <w:rPr>
          <w:rStyle w:val="13"/>
          <w:color w:val="0563C1"/>
        </w:rPr>
        <w:fldChar w:fldCharType="end"/>
      </w:r>
    </w:p>
    <w:p w14:paraId="2A62E5BA">
      <w:pPr>
        <w:spacing w:after="200" w:line="400" w:lineRule="atLeast"/>
      </w:pPr>
      <w:r>
        <w:fldChar w:fldCharType="begin"/>
      </w:r>
      <w:r>
        <w:instrText xml:space="preserve"> HYPERLINK "https://seer.cancer.gov/help/seerstat/survival-session/survival-statistic-tab/age-standardize" \h </w:instrText>
      </w:r>
      <w:r>
        <w:fldChar w:fldCharType="separate"/>
      </w:r>
      <w:r>
        <w:rPr>
          <w:rStyle w:val="13"/>
          <w:color w:val="0563C1"/>
        </w:rPr>
        <w:t>Age Standardize</w:t>
      </w:r>
      <w:r>
        <w:rPr>
          <w:rStyle w:val="13"/>
          <w:color w:val="0563C1"/>
        </w:rPr>
        <w:fldChar w:fldCharType="end"/>
      </w:r>
    </w:p>
    <w:p w14:paraId="0956F051">
      <w:pPr>
        <w:spacing w:after="200" w:line="400" w:lineRule="atLeast"/>
      </w:pPr>
      <w:r>
        <w:fldChar w:fldCharType="begin"/>
      </w:r>
      <w:r>
        <w:instrText xml:space="preserve"> HYPERLINK "https://www.city.osaka.lg.jp/fukushi/cmsfiles/contents/0000211/211772/20240325_shiryou3-1.pdf" \h </w:instrText>
      </w:r>
      <w:r>
        <w:fldChar w:fldCharType="separate"/>
      </w:r>
      <w:r>
        <w:rPr>
          <w:rStyle w:val="13"/>
          <w:color w:val="0563C1"/>
        </w:rPr>
        <w:t>大阪市高齢者保健福祉計画・介護保険事業計画（案）2024（令和6）年度～2026（令和8）年度</w:t>
      </w:r>
      <w:r>
        <w:rPr>
          <w:rStyle w:val="13"/>
          <w:color w:val="0563C1"/>
        </w:rPr>
        <w:fldChar w:fldCharType="end"/>
      </w:r>
    </w:p>
    <w:p w14:paraId="124C7574">
      <w:pPr>
        <w:spacing w:after="200" w:line="400" w:lineRule="atLeast"/>
      </w:pPr>
      <w:r>
        <w:fldChar w:fldCharType="begin"/>
      </w:r>
      <w:r>
        <w:instrText xml:space="preserve"> HYPERLINK "https://www.city.kawasaki.jp/980/cmsfiles/contents/0000151/151285/R051116_1(2)-10.pdf" \h </w:instrText>
      </w:r>
      <w:r>
        <w:fldChar w:fldCharType="separate"/>
      </w:r>
      <w:r>
        <w:rPr>
          <w:rStyle w:val="13"/>
          <w:color w:val="0563C1"/>
        </w:rPr>
        <w:t>第7期麻生区地域福祉計画（案） 令和6（2024）年度～令和8（2026）年度</w:t>
      </w:r>
      <w:r>
        <w:rPr>
          <w:rStyle w:val="13"/>
          <w:color w:val="0563C1"/>
        </w:rPr>
        <w:fldChar w:fldCharType="end"/>
      </w:r>
    </w:p>
    <w:p w14:paraId="435D59C5">
      <w:pPr>
        <w:spacing w:after="200" w:line="400" w:lineRule="atLeast"/>
      </w:pPr>
      <w:r>
        <w:fldChar w:fldCharType="begin"/>
      </w:r>
      <w:r>
        <w:instrText xml:space="preserve"> HYPERLINK "https://kaigo-hoken-asset.hokenja-sheet.jp/pdf/9/30000.pdf" \h </w:instrText>
      </w:r>
      <w:r>
        <w:fldChar w:fldCharType="separate"/>
      </w:r>
      <w:r>
        <w:rPr>
          <w:rStyle w:val="13"/>
          <w:color w:val="0563C1"/>
        </w:rPr>
        <w:t>わかやま長寿プラン2024</w:t>
      </w:r>
      <w:r>
        <w:rPr>
          <w:rStyle w:val="13"/>
          <w:color w:val="0563C1"/>
        </w:rPr>
        <w:fldChar w:fldCharType="end"/>
      </w:r>
    </w:p>
    <w:p w14:paraId="156D2154">
      <w:pPr>
        <w:spacing w:after="200" w:line="400" w:lineRule="atLeast"/>
      </w:pPr>
      <w:r>
        <w:fldChar w:fldCharType="begin"/>
      </w:r>
      <w:r>
        <w:instrText xml:space="preserve"> HYPERLINK "https://www.stat.go.jp/english/data/handbook/pdf/2025all.pdf" \h </w:instrText>
      </w:r>
      <w:r>
        <w:fldChar w:fldCharType="separate"/>
      </w:r>
      <w:r>
        <w:rPr>
          <w:rStyle w:val="13"/>
          <w:color w:val="0563C1"/>
        </w:rPr>
        <w:t>STATISTICAL HANDBOOK OF JAPAN 2025</w:t>
      </w:r>
      <w:r>
        <w:rPr>
          <w:rStyle w:val="13"/>
          <w:color w:val="0563C1"/>
        </w:rPr>
        <w:fldChar w:fldCharType="end"/>
      </w:r>
    </w:p>
    <w:p w14:paraId="24E71D05">
      <w:pPr>
        <w:spacing w:after="200" w:line="400" w:lineRule="atLeast"/>
      </w:pPr>
      <w:r>
        <w:fldChar w:fldCharType="begin"/>
      </w:r>
      <w:r>
        <w:instrText xml:space="preserve"> HYPERLINK "https://www.city.setagaya.lg.jp/documents/5388/17sougo.pdf" \h </w:instrText>
      </w:r>
      <w:r>
        <w:fldChar w:fldCharType="separate"/>
      </w:r>
      <w:r>
        <w:rPr>
          <w:rStyle w:val="13"/>
          <w:color w:val="0563C1"/>
        </w:rPr>
        <w:t>統計書</w:t>
      </w:r>
      <w:r>
        <w:rPr>
          <w:rStyle w:val="13"/>
          <w:color w:val="0563C1"/>
        </w:rPr>
        <w:fldChar w:fldCharType="end"/>
      </w:r>
    </w:p>
    <w:p w14:paraId="3B9500DD">
      <w:pPr>
        <w:spacing w:after="200" w:line="400" w:lineRule="atLeast"/>
      </w:pPr>
      <w:r>
        <w:fldChar w:fldCharType="begin"/>
      </w:r>
      <w:r>
        <w:instrText xml:space="preserve"> HYPERLINK "https://files.metaso.cn/api/public-file/preview?fileName=8689524219604164609.pdf" \h </w:instrText>
      </w:r>
      <w:r>
        <w:fldChar w:fldCharType="separate"/>
      </w:r>
      <w:r>
        <w:rPr>
          <w:rStyle w:val="13"/>
          <w:color w:val="0563C1"/>
        </w:rPr>
        <w:t>Takaichi administration's stance on 'wise spending' to be tested</w:t>
      </w:r>
      <w:r>
        <w:rPr>
          <w:rStyle w:val="13"/>
          <w:color w:val="0563C1"/>
        </w:rPr>
        <w:fldChar w:fldCharType="end"/>
      </w:r>
    </w:p>
    <w:p w14:paraId="6276C57D">
      <w:pPr>
        <w:spacing w:after="200" w:line="400" w:lineRule="atLeast"/>
      </w:pPr>
      <w:r>
        <w:fldChar w:fldCharType="begin"/>
      </w:r>
      <w:r>
        <w:instrText xml:space="preserve"> HYPERLINK "https://doi.nrct.go.th/ListDoi/Download/668058?Resolve_DOI=10.14456/tureview.2025.9" \h </w:instrText>
      </w:r>
      <w:r>
        <w:fldChar w:fldCharType="separate"/>
      </w:r>
      <w:r>
        <w:rPr>
          <w:rStyle w:val="13"/>
          <w:color w:val="0563C1"/>
        </w:rPr>
        <w:t>Comparative Analysis of Population Aging and Socio-economic Implications in Thailand and Japan</w:t>
      </w:r>
      <w:r>
        <w:rPr>
          <w:rStyle w:val="13"/>
          <w:color w:val="0563C1"/>
        </w:rPr>
        <w:fldChar w:fldCharType="end"/>
      </w:r>
    </w:p>
    <w:p w14:paraId="76D461F0">
      <w:pPr>
        <w:spacing w:after="200" w:line="400" w:lineRule="atLeast"/>
      </w:pPr>
      <w:r>
        <w:fldChar w:fldCharType="begin"/>
      </w:r>
      <w:r>
        <w:instrText xml:space="preserve"> HYPERLINK "https://catalog.lib.kyushu-u.ac.jp/opac_download_md/1546596/p103.pdf" \h </w:instrText>
      </w:r>
      <w:r>
        <w:fldChar w:fldCharType="separate"/>
      </w:r>
      <w:r>
        <w:rPr>
          <w:rStyle w:val="13"/>
          <w:color w:val="0563C1"/>
        </w:rPr>
        <w:t>Social Policy and Services for the Elderly in Japan : The Need to Build Social Capital Intervention Strategies</w:t>
      </w:r>
      <w:r>
        <w:rPr>
          <w:rStyle w:val="13"/>
          <w:color w:val="0563C1"/>
        </w:rPr>
        <w:fldChar w:fldCharType="end"/>
      </w:r>
    </w:p>
    <w:p w14:paraId="1461D164">
      <w:pPr>
        <w:spacing w:after="200" w:line="400" w:lineRule="atLeast"/>
      </w:pPr>
      <w:r>
        <w:fldChar w:fldCharType="begin"/>
      </w:r>
      <w:r>
        <w:instrText xml:space="preserve"> HYPERLINK "https://www.irdes.fr/documentation/syntheses/l-acces-aux-soins-et-a-la-prevention-des-personnes-en-situation-de-handicap.pdf" \h </w:instrText>
      </w:r>
      <w:r>
        <w:fldChar w:fldCharType="separate"/>
      </w:r>
      <w:r>
        <w:rPr>
          <w:rStyle w:val="13"/>
          <w:color w:val="0563C1"/>
        </w:rPr>
        <w:t>L'accès aux soins et à la prévention des personnes en situation de handicap</w:t>
      </w:r>
      <w:r>
        <w:rPr>
          <w:rStyle w:val="13"/>
          <w:color w:val="0563C1"/>
        </w:rPr>
        <w:fldChar w:fldCharType="end"/>
      </w:r>
    </w:p>
    <w:p w14:paraId="17123B25">
      <w:pPr>
        <w:spacing w:after="200" w:line="400" w:lineRule="atLeast"/>
      </w:pPr>
      <w:r>
        <w:fldChar w:fldCharType="begin"/>
      </w:r>
      <w:r>
        <w:instrText xml:space="preserve"> HYPERLINK "https://www.lib.tottori-u.ac.jp/yam/yam/yam55-2/55_021-028.pdf" \h </w:instrText>
      </w:r>
      <w:r>
        <w:fldChar w:fldCharType="separate"/>
      </w:r>
      <w:r>
        <w:rPr>
          <w:rStyle w:val="13"/>
          <w:color w:val="0563C1"/>
        </w:rPr>
        <w:t>Fragility Fracture Prevention: Review from a Japanese Perspective</w:t>
      </w:r>
      <w:r>
        <w:rPr>
          <w:rStyle w:val="13"/>
          <w:color w:val="0563C1"/>
        </w:rPr>
        <w:fldChar w:fldCharType="end"/>
      </w:r>
    </w:p>
    <w:p w14:paraId="0C7129A8">
      <w:pPr>
        <w:spacing w:after="200" w:line="400" w:lineRule="atLeast"/>
      </w:pPr>
      <w:r>
        <w:fldChar w:fldCharType="begin"/>
      </w:r>
      <w:r>
        <w:instrText xml:space="preserve"> HYPERLINK "https://jos.hueuni.edu.vn/index.php/hujos-ssh/article/download/6756/1773" \h </w:instrText>
      </w:r>
      <w:r>
        <w:fldChar w:fldCharType="separate"/>
      </w:r>
      <w:r>
        <w:rPr>
          <w:rStyle w:val="13"/>
          <w:color w:val="0563C1"/>
        </w:rPr>
        <w:t>COMMUNITY-BASED INTEGRATED CARE SYSTEM FOR THE ELDERLY IN JAPAN AND IMPLICATIONS FOR VIETNAM</w:t>
      </w:r>
      <w:r>
        <w:rPr>
          <w:rStyle w:val="13"/>
          <w:color w:val="0563C1"/>
        </w:rPr>
        <w:fldChar w:fldCharType="end"/>
      </w:r>
    </w:p>
    <w:p w14:paraId="7B8CCA2F">
      <w:pPr>
        <w:spacing w:after="200" w:line="400" w:lineRule="atLeast"/>
      </w:pPr>
      <w:r>
        <w:fldChar w:fldCharType="begin"/>
      </w:r>
      <w:r>
        <w:instrText xml:space="preserve"> HYPERLINK "https://mhlw-grants.niph.go.jp/system/files/2001/000158/200100028A/200100028A0001.pdf" \h </w:instrText>
      </w:r>
      <w:r>
        <w:fldChar w:fldCharType="separate"/>
      </w:r>
      <w:r>
        <w:rPr>
          <w:rStyle w:val="13"/>
          <w:color w:val="0563C1"/>
        </w:rPr>
        <w:t>社会経済変化に対応する公的年金制度のあり方に関する実証研究</w:t>
      </w:r>
      <w:r>
        <w:rPr>
          <w:rStyle w:val="13"/>
          <w:color w:val="0563C1"/>
        </w:rPr>
        <w:fldChar w:fldCharType="end"/>
      </w:r>
    </w:p>
    <w:p w14:paraId="1E17263B">
      <w:pPr>
        <w:spacing w:after="200" w:line="400" w:lineRule="atLeast"/>
      </w:pPr>
      <w:r>
        <w:fldChar w:fldCharType="begin"/>
      </w:r>
      <w:r>
        <w:instrText xml:space="preserve"> HYPERLINK "https://files.metaso.cn/api/public-file/preview?fileName=8691266093692510208.pdf" \h </w:instrText>
      </w:r>
      <w:r>
        <w:fldChar w:fldCharType="separate"/>
      </w:r>
      <w:r>
        <w:rPr>
          <w:rStyle w:val="13"/>
          <w:color w:val="0563C1"/>
        </w:rPr>
        <w:t>2026年全球宏观展望</w:t>
      </w:r>
      <w:r>
        <w:rPr>
          <w:rStyle w:val="13"/>
          <w:color w:val="0563C1"/>
        </w:rPr>
        <w:fldChar w:fldCharType="end"/>
      </w:r>
    </w:p>
    <w:p w14:paraId="7E8DC5D4">
      <w:pPr>
        <w:spacing w:after="200" w:line="400" w:lineRule="atLeast"/>
      </w:pPr>
      <w:r>
        <w:fldChar w:fldCharType="begin"/>
      </w:r>
      <w:r>
        <w:instrText xml:space="preserve"> HYPERLINK "https://repository.dl.itc.u-tokyo.ac.jp/record/8554/files/A31916.pdf" \h </w:instrText>
      </w:r>
      <w:r>
        <w:fldChar w:fldCharType="separate"/>
      </w:r>
      <w:r>
        <w:rPr>
          <w:rStyle w:val="13"/>
          <w:color w:val="0563C1"/>
        </w:rPr>
        <w:t>Sustainability of Rural Areas in the Era of Aging Societies (高齢社会における農村地域のサステイナビリティ)</w:t>
      </w:r>
      <w:r>
        <w:rPr>
          <w:rStyle w:val="13"/>
          <w:color w:val="0563C1"/>
        </w:rPr>
        <w:fldChar w:fldCharType="end"/>
      </w:r>
    </w:p>
    <w:p w14:paraId="2B890656">
      <w:pPr>
        <w:spacing w:after="200" w:line="400" w:lineRule="atLeast"/>
      </w:pPr>
      <w:r>
        <w:fldChar w:fldCharType="begin"/>
      </w:r>
      <w:r>
        <w:instrText xml:space="preserve"> HYPERLINK "https://files.metaso.cn/api/public-file/preview?fileName=8672153863517184000.pdf" \h </w:instrText>
      </w:r>
      <w:r>
        <w:fldChar w:fldCharType="separate"/>
      </w:r>
      <w:r>
        <w:rPr>
          <w:rStyle w:val="13"/>
          <w:color w:val="0563C1"/>
        </w:rPr>
        <w:t>[250806] Japan is (Literally) Dying Out.md</w:t>
      </w:r>
      <w:r>
        <w:rPr>
          <w:rStyle w:val="13"/>
          <w:color w:val="0563C1"/>
        </w:rPr>
        <w:fldChar w:fldCharType="end"/>
      </w:r>
    </w:p>
    <w:p w14:paraId="25B6E08E">
      <w:pPr>
        <w:spacing w:after="200" w:line="400" w:lineRule="atLeast"/>
      </w:pPr>
      <w:r>
        <w:fldChar w:fldCharType="begin"/>
      </w:r>
      <w:r>
        <w:instrText xml:space="preserve"> HYPERLINK "https://ies.keio.ac.jp/upload/DP2024-027_EN.pdf" \h </w:instrText>
      </w:r>
      <w:r>
        <w:fldChar w:fldCharType="separate"/>
      </w:r>
      <w:r>
        <w:rPr>
          <w:rStyle w:val="13"/>
          <w:color w:val="0563C1"/>
        </w:rPr>
        <w:t>An Econometric Analysis of Non-enrollment in the National Pension by Foreign Residents in Japan</w:t>
      </w:r>
      <w:r>
        <w:rPr>
          <w:rStyle w:val="13"/>
          <w:color w:val="0563C1"/>
        </w:rPr>
        <w:fldChar w:fldCharType="end"/>
      </w:r>
    </w:p>
    <w:p w14:paraId="556D4D6D">
      <w:pPr>
        <w:spacing w:after="200" w:line="400" w:lineRule="atLeast"/>
      </w:pPr>
      <w:r>
        <w:fldChar w:fldCharType="begin"/>
      </w:r>
      <w:r>
        <w:instrText xml:space="preserve"> HYPERLINK "https://files.metaso.cn/api/public-file/preview?fileName=8682616343336595456.pdf" \h </w:instrText>
      </w:r>
      <w:r>
        <w:fldChar w:fldCharType="separate"/>
      </w:r>
      <w:r>
        <w:rPr>
          <w:rStyle w:val="13"/>
          <w:color w:val="0563C1"/>
        </w:rPr>
        <w:t>东洋奇迹——日本经济奥秘剖析</w:t>
      </w:r>
      <w:r>
        <w:rPr>
          <w:rStyle w:val="13"/>
          <w:color w:val="0563C1"/>
        </w:rPr>
        <w:fldChar w:fldCharType="end"/>
      </w:r>
    </w:p>
    <w:p w14:paraId="0615F7F1">
      <w:pPr>
        <w:spacing w:after="200" w:line="400" w:lineRule="atLeast"/>
      </w:pPr>
      <w:r>
        <w:fldChar w:fldCharType="begin"/>
      </w:r>
      <w:r>
        <w:instrText xml:space="preserve"> HYPERLINK "https://www.koujukyo.com/uploads/info/273.pdf" \h </w:instrText>
      </w:r>
      <w:r>
        <w:fldChar w:fldCharType="separate"/>
      </w:r>
      <w:r>
        <w:rPr>
          <w:rStyle w:val="13"/>
          <w:color w:val="0563C1"/>
        </w:rPr>
        <w:t>サービス付き高齢者向け住宅 今後の施策</w:t>
      </w:r>
      <w:r>
        <w:rPr>
          <w:rStyle w:val="13"/>
          <w:color w:val="0563C1"/>
        </w:rPr>
        <w:fldChar w:fldCharType="end"/>
      </w:r>
    </w:p>
    <w:p w14:paraId="5E58ED46">
      <w:pPr>
        <w:spacing w:after="200" w:line="400" w:lineRule="atLeast"/>
      </w:pPr>
      <w:r>
        <w:fldChar w:fldCharType="begin"/>
      </w:r>
      <w:r>
        <w:instrText xml:space="preserve"> HYPERLINK "https://files.metaso.cn/api/public-file/preview?fileName=8676803559706611712.pdf" \h </w:instrText>
      </w:r>
      <w:r>
        <w:fldChar w:fldCharType="separate"/>
      </w:r>
      <w:r>
        <w:rPr>
          <w:rStyle w:val="13"/>
          <w:color w:val="0563C1"/>
        </w:rPr>
        <w:t>失去的三十年：平成日本经济史</w:t>
      </w:r>
      <w:r>
        <w:rPr>
          <w:rStyle w:val="13"/>
          <w:color w:val="0563C1"/>
        </w:rPr>
        <w:fldChar w:fldCharType="end"/>
      </w:r>
    </w:p>
    <w:p w14:paraId="1535E62D">
      <w:pPr>
        <w:spacing w:after="200" w:line="400" w:lineRule="atLeast"/>
      </w:pPr>
      <w:r>
        <w:fldChar w:fldCharType="begin"/>
      </w:r>
      <w:r>
        <w:instrText xml:space="preserve"> HYPERLINK "https://www.pref.yamaguchi.lg.jp/uploaded/attachment/133115.pdf" \h </w:instrText>
      </w:r>
      <w:r>
        <w:fldChar w:fldCharType="separate"/>
      </w:r>
      <w:r>
        <w:rPr>
          <w:rStyle w:val="13"/>
          <w:color w:val="0563C1"/>
        </w:rPr>
        <w:t>具体的な医療機能等について</w:t>
      </w:r>
      <w:r>
        <w:rPr>
          <w:rStyle w:val="13"/>
          <w:color w:val="0563C1"/>
        </w:rPr>
        <w:fldChar w:fldCharType="end"/>
      </w:r>
    </w:p>
    <w:p w14:paraId="7C58CA88">
      <w:pPr>
        <w:spacing w:after="200" w:line="400" w:lineRule="atLeast"/>
      </w:pPr>
      <w:r>
        <w:fldChar w:fldCharType="begin"/>
      </w:r>
      <w:r>
        <w:instrText xml:space="preserve"> HYPERLINK "https://www.soumu.go.jp/main_content/000658548.pdf" \h </w:instrText>
      </w:r>
      <w:r>
        <w:fldChar w:fldCharType="separate"/>
      </w:r>
      <w:r>
        <w:rPr>
          <w:rStyle w:val="13"/>
          <w:color w:val="0563C1"/>
        </w:rPr>
        <w:t>社会保障を支える地方財政制度</w:t>
      </w:r>
      <w:r>
        <w:rPr>
          <w:rStyle w:val="13"/>
          <w:color w:val="0563C1"/>
        </w:rPr>
        <w:fldChar w:fldCharType="end"/>
      </w:r>
    </w:p>
    <w:p w14:paraId="27FEB2E1">
      <w:pPr>
        <w:spacing w:after="200" w:line="400" w:lineRule="atLeast"/>
      </w:pPr>
      <w:r>
        <w:fldChar w:fldCharType="begin"/>
      </w:r>
      <w:r>
        <w:instrText xml:space="preserve"> HYPERLINK "https://www.ipss.go.jp/pp-ajsetai/j/HPRJ2024/hprj2024_gaiyo_20240412.pdf" \h </w:instrText>
      </w:r>
      <w:r>
        <w:fldChar w:fldCharType="separate"/>
      </w:r>
      <w:r>
        <w:rPr>
          <w:rStyle w:val="13"/>
          <w:color w:val="0563C1"/>
        </w:rPr>
        <w:t>日本の世帯数の将来推計(全国推計)（令和6(2024)年推計）</w:t>
      </w:r>
      <w:r>
        <w:rPr>
          <w:rStyle w:val="13"/>
          <w:color w:val="0563C1"/>
        </w:rPr>
        <w:fldChar w:fldCharType="end"/>
      </w:r>
    </w:p>
    <w:p w14:paraId="6AE6078C">
      <w:pPr>
        <w:spacing w:after="200" w:line="400" w:lineRule="atLeast"/>
      </w:pPr>
      <w:r>
        <w:fldChar w:fldCharType="begin"/>
      </w:r>
      <w:r>
        <w:instrText xml:space="preserve"> HYPERLINK "https://www.soumu.go.jp/main_content/000632218.pdf" \h </w:instrText>
      </w:r>
      <w:r>
        <w:fldChar w:fldCharType="separate"/>
      </w:r>
      <w:r>
        <w:rPr>
          <w:rStyle w:val="13"/>
          <w:color w:val="0563C1"/>
        </w:rPr>
        <w:t>参考資料集（「第1 2040年頃にかけて顕在化する変化・課題」関係）</w:t>
      </w:r>
      <w:r>
        <w:rPr>
          <w:rStyle w:val="13"/>
          <w:color w:val="0563C1"/>
        </w:rPr>
        <w:fldChar w:fldCharType="end"/>
      </w:r>
    </w:p>
    <w:p w14:paraId="491AC1E1">
      <w:pPr>
        <w:spacing w:after="200" w:line="400" w:lineRule="atLeast"/>
      </w:pPr>
      <w:r>
        <w:fldChar w:fldCharType="begin"/>
      </w:r>
      <w:r>
        <w:instrText xml:space="preserve"> HYPERLINK "https://habitat3.org/wp-content/uploads/Habitat-III-National-Report-Japan-final.pdf" \h </w:instrText>
      </w:r>
      <w:r>
        <w:fldChar w:fldCharType="separate"/>
      </w:r>
      <w:r>
        <w:rPr>
          <w:rStyle w:val="13"/>
          <w:color w:val="0563C1"/>
        </w:rPr>
        <w:t>National Report of Japan</w:t>
      </w:r>
      <w:r>
        <w:rPr>
          <w:rStyle w:val="13"/>
          <w:color w:val="0563C1"/>
        </w:rPr>
        <w:fldChar w:fldCharType="end"/>
      </w:r>
    </w:p>
    <w:p w14:paraId="50178EB3">
      <w:pPr>
        <w:spacing w:after="200" w:line="400" w:lineRule="atLeast"/>
      </w:pPr>
      <w:r>
        <w:fldChar w:fldCharType="begin"/>
      </w:r>
      <w:r>
        <w:instrText xml:space="preserve"> HYPERLINK "https://files.metaso.cn/api/public-file/preview?fileName=8677257040419405824.pdf" \h </w:instrText>
      </w:r>
      <w:r>
        <w:fldChar w:fldCharType="separate"/>
      </w:r>
      <w:r>
        <w:rPr>
          <w:rStyle w:val="13"/>
          <w:color w:val="0563C1"/>
        </w:rPr>
        <w:t>孤独消费论</w:t>
      </w:r>
      <w:r>
        <w:rPr>
          <w:rStyle w:val="13"/>
          <w:color w:val="0563C1"/>
        </w:rPr>
        <w:fldChar w:fldCharType="end"/>
      </w:r>
    </w:p>
    <w:p w14:paraId="6009AD98">
      <w:pPr>
        <w:spacing w:after="200" w:line="400" w:lineRule="atLeast"/>
      </w:pPr>
      <w:r>
        <w:fldChar w:fldCharType="begin"/>
      </w:r>
      <w:r>
        <w:instrText xml:space="preserve"> HYPERLINK "https://www.imarcgroup.com/japan-functional-food-for-elderly-market" \h </w:instrText>
      </w:r>
      <w:r>
        <w:fldChar w:fldCharType="separate"/>
      </w:r>
      <w:r>
        <w:rPr>
          <w:rStyle w:val="13"/>
          <w:color w:val="0563C1"/>
        </w:rPr>
        <w:t>Japan Functional Food for Elderly Market Size</w:t>
      </w:r>
      <w:r>
        <w:rPr>
          <w:rStyle w:val="13"/>
          <w:color w:val="0563C1"/>
        </w:rPr>
        <w:fldChar w:fldCharType="end"/>
      </w:r>
    </w:p>
    <w:p w14:paraId="002658E8">
      <w:pPr>
        <w:spacing w:after="200" w:line="400" w:lineRule="atLeast"/>
      </w:pPr>
      <w:r>
        <w:fldChar w:fldCharType="begin"/>
      </w:r>
      <w:r>
        <w:instrText xml:space="preserve"> HYPERLINK "https://files.metaso.cn/api/public-file/preview?fileName=8689536902510338048.pdf" \h </w:instrText>
      </w:r>
      <w:r>
        <w:fldChar w:fldCharType="separate"/>
      </w:r>
      <w:r>
        <w:rPr>
          <w:rStyle w:val="13"/>
          <w:color w:val="0563C1"/>
        </w:rPr>
        <w:t>Japan Economic Outlook 2025-2028: Can PM Takaichi Convince Markets?</w:t>
      </w:r>
      <w:r>
        <w:rPr>
          <w:rStyle w:val="13"/>
          <w:color w:val="0563C1"/>
        </w:rPr>
        <w:fldChar w:fldCharType="end"/>
      </w:r>
    </w:p>
    <w:p w14:paraId="2FDCB0A7">
      <w:pPr>
        <w:spacing w:after="200" w:line="400" w:lineRule="atLeast"/>
      </w:pPr>
      <w:r>
        <w:fldChar w:fldCharType="begin"/>
      </w:r>
      <w:r>
        <w:instrText xml:space="preserve"> HYPERLINK "https://www.mordorintelligence.com/industry-reports/japan-furniture-market" \h </w:instrText>
      </w:r>
      <w:r>
        <w:fldChar w:fldCharType="separate"/>
      </w:r>
      <w:r>
        <w:rPr>
          <w:rStyle w:val="13"/>
          <w:color w:val="0563C1"/>
        </w:rPr>
        <w:t>Japan Furniture Market Analysis by Mordor Intelligence</w:t>
      </w:r>
      <w:r>
        <w:rPr>
          <w:rStyle w:val="13"/>
          <w:color w:val="0563C1"/>
        </w:rPr>
        <w:fldChar w:fldCharType="end"/>
      </w:r>
    </w:p>
    <w:p w14:paraId="551135FF">
      <w:pPr>
        <w:spacing w:after="200" w:line="400" w:lineRule="atLeast"/>
      </w:pPr>
      <w:r>
        <w:fldChar w:fldCharType="begin"/>
      </w:r>
      <w:r>
        <w:instrText xml:space="preserve"> HYPERLINK "https://files.metaso.cn/api/public-file/preview?fileName=8682576579473059840.pdf" \h </w:instrText>
      </w:r>
      <w:r>
        <w:fldChar w:fldCharType="separate"/>
      </w:r>
      <w:r>
        <w:rPr>
          <w:rStyle w:val="13"/>
          <w:color w:val="0563C1"/>
        </w:rPr>
        <w:t>银发电商：银发经济发展新探索</w:t>
      </w:r>
      <w:r>
        <w:rPr>
          <w:rStyle w:val="13"/>
          <w:color w:val="0563C1"/>
        </w:rPr>
        <w:fldChar w:fldCharType="end"/>
      </w:r>
    </w:p>
    <w:p w14:paraId="0EB200EB">
      <w:pPr>
        <w:spacing w:after="200" w:line="400" w:lineRule="atLeast"/>
      </w:pPr>
      <w:r>
        <w:fldChar w:fldCharType="begin"/>
      </w:r>
      <w:r>
        <w:instrText xml:space="preserve"> HYPERLINK "https://www.gyoukaku.go.jp/review/aki/R05/img/6_1_1_gyoukaku.pdf" \h </w:instrText>
      </w:r>
      <w:r>
        <w:fldChar w:fldCharType="separate"/>
      </w:r>
      <w:r>
        <w:rPr>
          <w:rStyle w:val="13"/>
          <w:color w:val="0563C1"/>
        </w:rPr>
        <w:t>介護におけるデジタル技術の活用の加速化</w:t>
      </w:r>
      <w:r>
        <w:rPr>
          <w:rStyle w:val="13"/>
          <w:color w:val="0563C1"/>
        </w:rPr>
        <w:fldChar w:fldCharType="end"/>
      </w:r>
    </w:p>
    <w:p w14:paraId="47C96306">
      <w:pPr>
        <w:spacing w:after="200" w:line="400" w:lineRule="atLeast"/>
      </w:pPr>
      <w:r>
        <w:fldChar w:fldCharType="begin"/>
      </w:r>
      <w:r>
        <w:instrText xml:space="preserve"> HYPERLINK "https://legacy.iftf.org/uploads/media/SR-926D_RFID_SmartHomes_SociableDevices.pdf" \h </w:instrText>
      </w:r>
      <w:r>
        <w:fldChar w:fldCharType="separate"/>
      </w:r>
      <w:r>
        <w:rPr>
          <w:rStyle w:val="13"/>
          <w:color w:val="0563C1"/>
        </w:rPr>
        <w:t>Smart Homes &amp; Sociable Devices: RFID Takes Off</w:t>
      </w:r>
      <w:r>
        <w:rPr>
          <w:rStyle w:val="13"/>
          <w:color w:val="0563C1"/>
        </w:rPr>
        <w:fldChar w:fldCharType="end"/>
      </w:r>
    </w:p>
    <w:p w14:paraId="21B4B79A">
      <w:pPr>
        <w:spacing w:after="200" w:line="400" w:lineRule="atLeast"/>
      </w:pPr>
      <w:r>
        <w:fldChar w:fldCharType="begin"/>
      </w:r>
      <w:r>
        <w:instrText xml:space="preserve"> HYPERLINK "http://www.madrid.org/bvirtual/BVCM001737.pdf" \h </w:instrText>
      </w:r>
      <w:r>
        <w:fldChar w:fldCharType="separate"/>
      </w:r>
      <w:r>
        <w:rPr>
          <w:rStyle w:val="13"/>
          <w:color w:val="0563C1"/>
        </w:rPr>
        <w:t>servicios y tecnologías de teleasistencia: tendencias y retos en el hogar digital</w:t>
      </w:r>
      <w:r>
        <w:rPr>
          <w:rStyle w:val="13"/>
          <w:color w:val="0563C1"/>
        </w:rPr>
        <w:fldChar w:fldCharType="end"/>
      </w:r>
    </w:p>
    <w:p w14:paraId="5D5881CF">
      <w:pPr>
        <w:spacing w:after="200" w:line="400" w:lineRule="atLeast"/>
      </w:pPr>
      <w:r>
        <w:fldChar w:fldCharType="begin"/>
      </w:r>
      <w:r>
        <w:instrText xml:space="preserve"> HYPERLINK "https://dspace.cuni.cz/bitstream/handle/20.500.11956/179675/130351398.pdf?sequence=1" \h </w:instrText>
      </w:r>
      <w:r>
        <w:fldChar w:fldCharType="separate"/>
      </w:r>
      <w:r>
        <w:rPr>
          <w:rStyle w:val="13"/>
          <w:color w:val="0563C1"/>
        </w:rPr>
        <w:t>Asistivní technologie a jejich použití při péči o seniory v Japonsku</w:t>
      </w:r>
      <w:r>
        <w:rPr>
          <w:rStyle w:val="13"/>
          <w:color w:val="0563C1"/>
        </w:rPr>
        <w:fldChar w:fldCharType="end"/>
      </w:r>
    </w:p>
    <w:p w14:paraId="12A918E0">
      <w:pPr>
        <w:spacing w:after="200" w:line="400" w:lineRule="atLeast"/>
      </w:pPr>
      <w:r>
        <w:fldChar w:fldCharType="begin"/>
      </w:r>
      <w:r>
        <w:instrText xml:space="preserve"> HYPERLINK "https://www.thinkmind.org/articles/healthinfo_2018_3_10_80060.pdf" \h </w:instrText>
      </w:r>
      <w:r>
        <w:fldChar w:fldCharType="separate"/>
      </w:r>
      <w:r>
        <w:rPr>
          <w:rStyle w:val="13"/>
          <w:color w:val="0563C1"/>
        </w:rPr>
        <w:t>Enacting Eldertech in Senior Citizens’ Communities of Japan: A Social Support Perspective</w:t>
      </w:r>
      <w:r>
        <w:rPr>
          <w:rStyle w:val="13"/>
          <w:color w:val="0563C1"/>
        </w:rPr>
        <w:fldChar w:fldCharType="end"/>
      </w:r>
    </w:p>
    <w:p w14:paraId="3668F903">
      <w:pPr>
        <w:spacing w:after="200" w:line="400" w:lineRule="atLeast"/>
      </w:pPr>
      <w:r>
        <w:fldChar w:fldCharType="begin"/>
      </w:r>
      <w:r>
        <w:instrText xml:space="preserve"> HYPERLINK "https://www.pref.tokushima.lg.jp/file/attachment/902312.pdf" \h </w:instrText>
      </w:r>
      <w:r>
        <w:fldChar w:fldCharType="separate"/>
      </w:r>
      <w:r>
        <w:rPr>
          <w:rStyle w:val="13"/>
          <w:color w:val="0563C1"/>
        </w:rPr>
        <w:t>とくしま高齢者いきいきプラン（2024～2026）</w:t>
      </w:r>
      <w:r>
        <w:rPr>
          <w:rStyle w:val="13"/>
          <w:color w:val="0563C1"/>
        </w:rPr>
        <w:fldChar w:fldCharType="end"/>
      </w:r>
    </w:p>
    <w:p w14:paraId="387A4AC7">
      <w:pPr>
        <w:spacing w:after="200" w:line="400" w:lineRule="atLeast"/>
      </w:pPr>
      <w:r>
        <w:fldChar w:fldCharType="begin"/>
      </w:r>
      <w:r>
        <w:instrText xml:space="preserve"> HYPERLINK "https://www.ceicdata.com/en/japan/population-projection-national-institute-of-population-and-social-security-research" \h </w:instrText>
      </w:r>
      <w:r>
        <w:fldChar w:fldCharType="separate"/>
      </w:r>
      <w:r>
        <w:rPr>
          <w:rStyle w:val="13"/>
          <w:color w:val="0563C1"/>
        </w:rPr>
        <w:t>Japan Population: Projection: National Institute of Population and Social Security Research</w:t>
      </w:r>
      <w:r>
        <w:rPr>
          <w:rStyle w:val="13"/>
          <w:color w:val="0563C1"/>
        </w:rPr>
        <w:fldChar w:fldCharType="end"/>
      </w:r>
    </w:p>
    <w:p w14:paraId="204DE7C5">
      <w:pPr>
        <w:spacing w:after="200" w:line="400" w:lineRule="atLeast"/>
      </w:pPr>
      <w:r>
        <w:fldChar w:fldCharType="begin"/>
      </w:r>
      <w:r>
        <w:instrText xml:space="preserve"> HYPERLINK "https://www.statista.com/statistics/1149301/japan-share-of-population-aged-65-and-above/?srsltid=AfmBOoo14Ck6EcC5mxs9k22njTWC-avz7hMUhsaSlX8VQtgPPzUzvSo0" \h </w:instrText>
      </w:r>
      <w:r>
        <w:fldChar w:fldCharType="separate"/>
      </w:r>
      <w:r>
        <w:rPr>
          <w:rStyle w:val="13"/>
          <w:color w:val="0563C1"/>
        </w:rPr>
        <w:t>Percentage of people aged 65 years and older among total population in Japan from 1960 to 2023</w:t>
      </w:r>
      <w:r>
        <w:rPr>
          <w:rStyle w:val="13"/>
          <w:color w:val="0563C1"/>
        </w:rPr>
        <w:fldChar w:fldCharType="end"/>
      </w:r>
    </w:p>
    <w:p w14:paraId="45DD83CB">
      <w:pPr>
        <w:spacing w:after="200" w:line="400" w:lineRule="atLeast"/>
      </w:pPr>
      <w:r>
        <w:fldChar w:fldCharType="begin"/>
      </w:r>
      <w:r>
        <w:instrText xml:space="preserve"> HYPERLINK "https://www.gelonghui.com/p/1788377" \h </w:instrText>
      </w:r>
      <w:r>
        <w:fldChar w:fldCharType="separate"/>
      </w:r>
      <w:r>
        <w:rPr>
          <w:rStyle w:val="13"/>
          <w:color w:val="0563C1"/>
        </w:rPr>
        <w:t>老年生活用品市场报告</w:t>
      </w:r>
      <w:r>
        <w:rPr>
          <w:rStyle w:val="13"/>
          <w:color w:val="0563C1"/>
        </w:rPr>
        <w:fldChar w:fldCharType="end"/>
      </w:r>
    </w:p>
    <w:p w14:paraId="5080B556">
      <w:pPr>
        <w:spacing w:after="200" w:line="400" w:lineRule="atLeast"/>
      </w:pPr>
      <w:r>
        <w:fldChar w:fldCharType="begin"/>
      </w:r>
      <w:r>
        <w:instrText xml:space="preserve"> HYPERLINK "https://exactitudeconsultancy.com/zh-CN/%25E6%258A%25A5%25E5%2591%258A/33909/%25E5%258E%25A8%25E5%2585%25B7%25E5%2592%258C%25E5%25AE%25B6%25E5%25BA%25AD%25E7%2594%25A8%25E5%2593%2581%25E5%25B8%2582%25E5%259C%25BA/" \h </w:instrText>
      </w:r>
      <w:r>
        <w:fldChar w:fldCharType="separate"/>
      </w:r>
      <w:r>
        <w:rPr>
          <w:rStyle w:val="13"/>
          <w:color w:val="0563C1"/>
        </w:rPr>
        <w:t>报告展望</w:t>
      </w:r>
      <w:r>
        <w:rPr>
          <w:rStyle w:val="13"/>
          <w:color w:val="0563C1"/>
        </w:rPr>
        <w:fldChar w:fldCharType="end"/>
      </w:r>
    </w:p>
    <w:p w14:paraId="100241EA">
      <w:pPr>
        <w:spacing w:after="200" w:line="400" w:lineRule="atLeast"/>
      </w:pPr>
      <w:r>
        <w:fldChar w:fldCharType="begin"/>
      </w:r>
      <w:r>
        <w:instrText xml:space="preserve"> HYPERLINK "https://www.mckinsey.com/featured-insights/future-of-asia/imagining-your-customers-possible-futures-a-design-x-foresight-approach" \h </w:instrText>
      </w:r>
      <w:r>
        <w:fldChar w:fldCharType="separate"/>
      </w:r>
      <w:r>
        <w:rPr>
          <w:rStyle w:val="13"/>
          <w:color w:val="0563C1"/>
        </w:rPr>
        <w:t>Design x Foresight: Envisioning the Asian Consumer in 2030</w:t>
      </w:r>
      <w:r>
        <w:rPr>
          <w:rStyle w:val="13"/>
          <w:color w:val="0563C1"/>
        </w:rPr>
        <w:fldChar w:fldCharType="end"/>
      </w:r>
    </w:p>
    <w:p w14:paraId="75CBABCE">
      <w:pPr>
        <w:spacing w:after="200" w:line="400" w:lineRule="atLeast"/>
      </w:pPr>
      <w:r>
        <w:fldChar w:fldCharType="begin"/>
      </w:r>
      <w:r>
        <w:instrText xml:space="preserve"> HYPERLINK "https://www.nippon.com/en/in-depth/a04901/" \h </w:instrText>
      </w:r>
      <w:r>
        <w:fldChar w:fldCharType="separate"/>
      </w:r>
      <w:r>
        <w:rPr>
          <w:rStyle w:val="13"/>
          <w:color w:val="0563C1"/>
        </w:rPr>
        <w:t>Aging Consumers Reshaping Japanese Market</w:t>
      </w:r>
      <w:r>
        <w:rPr>
          <w:rStyle w:val="13"/>
          <w:color w:val="0563C1"/>
        </w:rPr>
        <w:fldChar w:fldCharType="end"/>
      </w:r>
    </w:p>
    <w:p w14:paraId="004527DF">
      <w:pPr>
        <w:spacing w:after="200" w:line="400" w:lineRule="atLeast"/>
      </w:pPr>
      <w:r>
        <w:fldChar w:fldCharType="begin"/>
      </w:r>
      <w:r>
        <w:instrText xml:space="preserve"> HYPERLINK "http://www.bilibili.com/video/av1150432441?t=185" \h </w:instrText>
      </w:r>
      <w:r>
        <w:fldChar w:fldCharType="separate"/>
      </w:r>
      <w:r>
        <w:rPr>
          <w:rStyle w:val="13"/>
          <w:color w:val="0563C1"/>
        </w:rPr>
        <w:t>【日本读研/日本留学】社会学中的年金与医疗改革</w:t>
      </w:r>
      <w:r>
        <w:rPr>
          <w:rStyle w:val="13"/>
          <w:color w:val="0563C1"/>
        </w:rPr>
        <w:fldChar w:fldCharType="end"/>
      </w:r>
    </w:p>
    <w:p w14:paraId="0B21EF98">
      <w:pPr>
        <w:spacing w:after="200" w:line="400" w:lineRule="atLeast"/>
      </w:pPr>
      <w:r>
        <w:fldChar w:fldCharType="begin"/>
      </w:r>
      <w:r>
        <w:instrText xml:space="preserve"> HYPERLINK "http://www.bilibili.com/video/av113683908793080?t=150" \h </w:instrText>
      </w:r>
      <w:r>
        <w:fldChar w:fldCharType="separate"/>
      </w:r>
      <w:r>
        <w:rPr>
          <w:rStyle w:val="13"/>
          <w:color w:val="0563C1"/>
        </w:rPr>
        <w:t>《EJU留考听力》イマこそ考えよう“老後の資金”  自分で作る時代へ</w:t>
      </w:r>
      <w:r>
        <w:rPr>
          <w:rStyle w:val="13"/>
          <w:color w:val="0563C1"/>
        </w:rPr>
        <w:fldChar w:fldCharType="end"/>
      </w:r>
    </w:p>
    <w:p w14:paraId="1E5AFE34">
      <w:pPr>
        <w:spacing w:after="200" w:line="400" w:lineRule="atLeast"/>
      </w:pPr>
      <w:r>
        <w:fldChar w:fldCharType="begin"/>
      </w:r>
      <w:r>
        <w:instrText xml:space="preserve"> HYPERLINK "https://blog.canpan.info/dede/img/1703_sodo_basic_sakura_nakashizu.pptx" \h </w:instrText>
      </w:r>
      <w:r>
        <w:fldChar w:fldCharType="separate"/>
      </w:r>
      <w:r>
        <w:rPr>
          <w:rStyle w:val="13"/>
          <w:color w:val="0563C1"/>
        </w:rPr>
        <w:t>自治を回復し、まち・むらの課題を、まち・むらの力で解決するために - 総働で人「交」密度を高める小規模多機能自治へ -</w:t>
      </w:r>
      <w:r>
        <w:rPr>
          <w:rStyle w:val="13"/>
          <w:color w:val="0563C1"/>
        </w:rPr>
        <w:fldChar w:fldCharType="end"/>
      </w:r>
    </w:p>
    <w:p w14:paraId="37D1A90E">
      <w:pPr>
        <w:spacing w:after="200" w:line="400" w:lineRule="atLeast"/>
      </w:pPr>
      <w:r>
        <w:fldChar w:fldCharType="begin"/>
      </w:r>
      <w:r>
        <w:instrText xml:space="preserve"> HYPERLINK "https://www.statista.com/statistics/1149301/japan-share-of-population-aged-65-and-above/" \h </w:instrText>
      </w:r>
      <w:r>
        <w:fldChar w:fldCharType="separate"/>
      </w:r>
      <w:r>
        <w:rPr>
          <w:rStyle w:val="13"/>
          <w:color w:val="0563C1"/>
        </w:rPr>
        <w:t>Percentage of people aged 65 years and older among total population in Japan from 1960 to 2022</w:t>
      </w:r>
      <w:r>
        <w:rPr>
          <w:rStyle w:val="13"/>
          <w:color w:val="0563C1"/>
        </w:rPr>
        <w:fldChar w:fldCharType="end"/>
      </w:r>
    </w:p>
    <w:p w14:paraId="41A94CA9">
      <w:pPr>
        <w:spacing w:after="200" w:line="400" w:lineRule="atLeast"/>
      </w:pPr>
      <w:r>
        <w:fldChar w:fldCharType="begin"/>
      </w:r>
      <w:r>
        <w:instrText xml:space="preserve"> HYPERLINK "https://www.niph.go.jp/journal/data/68-1/201968010006.pdf" \h </w:instrText>
      </w:r>
      <w:r>
        <w:fldChar w:fldCharType="separate"/>
      </w:r>
      <w:r>
        <w:rPr>
          <w:rStyle w:val="13"/>
          <w:color w:val="0563C1"/>
        </w:rPr>
        <w:t>Current issues in long-term care policy and research: Toward the promotion of evidence-based policy</w:t>
      </w:r>
      <w:r>
        <w:rPr>
          <w:rStyle w:val="13"/>
          <w:color w:val="0563C1"/>
        </w:rPr>
        <w:fldChar w:fldCharType="end"/>
      </w:r>
    </w:p>
    <w:p w14:paraId="73CA18A1">
      <w:pPr>
        <w:spacing w:after="200" w:line="400" w:lineRule="atLeast"/>
      </w:pPr>
      <w:r>
        <w:fldChar w:fldCharType="begin"/>
      </w:r>
      <w:r>
        <w:instrText xml:space="preserve"> HYPERLINK "https://www.pref.osaka.lg.jp/documents/103916/kihonhoushin.pptx" \h </w:instrText>
      </w:r>
      <w:r>
        <w:fldChar w:fldCharType="separate"/>
      </w:r>
      <w:r>
        <w:rPr>
          <w:rStyle w:val="13"/>
          <w:color w:val="0563C1"/>
        </w:rPr>
        <w:t>基礎自治機能充実強化基本方針</w:t>
      </w:r>
      <w:r>
        <w:rPr>
          <w:rStyle w:val="13"/>
          <w:color w:val="0563C1"/>
        </w:rPr>
        <w:fldChar w:fldCharType="end"/>
      </w:r>
    </w:p>
    <w:p w14:paraId="37AC5E4A">
      <w:pPr>
        <w:spacing w:after="200" w:line="400" w:lineRule="atLeast"/>
      </w:pPr>
      <w:r>
        <w:fldChar w:fldCharType="begin"/>
      </w:r>
      <w:r>
        <w:instrText xml:space="preserve"> HYPERLINK "https://www.163.com/dy/article/JB0E1O7A05199MO5.html" \h </w:instrText>
      </w:r>
      <w:r>
        <w:fldChar w:fldCharType="separate"/>
      </w:r>
      <w:r>
        <w:rPr>
          <w:rStyle w:val="13"/>
          <w:color w:val="0563C1"/>
        </w:rPr>
        <w:t>新老人、新需求、新生态：2024年银发健康经济趋势与展望</w:t>
      </w:r>
      <w:r>
        <w:rPr>
          <w:rStyle w:val="13"/>
          <w:color w:val="0563C1"/>
        </w:rPr>
        <w:fldChar w:fldCharType="end"/>
      </w:r>
    </w:p>
    <w:p w14:paraId="30BC3569">
      <w:pPr>
        <w:spacing w:after="200" w:line="400" w:lineRule="atLeast"/>
      </w:pPr>
      <w:r>
        <w:fldChar w:fldCharType="begin"/>
      </w:r>
      <w:r>
        <w:instrText xml:space="preserve"> HYPERLINK "https://www.eu-japan.eu/sites/default/files/publications/docs/booklet_web.pdf" \h </w:instrText>
      </w:r>
      <w:r>
        <w:fldChar w:fldCharType="separate"/>
      </w:r>
      <w:r>
        <w:rPr>
          <w:rStyle w:val="13"/>
          <w:color w:val="0563C1"/>
        </w:rPr>
        <w:t>EU-Japan Industrial Cooperation 30 Years Together</w:t>
      </w:r>
      <w:r>
        <w:rPr>
          <w:rStyle w:val="13"/>
          <w:color w:val="0563C1"/>
        </w:rPr>
        <w:fldChar w:fldCharType="end"/>
      </w:r>
    </w:p>
    <w:p w14:paraId="6F5B3081">
      <w:pPr>
        <w:spacing w:after="200" w:line="400" w:lineRule="atLeast"/>
      </w:pPr>
      <w:r>
        <w:fldChar w:fldCharType="begin"/>
      </w:r>
      <w:r>
        <w:instrText xml:space="preserve"> HYPERLINK "https://coopernicus.pl/wp-content/uploads/2024/06/Raport-demograficzny-Spoleczno-gospodarcza-Przyszlos%CC%81c%CC%81-Europy.pdf" \h </w:instrText>
      </w:r>
      <w:r>
        <w:fldChar w:fldCharType="separate"/>
      </w:r>
      <w:r>
        <w:rPr>
          <w:rStyle w:val="13"/>
          <w:color w:val="0563C1"/>
        </w:rPr>
        <w:t>Zmiany Demograficzne w Europie: Społeczno-gospodarcza Przyszłość Europy</w:t>
      </w:r>
      <w:r>
        <w:rPr>
          <w:rStyle w:val="13"/>
          <w:color w:val="0563C1"/>
        </w:rPr>
        <w:fldChar w:fldCharType="end"/>
      </w:r>
    </w:p>
    <w:p w14:paraId="6A4C1988">
      <w:pPr>
        <w:spacing w:after="200" w:line="400" w:lineRule="atLeast"/>
      </w:pPr>
      <w:r>
        <w:fldChar w:fldCharType="begin"/>
      </w:r>
      <w:r>
        <w:instrText xml:space="preserve"> HYPERLINK "https://report.iimedia.cn/tag/%E6%97%A5%E6%9C%AC%E5%85%BB%E8%80%81%E6%A8%A1%E5%BC%8F" \h </w:instrText>
      </w:r>
      <w:r>
        <w:fldChar w:fldCharType="separate"/>
      </w:r>
      <w:r>
        <w:rPr>
          <w:rStyle w:val="13"/>
          <w:color w:val="0563C1"/>
        </w:rPr>
        <w:t>关于“日本养老模式”的报告</w:t>
      </w:r>
      <w:r>
        <w:rPr>
          <w:rStyle w:val="13"/>
          <w:color w:val="0563C1"/>
        </w:rPr>
        <w:fldChar w:fldCharType="end"/>
      </w:r>
    </w:p>
    <w:p w14:paraId="61F2F41A">
      <w:pPr>
        <w:spacing w:after="200" w:line="400" w:lineRule="atLeast"/>
      </w:pPr>
      <w:r>
        <w:fldChar w:fldCharType="begin"/>
      </w:r>
      <w:r>
        <w:instrText xml:space="preserve"> HYPERLINK "https://files.metaso.cn/api/public-file/preview?fileName=8690311190213033984.pdf" \h </w:instrText>
      </w:r>
      <w:r>
        <w:fldChar w:fldCharType="separate"/>
      </w:r>
      <w:r>
        <w:rPr>
          <w:rStyle w:val="13"/>
          <w:color w:val="0563C1"/>
        </w:rPr>
        <w:t>银发消费无龄感体验与多元需求驱动市场创新</w:t>
      </w:r>
      <w:r>
        <w:rPr>
          <w:rStyle w:val="13"/>
          <w:color w:val="0563C1"/>
        </w:rPr>
        <w:fldChar w:fldCharType="end"/>
      </w:r>
    </w:p>
    <w:p w14:paraId="13697ECA">
      <w:pPr>
        <w:spacing w:after="200" w:line="400" w:lineRule="atLeast"/>
      </w:pPr>
      <w:r>
        <w:fldChar w:fldCharType="begin"/>
      </w:r>
      <w:r>
        <w:instrText xml:space="preserve"> HYPERLINK "https://allagetech.com/wp-content/uploads/2025/08/678055dd-en.pdf" \h </w:instrText>
      </w:r>
      <w:r>
        <w:fldChar w:fldCharType="separate"/>
      </w:r>
      <w:r>
        <w:rPr>
          <w:rStyle w:val="13"/>
          <w:color w:val="0563C1"/>
        </w:rPr>
        <w:t>Pensions at a Glance 2023</w:t>
      </w:r>
      <w:r>
        <w:rPr>
          <w:rStyle w:val="13"/>
          <w:color w:val="0563C1"/>
        </w:rPr>
        <w:fldChar w:fldCharType="end"/>
      </w:r>
    </w:p>
    <w:p w14:paraId="6A5926AB">
      <w:pPr>
        <w:spacing w:after="200" w:line="400" w:lineRule="atLeast"/>
      </w:pPr>
      <w:r>
        <w:fldChar w:fldCharType="begin"/>
      </w:r>
      <w:r>
        <w:instrText xml:space="preserve"> HYPERLINK "https://www.statista.com/topics/7519/long-term-care-in-japan/" \h </w:instrText>
      </w:r>
      <w:r>
        <w:fldChar w:fldCharType="separate"/>
      </w:r>
      <w:r>
        <w:rPr>
          <w:rStyle w:val="13"/>
          <w:color w:val="0563C1"/>
        </w:rPr>
        <w:t>Topic: Long-term care in Japan</w:t>
      </w:r>
      <w:r>
        <w:rPr>
          <w:rStyle w:val="13"/>
          <w:color w:val="0563C1"/>
        </w:rPr>
        <w:fldChar w:fldCharType="end"/>
      </w:r>
    </w:p>
    <w:p w14:paraId="2457D000">
      <w:pPr>
        <w:spacing w:after="200" w:line="400" w:lineRule="atLeast"/>
      </w:pPr>
      <w:r>
        <w:fldChar w:fldCharType="begin"/>
      </w:r>
      <w:r>
        <w:instrText xml:space="preserve"> HYPERLINK "https://ouci.dntb.gov.ua/en/works/45Ze16Ol/" \h </w:instrText>
      </w:r>
      <w:r>
        <w:fldChar w:fldCharType="separate"/>
      </w:r>
      <w:r>
        <w:rPr>
          <w:rStyle w:val="13"/>
          <w:color w:val="0563C1"/>
        </w:rPr>
        <w:t>The Journal of the Economics of Ageing</w:t>
      </w:r>
      <w:r>
        <w:rPr>
          <w:rStyle w:val="13"/>
          <w:color w:val="0563C1"/>
        </w:rPr>
        <w:fldChar w:fldCharType="end"/>
      </w:r>
    </w:p>
    <w:p w14:paraId="3DB552BD">
      <w:pPr>
        <w:spacing w:after="200" w:line="400" w:lineRule="atLeast"/>
      </w:pPr>
      <w:r>
        <w:fldChar w:fldCharType="begin"/>
      </w:r>
      <w:r>
        <w:instrText xml:space="preserve"> HYPERLINK "https://www.ijhpm.com/article_3704.html" \h </w:instrText>
      </w:r>
      <w:r>
        <w:fldChar w:fldCharType="separate"/>
      </w:r>
      <w:r>
        <w:rPr>
          <w:rStyle w:val="13"/>
          <w:color w:val="0563C1"/>
        </w:rPr>
        <w:t>Aging, Pensions and Long-term Care: What, Why, Who, How?; Comment on "Financing Long-term Care: Lessons From Japan"</w:t>
      </w:r>
      <w:r>
        <w:rPr>
          <w:rStyle w:val="13"/>
          <w:color w:val="0563C1"/>
        </w:rPr>
        <w:fldChar w:fldCharType="end"/>
      </w:r>
    </w:p>
    <w:p w14:paraId="395C4597">
      <w:pPr>
        <w:spacing w:after="200" w:line="400" w:lineRule="atLeast"/>
      </w:pPr>
      <w:r>
        <w:fldChar w:fldCharType="begin"/>
      </w:r>
      <w:r>
        <w:instrText xml:space="preserve"> HYPERLINK "https://www.nars.go.kr/fileDownload2.do?currtPg=11&amp;sort=normal&amp;cmsCd=CM0033&amp;pnum=0&amp;cnum=0&amp;category=NO&amp;src=ALL&amp;srcTemp=&amp;pageSize=10&amp;fileName=(%EA%B0%84%EB%8B%B4%ED%9A%8C_121213)%EC%9D%BC%EB%B3%B8%EC%9D%98+%EA%B3%A0%EB%A0%B9%ED%99%94%EC%99%80+%EC%82%AC%ED%9A%8C%EB%B3%B4%EC%9E%A5%EC%A0%9C%EB%8F%84_ppt(%EC%9D%B4%EC%A6%88%EB%AF%B8+%EB%A7%88%ED%82%A4%EC%BD%94).pdf&amp;doc_id=139886" \h </w:instrText>
      </w:r>
      <w:r>
        <w:fldChar w:fldCharType="separate"/>
      </w:r>
      <w:r>
        <w:rPr>
          <w:rStyle w:val="13"/>
          <w:color w:val="0563C1"/>
        </w:rPr>
        <w:t>일본의 고령화와 사회보장제도</w:t>
      </w:r>
      <w:r>
        <w:rPr>
          <w:rStyle w:val="13"/>
          <w:color w:val="0563C1"/>
        </w:rPr>
        <w:fldChar w:fldCharType="end"/>
      </w:r>
    </w:p>
    <w:p w14:paraId="6E48E042">
      <w:pPr>
        <w:spacing w:after="200" w:line="400" w:lineRule="atLeast"/>
      </w:pPr>
      <w:r>
        <w:fldChar w:fldCharType="begin"/>
      </w:r>
      <w:r>
        <w:instrText xml:space="preserve"> HYPERLINK "https://www.un.org/development/desa/pd/sites/www.un.org.development.desa.pd/files/unpd-egm_200010_katsumata.pdf" \h </w:instrText>
      </w:r>
      <w:r>
        <w:fldChar w:fldCharType="separate"/>
      </w:r>
      <w:r>
        <w:rPr>
          <w:rStyle w:val="13"/>
          <w:color w:val="0563C1"/>
        </w:rPr>
        <w:t>The Impact of Population Decline and Population Aging in Japan from the Perspectives of Social and Labor Policy</w:t>
      </w:r>
      <w:r>
        <w:rPr>
          <w:rStyle w:val="13"/>
          <w:color w:val="0563C1"/>
        </w:rPr>
        <w:fldChar w:fldCharType="end"/>
      </w:r>
    </w:p>
    <w:p w14:paraId="17D64632">
      <w:pPr>
        <w:spacing w:after="200" w:line="400" w:lineRule="atLeast"/>
      </w:pPr>
      <w:r>
        <w:fldChar w:fldCharType="begin"/>
      </w:r>
      <w:r>
        <w:instrText xml:space="preserve"> HYPERLINK "https://agriculture.canada.ca/en/international-trade/market-intelligence/reports-and-guides/consumer-profile-japan" \h </w:instrText>
      </w:r>
      <w:r>
        <w:fldChar w:fldCharType="separate"/>
      </w:r>
      <w:r>
        <w:rPr>
          <w:rStyle w:val="13"/>
          <w:color w:val="0563C1"/>
        </w:rPr>
        <w:t>Japan's Economic and Demographic Trends</w:t>
      </w:r>
      <w:r>
        <w:rPr>
          <w:rStyle w:val="13"/>
          <w:color w:val="0563C1"/>
        </w:rPr>
        <w:fldChar w:fldCharType="end"/>
      </w:r>
    </w:p>
    <w:p w14:paraId="21C70FE2">
      <w:pPr>
        <w:spacing w:after="200" w:line="400" w:lineRule="atLeast"/>
      </w:pPr>
      <w:r>
        <w:fldChar w:fldCharType="begin"/>
      </w:r>
      <w:r>
        <w:instrText xml:space="preserve"> HYPERLINK "https://www.ilcjapan.org/aging/doc/booklet_OHJ.pdf" \h </w:instrText>
      </w:r>
      <w:r>
        <w:fldChar w:fldCharType="separate"/>
      </w:r>
      <w:r>
        <w:rPr>
          <w:rStyle w:val="13"/>
          <w:color w:val="0563C1"/>
        </w:rPr>
        <w:t>Being Old &amp; Healthy in Japan</w:t>
      </w:r>
      <w:r>
        <w:rPr>
          <w:rStyle w:val="13"/>
          <w:color w:val="0563C1"/>
        </w:rPr>
        <w:fldChar w:fldCharType="end"/>
      </w:r>
    </w:p>
    <w:p w14:paraId="024BFFFF">
      <w:pPr>
        <w:spacing w:after="200" w:line="400" w:lineRule="atLeast"/>
      </w:pPr>
      <w:r>
        <w:fldChar w:fldCharType="begin"/>
      </w:r>
      <w:r>
        <w:instrText xml:space="preserve"> HYPERLINK "https://www.cas.go.jp/jp/seisaku/zensedai_hosyo/dai3/sankou1.pdf" \h </w:instrText>
      </w:r>
      <w:r>
        <w:fldChar w:fldCharType="separate"/>
      </w:r>
      <w:r>
        <w:rPr>
          <w:rStyle w:val="13"/>
          <w:color w:val="0563C1"/>
        </w:rPr>
        <w:t>基礎資料集</w:t>
      </w:r>
      <w:r>
        <w:rPr>
          <w:rStyle w:val="13"/>
          <w:color w:val="0563C1"/>
        </w:rPr>
        <w:fldChar w:fldCharType="end"/>
      </w:r>
    </w:p>
    <w:p w14:paraId="448BC87D">
      <w:pPr>
        <w:spacing w:after="200" w:line="400" w:lineRule="atLeast"/>
      </w:pPr>
      <w:r>
        <w:fldChar w:fldCharType="begin"/>
      </w:r>
      <w:r>
        <w:instrText xml:space="preserve"> HYPERLINK "https://links.sgx.com/FileOpen/145835_009%20Clean%20Bannerless%20OC%20with%20Disclaimer.ashx?App=Prospectus&amp;FileID=27458" \h </w:instrText>
      </w:r>
      <w:r>
        <w:fldChar w:fldCharType="separate"/>
      </w:r>
      <w:r>
        <w:rPr>
          <w:rStyle w:val="13"/>
          <w:color w:val="0563C1"/>
        </w:rPr>
        <w:t>Meiji Yasuda Life Insurance Company 5.20% Step-up Callable Subordinated Notes due 2045</w:t>
      </w:r>
      <w:r>
        <w:rPr>
          <w:rStyle w:val="13"/>
          <w:color w:val="0563C1"/>
        </w:rPr>
        <w:fldChar w:fldCharType="end"/>
      </w:r>
    </w:p>
    <w:p w14:paraId="3C82A6F1">
      <w:pPr>
        <w:spacing w:after="200" w:line="400" w:lineRule="atLeast"/>
      </w:pPr>
      <w:r>
        <w:fldChar w:fldCharType="begin"/>
      </w:r>
      <w:r>
        <w:instrText xml:space="preserve"> HYPERLINK "https://www.pref.miyagi.jp/documents/48256/04.pdf" \h </w:instrText>
      </w:r>
      <w:r>
        <w:fldChar w:fldCharType="separate"/>
      </w:r>
      <w:r>
        <w:rPr>
          <w:rStyle w:val="13"/>
          <w:color w:val="0563C1"/>
        </w:rPr>
        <w:t>第9期 みやぎ高齢者元気プラン（令和6年度～令和8年度）</w:t>
      </w:r>
      <w:r>
        <w:rPr>
          <w:rStyle w:val="13"/>
          <w:color w:val="0563C1"/>
        </w:rPr>
        <w:fldChar w:fldCharType="end"/>
      </w:r>
    </w:p>
    <w:p w14:paraId="5DC22DE4">
      <w:pPr>
        <w:spacing w:after="200" w:line="400" w:lineRule="atLeast"/>
      </w:pPr>
      <w:r>
        <w:fldChar w:fldCharType="begin"/>
      </w:r>
      <w:r>
        <w:instrText xml:space="preserve"> HYPERLINK "https://www.sphericalinsights.com/reports/japan-elderly-care-services-market" \h </w:instrText>
      </w:r>
      <w:r>
        <w:fldChar w:fldCharType="separate"/>
      </w:r>
      <w:r>
        <w:rPr>
          <w:rStyle w:val="13"/>
          <w:color w:val="0563C1"/>
        </w:rPr>
        <w:t>Japan Elderly Care Services Market Size, Share, and COVID-19 Impact Analysis, By Services (Home Care Services, Adult Care Services, and Institutional Care Services), By Application (Heart Disease, Cancer, Kidney Diseases, Diabetes, Arthritis, Osteoporosis, Neurological, Respiratory, and Others), and Japan Elderly care services Market Insights, Industry Trend, Forecasts to 2033</w:t>
      </w:r>
      <w:r>
        <w:rPr>
          <w:rStyle w:val="13"/>
          <w:color w:val="0563C1"/>
        </w:rPr>
        <w:fldChar w:fldCharType="end"/>
      </w:r>
    </w:p>
    <w:p w14:paraId="2398A06E">
      <w:pPr>
        <w:spacing w:after="200" w:line="400" w:lineRule="atLeast"/>
      </w:pPr>
      <w:r>
        <w:fldChar w:fldCharType="begin"/>
      </w:r>
      <w:r>
        <w:instrText xml:space="preserve"> HYPERLINK "https://cn.gii.tw/report/tbrc1704209-elderly-care-services-global-market-report.html" \h </w:instrText>
      </w:r>
      <w:r>
        <w:fldChar w:fldCharType="separate"/>
      </w:r>
      <w:r>
        <w:rPr>
          <w:rStyle w:val="13"/>
          <w:color w:val="0563C1"/>
        </w:rPr>
        <w:t>Elderly Care Services Global Market Report 2025</w:t>
      </w:r>
      <w:r>
        <w:rPr>
          <w:rStyle w:val="13"/>
          <w:color w:val="0563C1"/>
        </w:rPr>
        <w:fldChar w:fldCharType="end"/>
      </w:r>
    </w:p>
    <w:p w14:paraId="4AD0BCCA">
      <w:pPr>
        <w:spacing w:after="200" w:line="400" w:lineRule="atLeast"/>
      </w:pPr>
      <w:r>
        <w:fldChar w:fldCharType="begin"/>
      </w:r>
      <w:r>
        <w:instrText xml:space="preserve"> HYPERLINK "https://www.futuremarketinsights.com/reports/japan-medical-tourism-market" \h </w:instrText>
      </w:r>
      <w:r>
        <w:fldChar w:fldCharType="separate"/>
      </w:r>
      <w:r>
        <w:rPr>
          <w:rStyle w:val="13"/>
          <w:color w:val="0563C1"/>
        </w:rPr>
        <w:t>The demand for medical tourism in Japan is expected to grow significantly from USD 14.5 billion in 2025 to USD 30.7 billion by 2035</w:t>
      </w:r>
      <w:r>
        <w:rPr>
          <w:rStyle w:val="13"/>
          <w:color w:val="0563C1"/>
        </w:rPr>
        <w:fldChar w:fldCharType="end"/>
      </w:r>
    </w:p>
    <w:p w14:paraId="3F37CC30">
      <w:pPr>
        <w:spacing w:after="200" w:line="400" w:lineRule="atLeast"/>
      </w:pPr>
      <w:r>
        <w:fldChar w:fldCharType="begin"/>
      </w:r>
      <w:r>
        <w:instrText xml:space="preserve"> HYPERLINK "https://files.metaso.cn/api/public-file/preview?fileName=8683732382747652096.pdf" \h </w:instrText>
      </w:r>
      <w:r>
        <w:fldChar w:fldCharType="separate"/>
      </w:r>
      <w:r>
        <w:rPr>
          <w:rStyle w:val="13"/>
          <w:color w:val="0563C1"/>
        </w:rPr>
        <w:t>Japan Wealth Transition: New Business Models for an AI Era</w:t>
      </w:r>
      <w:r>
        <w:rPr>
          <w:rStyle w:val="13"/>
          <w:color w:val="0563C1"/>
        </w:rPr>
        <w:fldChar w:fldCharType="end"/>
      </w:r>
    </w:p>
    <w:p w14:paraId="3D860496">
      <w:pPr>
        <w:spacing w:after="200" w:line="400" w:lineRule="atLeast"/>
      </w:pPr>
      <w:r>
        <w:fldChar w:fldCharType="begin"/>
      </w:r>
      <w:r>
        <w:instrText xml:space="preserve"> HYPERLINK "https://www.leopalace21.co.jp/english/ir/library/integrated-report/pdf/2025_en_report_spread.pdf" \h </w:instrText>
      </w:r>
      <w:r>
        <w:fldChar w:fldCharType="separate"/>
      </w:r>
      <w:r>
        <w:rPr>
          <w:rStyle w:val="13"/>
          <w:color w:val="0563C1"/>
        </w:rPr>
        <w:t>Integrated Report 2025</w:t>
      </w:r>
      <w:r>
        <w:rPr>
          <w:rStyle w:val="13"/>
          <w:color w:val="0563C1"/>
        </w:rPr>
        <w:fldChar w:fldCharType="end"/>
      </w:r>
    </w:p>
    <w:p w14:paraId="7BC59367">
      <w:pPr>
        <w:spacing w:after="200" w:line="400" w:lineRule="atLeast"/>
      </w:pPr>
      <w:r>
        <w:fldChar w:fldCharType="begin"/>
      </w:r>
      <w:r>
        <w:instrText xml:space="preserve"> HYPERLINK "https://presswalker.jp/press/66732" \h </w:instrText>
      </w:r>
      <w:r>
        <w:fldChar w:fldCharType="separate"/>
      </w:r>
      <w:r>
        <w:rPr>
          <w:rStyle w:val="13"/>
          <w:color w:val="0563C1"/>
        </w:rPr>
        <w:t>日本高齢者介護サービス市場は2032年までに209億9000万米ドルに達する</w:t>
      </w:r>
      <w:r>
        <w:rPr>
          <w:rStyle w:val="13"/>
          <w:color w:val="0563C1"/>
        </w:rPr>
        <w:fldChar w:fldCharType="end"/>
      </w:r>
    </w:p>
    <w:p w14:paraId="369FB052">
      <w:pPr>
        <w:spacing w:after="200" w:line="400" w:lineRule="atLeast"/>
      </w:pPr>
      <w:r>
        <w:fldChar w:fldCharType="begin"/>
      </w:r>
      <w:r>
        <w:instrText xml:space="preserve"> HYPERLINK "https://bmcgeriatr.biomedcentral.com/articles/10.1186/s12877-020-01704-7" \h </w:instrText>
      </w:r>
      <w:r>
        <w:fldChar w:fldCharType="separate"/>
      </w:r>
      <w:r>
        <w:rPr>
          <w:rStyle w:val="13"/>
          <w:color w:val="0563C1"/>
        </w:rPr>
        <w:t>Association of household income with home-based rehabilitation and home help service utilization among long-term home care service users</w:t>
      </w:r>
      <w:r>
        <w:rPr>
          <w:rStyle w:val="13"/>
          <w:color w:val="0563C1"/>
        </w:rPr>
        <w:fldChar w:fldCharType="end"/>
      </w:r>
    </w:p>
    <w:p w14:paraId="0189BFFE">
      <w:pPr>
        <w:spacing w:after="200" w:line="400" w:lineRule="atLeast"/>
      </w:pPr>
      <w:r>
        <w:fldChar w:fldCharType="begin"/>
      </w:r>
      <w:r>
        <w:instrText xml:space="preserve"> HYPERLINK "https://minamom.github.io/Website/LTC/LTC_PE.pdf" \h </w:instrText>
      </w:r>
      <w:r>
        <w:fldChar w:fldCharType="separate"/>
      </w:r>
      <w:r>
        <w:rPr>
          <w:rStyle w:val="13"/>
          <w:color w:val="0563C1"/>
        </w:rPr>
        <w:t>Universal Insurance with In-Kind Transfers: The Welfare Effects of Long-Term Care Insurance in Japan</w:t>
      </w:r>
      <w:r>
        <w:rPr>
          <w:rStyle w:val="13"/>
          <w:color w:val="0563C1"/>
        </w:rPr>
        <w:fldChar w:fldCharType="end"/>
      </w:r>
    </w:p>
    <w:p w14:paraId="3278F719">
      <w:pPr>
        <w:spacing w:after="200" w:line="400" w:lineRule="atLeast"/>
      </w:pPr>
      <w:r>
        <w:fldChar w:fldCharType="begin"/>
      </w:r>
      <w:r>
        <w:instrText xml:space="preserve"> HYPERLINK "https://www.statista.com/statistics/745119/japan-amount-of-annual-long-term-care-benefits-expenses/" \h </w:instrText>
      </w:r>
      <w:r>
        <w:fldChar w:fldCharType="separate"/>
      </w:r>
      <w:r>
        <w:rPr>
          <w:rStyle w:val="13"/>
          <w:color w:val="0563C1"/>
        </w:rPr>
        <w:t>Annual expenses for the long-term care insurance (LTCI) system in Japan from fiscal year 2014 to 2023 (in trillion Japanese yen)</w:t>
      </w:r>
      <w:r>
        <w:rPr>
          <w:rStyle w:val="13"/>
          <w:color w:val="0563C1"/>
        </w:rPr>
        <w:fldChar w:fldCharType="end"/>
      </w:r>
    </w:p>
    <w:p w14:paraId="2BA654FF">
      <w:pPr>
        <w:spacing w:after="200" w:line="400" w:lineRule="atLeast"/>
      </w:pPr>
      <w:r>
        <w:fldChar w:fldCharType="begin"/>
      </w:r>
      <w:r>
        <w:instrText xml:space="preserve"> HYPERLINK "https://ideas.repec.org/a/eee/jjieco/v24y2010i1p99-115.html" \h </w:instrText>
      </w:r>
      <w:r>
        <w:fldChar w:fldCharType="separate"/>
      </w:r>
      <w:r>
        <w:rPr>
          <w:rStyle w:val="13"/>
          <w:color w:val="0563C1"/>
        </w:rPr>
        <w:t>On the consumption insurance effects of long-term care insurance in Japan: Evidence from micro-level household data</w:t>
      </w:r>
      <w:r>
        <w:rPr>
          <w:rStyle w:val="13"/>
          <w:color w:val="0563C1"/>
        </w:rPr>
        <w:fldChar w:fldCharType="end"/>
      </w:r>
    </w:p>
    <w:p w14:paraId="2FF2AD75">
      <w:pPr>
        <w:spacing w:after="200" w:line="400" w:lineRule="atLeast"/>
      </w:pPr>
      <w:r>
        <w:fldChar w:fldCharType="begin"/>
      </w:r>
      <w:r>
        <w:instrText xml:space="preserve"> HYPERLINK "https://www.asahi.com/ajw/articles/15007751" \h </w:instrText>
      </w:r>
      <w:r>
        <w:fldChar w:fldCharType="separate"/>
      </w:r>
      <w:r>
        <w:rPr>
          <w:rStyle w:val="13"/>
          <w:color w:val="0563C1"/>
        </w:rPr>
        <w:t>10% of Japan’s population aged 80 or older for first time</w:t>
      </w:r>
      <w:r>
        <w:rPr>
          <w:rStyle w:val="13"/>
          <w:color w:val="0563C1"/>
        </w:rPr>
        <w:fldChar w:fldCharType="end"/>
      </w:r>
    </w:p>
    <w:p w14:paraId="1F7E4D7B">
      <w:pPr>
        <w:spacing w:after="200" w:line="400" w:lineRule="atLeast"/>
      </w:pPr>
      <w:r>
        <w:fldChar w:fldCharType="begin"/>
      </w:r>
      <w:r>
        <w:instrText xml:space="preserve"> HYPERLINK "https://factsanddetails.com/japan/cat18/sub118/item621.html" \h </w:instrText>
      </w:r>
      <w:r>
        <w:fldChar w:fldCharType="separate"/>
      </w:r>
      <w:r>
        <w:rPr>
          <w:rStyle w:val="13"/>
          <w:color w:val="0563C1"/>
        </w:rPr>
        <w:t>ELDERLY IN JAPAN</w:t>
      </w:r>
      <w:r>
        <w:rPr>
          <w:rStyle w:val="13"/>
          <w:color w:val="0563C1"/>
        </w:rPr>
        <w:fldChar w:fldCharType="end"/>
      </w:r>
    </w:p>
    <w:p w14:paraId="2BEE2C9F">
      <w:pPr>
        <w:spacing w:after="200" w:line="400" w:lineRule="atLeast"/>
      </w:pPr>
      <w:r>
        <w:fldChar w:fldCharType="begin"/>
      </w:r>
      <w:r>
        <w:instrText xml:space="preserve"> HYPERLINK "https://files.metaso.cn/api/public-file/preview?fileName=8682577136525131776.pdf" \h </w:instrText>
      </w:r>
      <w:r>
        <w:fldChar w:fldCharType="separate"/>
      </w:r>
      <w:r>
        <w:rPr>
          <w:rStyle w:val="13"/>
          <w:color w:val="0563C1"/>
        </w:rPr>
        <w:t>Longevity &amp; Healthy Ageing</w:t>
      </w:r>
      <w:r>
        <w:rPr>
          <w:rStyle w:val="13"/>
          <w:color w:val="0563C1"/>
        </w:rPr>
        <w:fldChar w:fldCharType="end"/>
      </w:r>
    </w:p>
    <w:p w14:paraId="03BEB17B">
      <w:pPr>
        <w:spacing w:after="200" w:line="400" w:lineRule="atLeast"/>
      </w:pPr>
      <w:r>
        <w:fldChar w:fldCharType="begin"/>
      </w:r>
      <w:r>
        <w:instrText xml:space="preserve"> HYPERLINK "https://www.cbinsights.com/investor/toyota" \h </w:instrText>
      </w:r>
      <w:r>
        <w:fldChar w:fldCharType="separate"/>
      </w:r>
      <w:r>
        <w:rPr>
          <w:rStyle w:val="13"/>
          <w:color w:val="0563C1"/>
        </w:rPr>
        <w:t>Toyota Investments</w:t>
      </w:r>
      <w:r>
        <w:rPr>
          <w:rStyle w:val="13"/>
          <w:color w:val="0563C1"/>
        </w:rPr>
        <w:fldChar w:fldCharType="end"/>
      </w:r>
    </w:p>
    <w:p w14:paraId="26353CD7">
      <w:pPr>
        <w:spacing w:after="200" w:line="400" w:lineRule="atLeast"/>
      </w:pPr>
      <w:r>
        <w:fldChar w:fldCharType="begin"/>
      </w:r>
      <w:r>
        <w:instrText xml:space="preserve"> HYPERLINK "https://www.ipss.go.jp/pp-zenkoku/e/zenkoku_e2017/pp_zenkoku2017e_gaiyou.html#%3A~%3Atext%3DBased%20on%20the%20results%20of%2Cand%20Figure%201-1%29." \h </w:instrText>
      </w:r>
      <w:r>
        <w:fldChar w:fldCharType="separate"/>
      </w:r>
      <w:r>
        <w:rPr>
          <w:rStyle w:val="13"/>
          <w:color w:val="0563C1"/>
        </w:rPr>
        <w:t>Population Projections for Japan</w:t>
      </w:r>
      <w:r>
        <w:rPr>
          <w:rStyle w:val="13"/>
          <w:color w:val="0563C1"/>
        </w:rPr>
        <w:fldChar w:fldCharType="end"/>
      </w:r>
    </w:p>
    <w:p w14:paraId="5D1FAD7D">
      <w:pPr>
        <w:spacing w:after="200" w:line="400" w:lineRule="atLeast"/>
      </w:pPr>
      <w:r>
        <w:fldChar w:fldCharType="begin"/>
      </w:r>
      <w:r>
        <w:instrText xml:space="preserve"> HYPERLINK "https://healtheconomicsreview.biomedcentral.com/articles/10.1186/s13561-022-00407-6" \h </w:instrText>
      </w:r>
      <w:r>
        <w:fldChar w:fldCharType="separate"/>
      </w:r>
      <w:r>
        <w:rPr>
          <w:rStyle w:val="13"/>
          <w:color w:val="0563C1"/>
        </w:rPr>
        <w:t>Rehabilitation in the long-term care insurance domain: a scoping review</w:t>
      </w:r>
      <w:r>
        <w:rPr>
          <w:rStyle w:val="13"/>
          <w:color w:val="0563C1"/>
        </w:rPr>
        <w:fldChar w:fldCharType="end"/>
      </w:r>
    </w:p>
    <w:p w14:paraId="31F3D402">
      <w:pPr>
        <w:spacing w:after="200" w:line="400" w:lineRule="atLeast"/>
      </w:pPr>
      <w:r>
        <w:fldChar w:fldCharType="begin"/>
      </w:r>
      <w:r>
        <w:instrText xml:space="preserve"> HYPERLINK "https://www.statista.com/statistics/1237097/japan-households-monthly-spending-category/" \h </w:instrText>
      </w:r>
      <w:r>
        <w:fldChar w:fldCharType="separate"/>
      </w:r>
      <w:r>
        <w:rPr>
          <w:rStyle w:val="13"/>
          <w:color w:val="0563C1"/>
        </w:rPr>
        <w:t>Average monthly consumption expenditures per household in Japan in 2023, by category (in 1,000 Japanese yen)</w:t>
      </w:r>
      <w:r>
        <w:rPr>
          <w:rStyle w:val="13"/>
          <w:color w:val="0563C1"/>
        </w:rPr>
        <w:fldChar w:fldCharType="end"/>
      </w:r>
    </w:p>
    <w:p w14:paraId="481092FC">
      <w:pPr>
        <w:spacing w:after="200" w:line="400" w:lineRule="atLeast"/>
      </w:pPr>
      <w:r>
        <w:fldChar w:fldCharType="begin"/>
      </w:r>
      <w:r>
        <w:instrText xml:space="preserve"> HYPERLINK "https://www.statista.com/statistics/642764/japan-senior-one-person-household-number/" \h </w:instrText>
      </w:r>
      <w:r>
        <w:fldChar w:fldCharType="separate"/>
      </w:r>
      <w:r>
        <w:rPr>
          <w:rStyle w:val="13"/>
          <w:color w:val="0563C1"/>
        </w:rPr>
        <w:t>Number of private one-person households with elderly members in Japan from 1980 to 2020 (in millions)</w:t>
      </w:r>
      <w:r>
        <w:rPr>
          <w:rStyle w:val="13"/>
          <w:color w:val="0563C1"/>
        </w:rPr>
        <w:fldChar w:fldCharType="end"/>
      </w:r>
    </w:p>
    <w:p w14:paraId="57684C63">
      <w:pPr>
        <w:spacing w:after="200" w:line="400" w:lineRule="atLeast"/>
      </w:pPr>
      <w:r>
        <w:fldChar w:fldCharType="begin"/>
      </w:r>
      <w:r>
        <w:instrText xml:space="preserve"> HYPERLINK "https://www.stat.go.jp/english/data/handbook/pdf/2021all.pdf" \h </w:instrText>
      </w:r>
      <w:r>
        <w:fldChar w:fldCharType="separate"/>
      </w:r>
      <w:r>
        <w:rPr>
          <w:rStyle w:val="13"/>
          <w:color w:val="0563C1"/>
        </w:rPr>
        <w:t>STATISTICAL HANDBOOK OF JAPAN 2021</w:t>
      </w:r>
      <w:r>
        <w:rPr>
          <w:rStyle w:val="13"/>
          <w:color w:val="0563C1"/>
        </w:rPr>
        <w:fldChar w:fldCharType="end"/>
      </w:r>
    </w:p>
    <w:p w14:paraId="387700E5">
      <w:pPr>
        <w:spacing w:after="200" w:line="400" w:lineRule="atLeast"/>
      </w:pPr>
      <w:r>
        <w:fldChar w:fldCharType="begin"/>
      </w:r>
      <w:r>
        <w:instrText xml:space="preserve"> HYPERLINK "https://www.stat.go.jp/english/data/handbook/pdf/2010all.pdf" \h </w:instrText>
      </w:r>
      <w:r>
        <w:fldChar w:fldCharType="separate"/>
      </w:r>
      <w:r>
        <w:rPr>
          <w:rStyle w:val="13"/>
          <w:color w:val="0563C1"/>
        </w:rPr>
        <w:t>Statistical Handbook of Japan 2010</w:t>
      </w:r>
      <w:r>
        <w:rPr>
          <w:rStyle w:val="13"/>
          <w:color w:val="0563C1"/>
        </w:rPr>
        <w:fldChar w:fldCharType="end"/>
      </w:r>
    </w:p>
    <w:p w14:paraId="59E2FA8C">
      <w:pPr>
        <w:spacing w:after="200" w:line="400" w:lineRule="atLeast"/>
      </w:pPr>
      <w:r>
        <w:fldChar w:fldCharType="begin"/>
      </w:r>
      <w:r>
        <w:instrText xml:space="preserve"> HYPERLINK "https://www.city.tsushima.lg.jp/kurashi/syouhiseikatsu/syokuhinnrosu.files/food_loss_guide_book_web_wide_data_7mb.pdf" \h </w:instrText>
      </w:r>
      <w:r>
        <w:fldChar w:fldCharType="separate"/>
      </w:r>
      <w:r>
        <w:rPr>
          <w:rStyle w:val="13"/>
          <w:color w:val="0563C1"/>
        </w:rPr>
        <w:t>Guidebook for Reduction of Food loss and waste</w:t>
      </w:r>
      <w:r>
        <w:rPr>
          <w:rStyle w:val="13"/>
          <w:color w:val="0563C1"/>
        </w:rPr>
        <w:fldChar w:fldCharType="end"/>
      </w:r>
    </w:p>
    <w:p w14:paraId="7DB01CFB">
      <w:pPr>
        <w:spacing w:after="200" w:line="400" w:lineRule="atLeast"/>
      </w:pPr>
      <w:r>
        <w:fldChar w:fldCharType="begin"/>
      </w:r>
      <w:r>
        <w:instrText xml:space="preserve"> HYPERLINK "https://mhealth.jmir.org/2024/1/PDF" \h </w:instrText>
      </w:r>
      <w:r>
        <w:fldChar w:fldCharType="separate"/>
      </w:r>
      <w:r>
        <w:rPr>
          <w:rStyle w:val="13"/>
          <w:color w:val="0563C1"/>
        </w:rPr>
        <w:t>JMIR mHealth and uHealth</w:t>
      </w:r>
      <w:r>
        <w:rPr>
          <w:rStyle w:val="13"/>
          <w:color w:val="0563C1"/>
        </w:rPr>
        <w:fldChar w:fldCharType="end"/>
      </w:r>
    </w:p>
    <w:p w14:paraId="52039B57">
      <w:pPr>
        <w:spacing w:after="200" w:line="400" w:lineRule="atLeast"/>
      </w:pPr>
      <w:r>
        <w:fldChar w:fldCharType="begin"/>
      </w:r>
      <w:r>
        <w:instrText xml:space="preserve"> HYPERLINK "https://bmcgeriatr.biomedcentral.com/articles/10.1186/s12877-025-06561-w" \h </w:instrText>
      </w:r>
      <w:r>
        <w:fldChar w:fldCharType="separate"/>
      </w:r>
      <w:r>
        <w:rPr>
          <w:rStyle w:val="13"/>
          <w:color w:val="0563C1"/>
        </w:rPr>
        <w:t>Association between cognitive function and smartphone ownership among Japanese very old adults: a cross-sectional and longitudinal study</w:t>
      </w:r>
      <w:r>
        <w:rPr>
          <w:rStyle w:val="13"/>
          <w:color w:val="0563C1"/>
        </w:rPr>
        <w:fldChar w:fldCharType="end"/>
      </w:r>
    </w:p>
    <w:p w14:paraId="76B8D1B5">
      <w:pPr>
        <w:spacing w:after="200" w:line="400" w:lineRule="atLeast"/>
      </w:pPr>
      <w:r>
        <w:fldChar w:fldCharType="begin"/>
      </w:r>
      <w:r>
        <w:instrText xml:space="preserve"> HYPERLINK "https://koreascience.kr/article/JAKO201517058945420.pdf" \h </w:instrText>
      </w:r>
      <w:r>
        <w:fldChar w:fldCharType="separate"/>
      </w:r>
      <w:r>
        <w:rPr>
          <w:rStyle w:val="13"/>
          <w:color w:val="0563C1"/>
        </w:rPr>
        <w:t>노인의 스마트 홈 헬스케어 이용 경험 Older Adults’ Experience of Smart-home Healthcare System</w:t>
      </w:r>
      <w:r>
        <w:rPr>
          <w:rStyle w:val="13"/>
          <w:color w:val="0563C1"/>
        </w:rPr>
        <w:fldChar w:fldCharType="end"/>
      </w:r>
    </w:p>
    <w:p w14:paraId="0B94C623">
      <w:pPr>
        <w:spacing w:after="200" w:line="400" w:lineRule="atLeast"/>
      </w:pPr>
      <w:r>
        <w:fldChar w:fldCharType="begin"/>
      </w:r>
      <w:r>
        <w:instrText xml:space="preserve"> HYPERLINK "https://www.frontiersin.org/journals/public-health/articles/10.3389/fpubh.2025.1540058/pdf" \h </w:instrText>
      </w:r>
      <w:r>
        <w:fldChar w:fldCharType="separate"/>
      </w:r>
      <w:r>
        <w:rPr>
          <w:rStyle w:val="13"/>
          <w:color w:val="0563C1"/>
        </w:rPr>
        <w:t>Revising nursing home design standards and regulations in the context of an aging population: insights from smart care buildings</w:t>
      </w:r>
      <w:r>
        <w:rPr>
          <w:rStyle w:val="13"/>
          <w:color w:val="0563C1"/>
        </w:rPr>
        <w:fldChar w:fldCharType="end"/>
      </w:r>
    </w:p>
    <w:p w14:paraId="6CE8EDA1">
      <w:pPr>
        <w:spacing w:after="200" w:line="400" w:lineRule="atLeast"/>
      </w:pPr>
      <w:r>
        <w:fldChar w:fldCharType="begin"/>
      </w:r>
      <w:r>
        <w:instrText xml:space="preserve"> HYPERLINK "https://www.city.funabashi.lg.jp/shisei/jouhoukoukai/004/02/0110/p121129_d/fil/keikakuann.pdf" \h </w:instrText>
      </w:r>
      <w:r>
        <w:fldChar w:fldCharType="separate"/>
      </w:r>
      <w:r>
        <w:rPr>
          <w:rStyle w:val="13"/>
          <w:color w:val="0563C1"/>
        </w:rPr>
        <w:t>いきいき安心プラン</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930FC">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4E5339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Words>2521</Words>
  <Characters>15249</Characters>
  <TotalTime>0</TotalTime>
  <ScaleCrop>false</ScaleCrop>
  <LinksUpToDate>false</LinksUpToDate>
  <CharactersWithSpaces>17658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2026-01-04T18:28:26Z</dcterms:created>
  <dc:creator>86188</dc:creator>
  <cp:lastModifiedBy>dyx</cp:lastModifiedBy>
  <dcterms:modified xsi:type="dcterms:W3CDTF">2026-01-04T18:29:15Z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7382d900-2110-4afd-b0a1-d219973eff39","Lable":"1","ReservedCode1":"7f516c3d7ee9b978568bcb126bd58101","ReservedCode2":"7f516c3d7ee9b978568bcb126bd58101","PropagateID":"Metasota_docx_694914cd86ee47b771420197_1_7382d900-2110-4afd-b0a1-d219973eff39","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B760036179E543969D2066D2D608FC23_12</vt:lpwstr>
  </property>
</Properties>
</file>