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E67DD">
      <w:pPr>
        <w:spacing w:after="400" w:line="400" w:lineRule="atLeast"/>
        <w:rPr>
          <w:rFonts w:hint="eastAsia" w:eastAsiaTheme="minorEastAsia"/>
          <w:lang w:eastAsia="zh-CN"/>
        </w:rPr>
      </w:pPr>
      <w:bookmarkStart w:id="0" w:name="_GoBack"/>
      <w:bookmarkEnd w:id="0"/>
      <w:r>
        <w:rPr>
          <w:rFonts w:hint="eastAsia" w:ascii="Times New Roman" w:eastAsia="微软雅黑" w:hAnsiTheme="minorHAnsi" w:cstheme="minorBidi"/>
          <w:b/>
          <w:sz w:val="30"/>
          <w:lang w:eastAsia="zh-CN"/>
        </w:rPr>
        <w:t>Comprehensive Research Report on Japan's Elderly Population Data, Consumption Potential, and Market Analysis for 2020-2050</w:t>
      </w:r>
    </w:p>
    <w:p w14:paraId="09B527F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Date of report: 29 December 2025</w:t>
      </w:r>
    </w:p>
    <w:p w14:paraId="263E1665">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Researcher: Dedicated Research Assistant</w:t>
      </w:r>
    </w:p>
    <w:p w14:paraId="4878FB67">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Report Summary</w:t>
      </w:r>
    </w:p>
    <w:p w14:paraId="7D0C3BD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report aims to comprehensively and in-depth explore methods for obtaining and interpreting key demographic data of Japan's elderly population from 2020 to 2050, assess their consumption potential, and conduct systematic analysis of the related "silver economy" market. As one of the countries facing the most severe aging challenges globally, Japan's profound social and economic transformations provide crucial research models for worldwide study. By integrating multiple information sources, this report seeks to offer policymakers, business decision-makers, and academic researchers a clear and detailed research framework.</w:t>
      </w:r>
    </w:p>
    <w:p w14:paraId="095C4650">
      <w:pPr>
        <w:spacing w:after="400" w:line="400" w:lineRule="atLeast"/>
        <w:rPr>
          <w:rFonts w:hint="eastAsia" w:eastAsiaTheme="minorEastAsia"/>
          <w:lang w:eastAsia="zh-CN"/>
        </w:rPr>
      </w:pPr>
      <w:r>
        <w:rPr>
          <w:rFonts w:hint="eastAsia" w:ascii="Times New Roman" w:eastAsia="微软雅黑" w:hAnsiTheme="minorHAnsi" w:cstheme="minorBidi"/>
          <w:b/>
          <w:sz w:val="21"/>
          <w:lang w:eastAsia="zh-CN"/>
        </w:rPr>
        <w:t>Key research findings:</w:t>
      </w:r>
    </w:p>
    <w:p w14:paraId="18092E97">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Authoritative sources for elderly population data: Japan's senior demographic projections are primarily published periodically by the National Institute of Social Security and Population Studies (NIPSSR), a government agency. The institute's "Future Population Projections" report serves as the primary source for detailed demographic forecasts (including age, gender, and regional distribution) spanning 2020 to 2050. Although search results do not directly provide specific document download links, all references indicate that the official website constitutes the definitive data source [1]. Other key data sources include census statistics from the Statistics Bureau of the Ministry of Internal Affairs and Communications [2][3].</w:t>
      </w:r>
    </w:p>
    <w:p w14:paraId="0F048EDD">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Methodology for Consumption Potential Forecasting: Academic circles and research institutions have employed various sophisticated econometric models to predict consumption potential among Japan's elderly population. Among these, the Dynamic Panel Model has proven particularly effective in analyzing consumption expenditures across different age groups [[4]][[5]]. This model effectively captures consumption inertia (lagged effects) while accounting for multiple influencing factors including income levels and family structures. Critical data sources include the Japanese government's Household Income and Expenditure Survey and the National Accounts Annual Report [[6]][[7]].</w:t>
      </w:r>
    </w:p>
    <w:p w14:paraId="16EAF2B2">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Market Landscape and Opportunities in the Silver Economy: Japan's silver economy market is vast and continuously expanding, projected to become the core driver of domestic demand in the coming decades. Market opportunities are widely distributed across multiple sectors including healthcare, nursing services, financial asset management, age-friendly consumer products, smart technology (Age-Tech), and cultural entertainment [8][9][10]. The needs of elderly consumers are shifting from basic survival-oriented consumption to developmental and enjoyment-oriented consumption that prioritizes health, convenience, and spiritual fulfillment [11][12].</w:t>
      </w:r>
    </w:p>
    <w:p w14:paraId="41E65816">
      <w:pPr>
        <w:numPr>
          <w:ilvl w:val="0"/>
          <w:numId w:val="1"/>
        </w:numPr>
        <w:spacing w:after="400" w:line="400" w:lineRule="atLeast"/>
        <w:ind w:left="0" w:leftChars="0" w:firstLine="0" w:firstLineChars="0"/>
      </w:pPr>
      <w:r>
        <w:rPr>
          <w:rFonts w:hint="eastAsia" w:ascii="Times New Roman" w:eastAsia="微软雅黑" w:hAnsiTheme="minorHAnsi" w:cstheme="minorBidi"/>
          <w:sz w:val="21"/>
          <w:lang w:eastAsia="zh-CN"/>
        </w:rPr>
        <w:t>Challenges in Accessing Comprehensive Market Reports: Despite significant market potential, search results reveal a lack of single, ready-to-use commercial reports that seamlessly integrate demographic data, consumption potential models, and comprehensive market analysis. While renowned business databases like Bloomberg or Euromonitor International are cited as potential sources for market analysis tools [[13]], no direct evidence exists of their specialized reports specifically targeting Japan's silver economy. Consequently, researchers must independently consolidate multi-source information from government agencies, academic publications, and professional consulting firms to conduct in-depth studies.</w:t>
      </w:r>
    </w:p>
    <w:p w14:paraId="222EE0F9">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This report is structured into three main sections, each providing detailed analysis of the aforementioned findings: The first section focuses on data acquisition methods and in-depth analysis of elderly population demographics; the second section delves into evaluation methodologies for consumption potential and economic modeling frameworks; the third section conducts comprehensive business analysis covering market structure, sector-specific segments, and future trends of Japan's silver economy.</w:t>
      </w:r>
    </w:p>
    <w:p w14:paraId="5F008001">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1: Data Acquisition and Analysis of Japan's Elderly Population (2020-2050)</w:t>
      </w:r>
    </w:p>
    <w:p w14:paraId="6372F90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Accurate demographic data serves as the cornerstone for understanding and predicting Japan's socio-economic development. For research on the elderly market, it is crucial to grasp the demographic structural trends over the next three decades. This section will provide a detailed overview of authoritative data sources, specific content, and acquisition pathways.</w:t>
      </w:r>
    </w:p>
    <w:p w14:paraId="47625DB0">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1.1 Main Official Data Sources and Release Mechanisms</w:t>
      </w:r>
    </w:p>
    <w:p w14:paraId="24DF02D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To obtain Japan's long-term population forecast data, particularly authoritative information on the elderly population, the following official institutions should be prioritized:</w:t>
      </w:r>
    </w:p>
    <w:p w14:paraId="73383E84">
      <w:pPr>
        <w:numPr>
          <w:ilvl w:val="-1"/>
          <w:numId w:val="2"/>
        </w:numPr>
        <w:spacing w:after="400" w:line="400" w:lineRule="atLeast"/>
      </w:pPr>
      <w:r>
        <w:rPr>
          <w:rFonts w:hint="eastAsia" w:ascii="Times New Roman" w:eastAsia="微软雅黑" w:hAnsiTheme="minorHAnsi" w:cstheme="minorBidi"/>
          <w:b/>
          <w:sz w:val="21"/>
          <w:lang w:eastAsia="zh-CN"/>
        </w:rPr>
        <w:t>Core authoritative institution: National Institute of Population and Social Security Research (NIPSSR)</w:t>
      </w:r>
    </w:p>
    <w:p w14:paraId="0FDD911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institute is a government research institution affiliated with Japan's Ministry of Health, Labour and Welfare, serving as the core authority for population forecasting and the release of relevant official data in Japan [[14]][[15]]. Its published report, *Japan's Future Population Forecast*, is regarded as the "gold standard" for studying Japan's population issues both domestically and internationally.</w:t>
      </w:r>
    </w:p>
    <w:p w14:paraId="0A379804">
      <w:pPr>
        <w:numPr>
          <w:ilvl w:val="-1"/>
          <w:numId w:val="2"/>
        </w:numPr>
        <w:spacing w:after="400" w:line="400" w:lineRule="atLeast"/>
      </w:pPr>
      <w:r>
        <w:rPr>
          <w:rFonts w:hint="eastAsia" w:ascii="Times New Roman" w:eastAsia="微软雅黑" w:hAnsiTheme="minorHAnsi" w:cstheme="minorBidi"/>
          <w:sz w:val="21"/>
          <w:lang w:eastAsia="zh-CN"/>
        </w:rPr>
        <w:t>Frequency and Cycle of Release: This forecast report is typically updated on a five-year cycle to reflect the latest census results and dynamic changes. For example, the "Estimate for Reiwa 5 (2023)" is based on the most recent data [[16]][[17]].</w:t>
      </w:r>
    </w:p>
    <w:p w14:paraId="14A8EA5C">
      <w:pPr>
        <w:numPr>
          <w:ilvl w:val="-1"/>
          <w:numId w:val="2"/>
        </w:numPr>
        <w:spacing w:after="400" w:line="400" w:lineRule="atLeast"/>
      </w:pPr>
      <w:r>
        <w:rPr>
          <w:rFonts w:hint="eastAsia" w:ascii="Times New Roman" w:eastAsia="微软雅黑" w:hAnsiTheme="minorHAnsi" w:cstheme="minorBidi"/>
          <w:sz w:val="21"/>
          <w:lang w:eastAsia="zh-CN"/>
        </w:rPr>
        <w:t>Data Authority: The predictive data from NIPSSR are widely utilized by various government departments in Japan for formulating long-term social security, healthcare, fiscal, and economic planning, with their scientific validity and authority being widely recognized [[18]][[19]][[20]].</w:t>
      </w:r>
    </w:p>
    <w:p w14:paraId="46733741">
      <w:pPr>
        <w:numPr>
          <w:ilvl w:val="-1"/>
          <w:numId w:val="2"/>
        </w:numPr>
        <w:spacing w:after="400" w:line="400" w:lineRule="atLeast"/>
      </w:pPr>
      <w:r>
        <w:rPr>
          <w:rFonts w:hint="eastAsia" w:ascii="Times New Roman" w:eastAsia="微软雅黑" w:hAnsiTheme="minorHAnsi" w:cstheme="minorBidi"/>
          <w:b/>
          <w:sz w:val="21"/>
          <w:lang w:eastAsia="zh-CN"/>
        </w:rPr>
        <w:t>Supplementary data source: Statistics Bureau, Ministry of Internal Affairs and Communications (MIC)</w:t>
      </w:r>
    </w:p>
    <w:p w14:paraId="526105C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Statistics Bureau of the Ministry of Internal Affairs and Communications is responsible for implementing and releasing the results of the National Population Survey (NPS), which serves as the primary source for obtaining Japan's most accurate and comprehensive historical and current demographic data [21][22]. While primarily providing actual data up to the current year, these figures form the foundation for future projections conducted by the NIPSSR. Additionally, the Ministry of Internal Affairs and Communications publishes annual population projections [23][24] to provide a basis for tracking short-term demographic changes.</w:t>
      </w:r>
    </w:p>
    <w:p w14:paraId="2E5D8240">
      <w:pPr>
        <w:numPr>
          <w:ilvl w:val="-1"/>
          <w:numId w:val="2"/>
        </w:numPr>
        <w:spacing w:after="400" w:line="400" w:lineRule="atLeast"/>
      </w:pPr>
      <w:r>
        <w:rPr>
          <w:rFonts w:hint="eastAsia" w:ascii="Times New Roman" w:eastAsia="微软雅黑" w:hAnsiTheme="minorHAnsi" w:cstheme="minorBidi"/>
          <w:b/>
          <w:sz w:val="21"/>
          <w:lang w:eastAsia="zh-CN"/>
        </w:rPr>
        <w:t>Local government data:</w:t>
      </w:r>
    </w:p>
    <w:p w14:paraId="7070CDF0">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Governments of prefectures, cities, and municipalities in Japan also release regional demographic and future projection reports based on national data [[25]][[26]][[27]]. These datasets hold significant value for regional market analysis and planning, such as assessing the aging population trends in specific areas like Hamamatsu City or Naganohara Town [[28]][[29]].</w:t>
      </w:r>
    </w:p>
    <w:p w14:paraId="378E47E2">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1.2 Detailed Analysis of Elderly Population Forecast Data for 2020-2050</w:t>
      </w:r>
    </w:p>
    <w:p w14:paraId="7F9F2C7C">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By synthesizing the forecast data released by NIPSSR, we can delineate a clear picture of Japan's elderly population over the coming decades.</w:t>
      </w:r>
    </w:p>
    <w:p w14:paraId="4A1925A6">
      <w:pPr>
        <w:numPr>
          <w:ilvl w:val="-1"/>
          <w:numId w:val="2"/>
        </w:numPr>
        <w:spacing w:after="400" w:line="400" w:lineRule="atLeast"/>
      </w:pPr>
      <w:r>
        <w:rPr>
          <w:rFonts w:hint="eastAsia" w:ascii="Times New Roman" w:eastAsia="微软雅黑" w:hAnsiTheme="minorHAnsi" w:cstheme="minorBidi"/>
          <w:b/>
          <w:sz w:val="21"/>
          <w:lang w:eastAsia="zh-CN"/>
        </w:rPr>
        <w:t>Overall trend: Continued deepening and acceleration of aging</w:t>
      </w:r>
    </w:p>
    <w:p w14:paraId="2BEADB5E">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Japan's aging rate (the proportion of the population aged 65 and above in the total population) approached 29% in 2020, and this ratio is projected to continue rising. According to NIPSSR projections, the aging rate will exceed 35% by 2040 and is expected to reach 38% to 40% by 2050 [[30]][[31]][[32]]. This implies that by then, one in every three individuals in Japanese society will be aged 65 or older.</w:t>
      </w:r>
    </w:p>
    <w:p w14:paraId="679CC263">
      <w:pPr>
        <w:numPr>
          <w:ilvl w:val="-1"/>
          <w:numId w:val="2"/>
        </w:numPr>
        <w:spacing w:after="400" w:line="400" w:lineRule="atLeast"/>
      </w:pPr>
      <w:r>
        <w:rPr>
          <w:rFonts w:hint="eastAsia" w:ascii="Times New Roman" w:eastAsia="微软雅黑" w:hAnsiTheme="minorHAnsi" w:cstheme="minorBidi"/>
          <w:b/>
          <w:sz w:val="21"/>
          <w:lang w:eastAsia="zh-CN"/>
        </w:rPr>
        <w:t>Evolution of demographic structure within the elderly population: "ultra-aging"</w:t>
      </w:r>
    </w:p>
    <w:p w14:paraId="449D896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More noteworthy than the overall aging trend is the change in age structure within the elderly population.</w:t>
      </w:r>
    </w:p>
    <w:p w14:paraId="014317C4">
      <w:pPr>
        <w:numPr>
          <w:ilvl w:val="-1"/>
          <w:numId w:val="2"/>
        </w:numPr>
        <w:spacing w:after="400" w:line="400" w:lineRule="atLeast"/>
      </w:pPr>
      <w:r>
        <w:rPr>
          <w:rFonts w:hint="eastAsia" w:ascii="Times New Roman" w:eastAsia="微软雅黑" w:hAnsiTheme="minorHAnsi" w:cstheme="minorBidi"/>
          <w:sz w:val="21"/>
          <w:lang w:eastAsia="zh-CN"/>
        </w:rPr>
        <w:t>Surge in the population of advanced elderly individuals aged 75 and above: From 2020 to 2050, the fastest-growing demographic group will be those aged 75 and above. This population exhibits significantly higher demands for medical care, nursing services, and daily assistance compared to the earlier elderly group aged 65-74 [[33]][[34]][[35]]. By 2050, it is projected that the population aged 75 and above will account for approximately one-quarter of the total population.</w:t>
      </w:r>
    </w:p>
    <w:p w14:paraId="38B04D60">
      <w:pPr>
        <w:numPr>
          <w:ilvl w:val="-1"/>
          <w:numId w:val="2"/>
        </w:numPr>
        <w:spacing w:after="400" w:line="400" w:lineRule="atLeast"/>
      </w:pPr>
      <w:r>
        <w:rPr>
          <w:rFonts w:hint="eastAsia" w:ascii="Times New Roman" w:eastAsia="微软雅黑" w:hAnsiTheme="minorHAnsi" w:cstheme="minorBidi"/>
          <w:sz w:val="21"/>
          <w:lang w:eastAsia="zh-CN"/>
        </w:rPr>
        <w:t>Significant increase in the population aged 85 and above: With the extension of life expectancy, the number of elderly individuals aged 85 and above will also rise substantially, posing significant challenges to long-term care service systems, healthcare resource allocation, and family structures.</w:t>
      </w:r>
    </w:p>
    <w:p w14:paraId="128908D4">
      <w:pPr>
        <w:numPr>
          <w:ilvl w:val="-1"/>
          <w:numId w:val="2"/>
        </w:numPr>
        <w:spacing w:after="400" w:line="400" w:lineRule="atLeast"/>
      </w:pPr>
      <w:r>
        <w:rPr>
          <w:rFonts w:hint="eastAsia" w:ascii="Times New Roman" w:eastAsia="微软雅黑" w:hAnsiTheme="minorHAnsi" w:cstheme="minorBidi"/>
          <w:sz w:val="21"/>
          <w:lang w:eastAsia="zh-CN"/>
        </w:rPr>
        <w:t>A sharp decline in the working-age population (15-64 years): Corresponding to the expansion of the elderly population is a continuous reduction in the working-age population. This implies a significant deterioration in the social dependency ratio (the number of elderly and children per working-age individual), imposing substantial pressure on the social security system [[36]].</w:t>
      </w:r>
    </w:p>
    <w:p w14:paraId="1B2EACBE">
      <w:pPr>
        <w:numPr>
          <w:ilvl w:val="-1"/>
          <w:numId w:val="2"/>
        </w:numPr>
        <w:spacing w:after="400" w:line="400" w:lineRule="atLeast"/>
      </w:pPr>
      <w:r>
        <w:rPr>
          <w:rFonts w:hint="eastAsia" w:ascii="Times New Roman" w:eastAsia="微软雅黑" w:hAnsiTheme="minorHAnsi" w:cstheme="minorBidi"/>
          <w:b/>
          <w:sz w:val="21"/>
          <w:lang w:eastAsia="zh-CN"/>
        </w:rPr>
        <w:t>Data granularity and dimensions:</w:t>
      </w:r>
    </w:p>
    <w:p w14:paraId="4AA2D04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predictive data from NIPSSR typically provides highly detailed dimensions, including:</w:t>
      </w:r>
    </w:p>
    <w:p w14:paraId="5D4094AD">
      <w:pPr>
        <w:numPr>
          <w:ilvl w:val="-1"/>
          <w:numId w:val="2"/>
        </w:numPr>
        <w:spacing w:after="400" w:line="400" w:lineRule="atLeast"/>
      </w:pPr>
      <w:r>
        <w:rPr>
          <w:rFonts w:hint="eastAsia" w:ascii="Times New Roman" w:eastAsia="微软雅黑" w:hAnsiTheme="minorHAnsi" w:cstheme="minorBidi"/>
          <w:sz w:val="21"/>
          <w:lang w:eastAsia="zh-CN"/>
        </w:rPr>
        <w:t>Population by age (single-year-old, five-year-old group) and sex.</w:t>
      </w:r>
    </w:p>
    <w:p w14:paraId="633CD3B4">
      <w:pPr>
        <w:numPr>
          <w:ilvl w:val="-1"/>
          <w:numId w:val="2"/>
        </w:numPr>
        <w:spacing w:after="400" w:line="400" w:lineRule="atLeast"/>
      </w:pPr>
      <w:r>
        <w:rPr>
          <w:rFonts w:hint="eastAsia" w:ascii="Times New Roman" w:eastAsia="微软雅黑" w:hAnsiTheme="minorHAnsi" w:cstheme="minorBidi"/>
          <w:sz w:val="21"/>
          <w:lang w:eastAsia="zh-CN"/>
        </w:rPr>
        <w:t>Regional forecasts at the national and prefectural levels [[37]][[38]].</w:t>
      </w:r>
    </w:p>
    <w:p w14:paraId="60BD45F3">
      <w:pPr>
        <w:numPr>
          <w:ilvl w:val="-1"/>
          <w:numId w:val="2"/>
        </w:numPr>
        <w:spacing w:after="400" w:line="400" w:lineRule="atLeast"/>
      </w:pPr>
      <w:r>
        <w:rPr>
          <w:rFonts w:hint="eastAsia" w:ascii="Times New Roman" w:eastAsia="微软雅黑" w:hAnsiTheme="minorHAnsi" w:cstheme="minorBidi"/>
          <w:sz w:val="21"/>
          <w:lang w:eastAsia="zh-CN"/>
        </w:rPr>
        <w:t>Key demographic indicators, such as the aging rate, proportion of young population, proportion of working-age population, and dependency ratio.</w:t>
      </w:r>
    </w:p>
    <w:p w14:paraId="702BF2A6">
      <w:pPr>
        <w:numPr>
          <w:ilvl w:val="-1"/>
          <w:numId w:val="2"/>
        </w:numPr>
        <w:spacing w:after="400" w:line="400" w:lineRule="atLeast"/>
      </w:pPr>
      <w:r>
        <w:rPr>
          <w:rFonts w:hint="eastAsia" w:ascii="Times New Roman" w:eastAsia="微软雅黑" w:hAnsiTheme="minorHAnsi" w:cstheme="minorBidi"/>
          <w:sz w:val="21"/>
          <w:lang w:eastAsia="zh-CN"/>
        </w:rPr>
        <w:t>Data are typically presented in five-year intervals, such as 2020,2025,2030,..., 2050 [[39]][[40]].</w:t>
      </w:r>
    </w:p>
    <w:p w14:paraId="04D6D01F">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1.3 Specific pathways and challenges for data acquisition</w:t>
      </w:r>
    </w:p>
    <w:p w14:paraId="25820F9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For researchers seeking to access these raw data, the specific operational pathway is as follows, while also noting the challenges involved.</w:t>
      </w:r>
    </w:p>
    <w:p w14:paraId="1BB842E2">
      <w:pPr>
        <w:numPr>
          <w:ilvl w:val="-1"/>
          <w:numId w:val="2"/>
        </w:numPr>
        <w:spacing w:after="400" w:line="400" w:lineRule="atLeast"/>
      </w:pPr>
      <w:r>
        <w:rPr>
          <w:rFonts w:hint="eastAsia" w:ascii="Times New Roman" w:eastAsia="微软雅黑" w:hAnsiTheme="minorHAnsi" w:cstheme="minorBidi"/>
          <w:b/>
          <w:sz w:val="21"/>
          <w:lang w:eastAsia="zh-CN"/>
        </w:rPr>
        <w:t>Recommended path: Visit the official website of the National Institute for Social Security and Population Studies (NIPSSR)</w:t>
      </w:r>
    </w:p>
    <w:p w14:paraId="478D7FAE">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Locating the official website: First, it is necessary to find the official website of the National Institute of Social Security and Population Issues through a search engine. Although the search results do not directly provide the URL [[41]][[42]][[43]], the official website is publicly accessible.</w:t>
      </w:r>
    </w:p>
    <w:p w14:paraId="55A75CF0">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Identify key sections: On the website, search for sections titled "Future Population Projections" or "Demographic Statistics Collection" [[44]][[45]][[46]].</w:t>
      </w:r>
    </w:p>
    <w:p w14:paraId="5056BFD7">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Select the latest report: After clicking to enter, select the most recent forecast report, such as "Estimate for Reiwa 5 (2023)" [[47]].</w:t>
      </w:r>
    </w:p>
    <w:p w14:paraId="758FB447">
      <w:pPr>
        <w:numPr>
          <w:ilvl w:val="0"/>
          <w:numId w:val="3"/>
        </w:numPr>
        <w:spacing w:after="400" w:line="400" w:lineRule="atLeast"/>
        <w:ind w:left="0" w:leftChars="0" w:firstLine="0" w:firstLineChars="0"/>
      </w:pPr>
      <w:r>
        <w:rPr>
          <w:rFonts w:hint="eastAsia" w:ascii="Times New Roman" w:eastAsia="微软雅黑" w:hAnsiTheme="minorHAnsi" w:cstheme="minorBidi"/>
          <w:sz w:val="21"/>
          <w:lang w:eastAsia="zh-CN"/>
        </w:rPr>
        <w:t>Download data files: Reports typically provide detailed PDF texts and accompanying statistical tables. These tables are often presented in Excel format to facilitate data analysis [[48]]. For example, files may be found with titles such as "Table 1-1 Total Population, Age Distribution by Three Groups (0–14 years, 15–64 years, and 65 years and above) and Approximate Age Structure Coefficients" [[49]].</w:t>
      </w:r>
    </w:p>
    <w:p w14:paraId="02209C40">
      <w:pPr>
        <w:numPr>
          <w:ilvl w:val="-1"/>
          <w:numId w:val="4"/>
        </w:numPr>
        <w:spacing w:after="400" w:line="400" w:lineRule="atLeast"/>
      </w:pPr>
      <w:r>
        <w:rPr>
          <w:rFonts w:hint="eastAsia" w:ascii="Times New Roman" w:eastAsia="微软雅黑" w:hAnsiTheme="minorHAnsi" w:cstheme="minorBidi"/>
          <w:b/>
          <w:sz w:val="21"/>
          <w:lang w:eastAsia="zh-CN"/>
        </w:rPr>
        <w:t>Challenges and considerations:</w:t>
      </w:r>
    </w:p>
    <w:p w14:paraId="5E212A35">
      <w:pPr>
        <w:numPr>
          <w:ilvl w:val="-1"/>
          <w:numId w:val="2"/>
        </w:numPr>
        <w:spacing w:after="400" w:line="400" w:lineRule="atLeast"/>
      </w:pPr>
      <w:r>
        <w:rPr>
          <w:rFonts w:hint="eastAsia" w:ascii="Times New Roman" w:eastAsia="微软雅黑" w:hAnsiTheme="minorHAnsi" w:cstheme="minorBidi"/>
          <w:sz w:val="21"/>
          <w:lang w:eastAsia="zh-CN"/>
        </w:rPr>
        <w:t>Language barrier: The official website and reports of NIPSSR are primarily published in Japanese. While some core content may be available in English, the most detailed data tables are typically in Japanese. Researchers are required to possess a certain level of Japanese reading proficiency or the ability to use translation tools.</w:t>
      </w:r>
    </w:p>
    <w:p w14:paraId="700985F1">
      <w:pPr>
        <w:numPr>
          <w:ilvl w:val="-1"/>
          <w:numId w:val="2"/>
        </w:numPr>
        <w:spacing w:after="400" w:line="400" w:lineRule="atLeast"/>
      </w:pPr>
      <w:r>
        <w:rPr>
          <w:rFonts w:hint="eastAsia" w:ascii="Times New Roman" w:eastAsia="微软雅黑" w:hAnsiTheme="minorHAnsi" w:cstheme="minorBidi"/>
          <w:sz w:val="21"/>
          <w:lang w:eastAsia="zh-CN"/>
        </w:rPr>
        <w:t>No direct URL found: After repeated verification of search results, no webpage provided a direct URL pointing to the specific data download page [[50]][[51]][[52]]. This indicates that researchers cannot access the data with a single click and must manually navigate through the official website to locate it.</w:t>
      </w:r>
    </w:p>
    <w:p w14:paraId="063BB7D4">
      <w:pPr>
        <w:numPr>
          <w:ilvl w:val="-1"/>
          <w:numId w:val="2"/>
        </w:numPr>
        <w:spacing w:after="400" w:line="400" w:lineRule="atLeast"/>
      </w:pPr>
      <w:r>
        <w:rPr>
          <w:rFonts w:hint="eastAsia" w:ascii="Times New Roman" w:eastAsia="微软雅黑" w:hAnsiTheme="minorHAnsi" w:cstheme="minorBidi"/>
          <w:sz w:val="21"/>
          <w:lang w:eastAsia="zh-CN"/>
        </w:rPr>
        <w:t>Understanding predictive assumptions: When utilizing these predictive data, it is essential to comprehend the underlying assumptions, including projections for future birth rates, mortality rates, and international migration rates. All predictions carry inherent uncertainties. The NIPSSR typically provides forecasts under three distinct scenarios: high, medium, and low. Researchers should select appropriate scenarios or conduct sensitivity analyses as needed.</w:t>
      </w:r>
    </w:p>
    <w:p w14:paraId="3B72F3A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Through the aforementioned approach, researchers can systematically obtain official, authoritative, and high-resolution forecast data on Japan's elderly population from 2020 to 2050, thereby establishing a robust data foundation for subsequent consumption potential and market analysis.</w:t>
      </w:r>
    </w:p>
    <w:p w14:paraId="4A66DDAB">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II: Forecasting and Methodology of Consumption Potential for Japan's Elderly Population</w:t>
      </w:r>
    </w:p>
    <w:p w14:paraId="5643B0D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Accurate assessment of consumption potential among the elderly population is crucial for enterprises to formulate market strategies and for governments to plan economic development. This is not merely a simple matter of multiplying population by per capita consumption, but rather a complex subject involving economics, sociology, and econometrics. This section will explore the mainstream methodologies for evaluating such potential.</w:t>
      </w:r>
    </w:p>
    <w:p w14:paraId="00007C36">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2.1 Macroeconomic Background and Characteristics of Consumption Potential in the Elderly</w:t>
      </w:r>
    </w:p>
    <w:p w14:paraId="1ABE5724">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elderly population in Japan constitutes a large and heterogeneous consumer market, whose consumption potential is influenced by multiple factors including income, assets, health status, family structure, and consumption attitudes.</w:t>
      </w:r>
    </w:p>
    <w:p w14:paraId="1A376D89">
      <w:pPr>
        <w:numPr>
          <w:ilvl w:val="-1"/>
          <w:numId w:val="2"/>
        </w:numPr>
        <w:spacing w:after="400" w:line="400" w:lineRule="atLeast"/>
      </w:pPr>
      <w:r>
        <w:rPr>
          <w:rFonts w:hint="eastAsia" w:ascii="Times New Roman" w:eastAsia="微软雅黑" w:hAnsiTheme="minorHAnsi" w:cstheme="minorBidi"/>
          <w:sz w:val="21"/>
          <w:lang w:eastAsia="zh-CN"/>
        </w:rPr>
        <w:t>Asset-driven rather than income-driven: Many elderly Japanese individuals possess substantial assets (primarily real estate and savings), yet their post-retirement income (pensions) remains relatively limited. Consequently, their consumption patterns are more influenced by asset stock and wealth effects than by current income levels. Effectively converting these substantial savings and assets into consumption is pivotal to revitalizing the silver economy.</w:t>
      </w:r>
    </w:p>
    <w:p w14:paraId="1D205993">
      <w:pPr>
        <w:numPr>
          <w:ilvl w:val="-1"/>
          <w:numId w:val="2"/>
        </w:numPr>
        <w:spacing w:after="400" w:line="400" w:lineRule="atLeast"/>
      </w:pPr>
      <w:r>
        <w:rPr>
          <w:rFonts w:hint="eastAsia" w:ascii="Times New Roman" w:eastAsia="微软雅黑" w:hAnsiTheme="minorHAnsi" w:cstheme="minorBidi"/>
          <w:sz w:val="21"/>
          <w:lang w:eastAsia="zh-CN"/>
        </w:rPr>
        <w:t>Transformation of consumption structure: The consumption focus of the elderly is shifting from traditional "survival-oriented" consumption (e.g., food and clothing) to "development-oriented" and "enjoyment-oriented" consumption [[53]][[54]]. This is specifically manifested as follows:</w:t>
      </w:r>
    </w:p>
    <w:p w14:paraId="2750C703">
      <w:pPr>
        <w:numPr>
          <w:ilvl w:val="-1"/>
          <w:numId w:val="2"/>
        </w:numPr>
        <w:spacing w:after="400" w:line="400" w:lineRule="atLeast"/>
      </w:pPr>
      <w:r>
        <w:rPr>
          <w:rFonts w:hint="eastAsia" w:ascii="Times New Roman" w:eastAsia="微软雅黑" w:hAnsiTheme="minorHAnsi" w:cstheme="minorBidi"/>
          <w:sz w:val="21"/>
          <w:lang w:eastAsia="zh-CN"/>
        </w:rPr>
        <w:t>High proportion of expenditure on health and medical services: The demand for healthcare, pharmaceuticals, health foods, and rehabilitation services is rigid and continuously increasing [[55]][[56]].</w:t>
      </w:r>
    </w:p>
    <w:p w14:paraId="322EED59">
      <w:pPr>
        <w:numPr>
          <w:ilvl w:val="-1"/>
          <w:numId w:val="2"/>
        </w:numPr>
        <w:spacing w:after="400" w:line="400" w:lineRule="atLeast"/>
      </w:pPr>
      <w:r>
        <w:rPr>
          <w:rFonts w:hint="eastAsia" w:ascii="Times New Roman" w:eastAsia="微软雅黑" w:hAnsiTheme="minorHAnsi" w:cstheme="minorBidi"/>
          <w:sz w:val="21"/>
          <w:lang w:eastAsia="zh-CN"/>
        </w:rPr>
        <w:t>Pursuit of convenience and quality life: Growing demand for domestic services, convenient retail channels, age-friendly adaptations, and smart home products.</w:t>
      </w:r>
    </w:p>
    <w:p w14:paraId="4D181357">
      <w:pPr>
        <w:numPr>
          <w:ilvl w:val="-1"/>
          <w:numId w:val="2"/>
        </w:numPr>
        <w:spacing w:after="400" w:line="400" w:lineRule="atLeast"/>
      </w:pPr>
      <w:r>
        <w:rPr>
          <w:rFonts w:hint="eastAsia" w:ascii="Times New Roman" w:eastAsia="微软雅黑" w:hAnsiTheme="minorHAnsi" w:cstheme="minorBidi"/>
          <w:sz w:val="21"/>
          <w:lang w:eastAsia="zh-CN"/>
        </w:rPr>
        <w:t>Rising spiritual and cultural consumption: Increased willingness to spend on tourism, social interactions, lifelong learning, and hobbies [57].</w:t>
      </w:r>
    </w:p>
    <w:p w14:paraId="6A2182FF">
      <w:pPr>
        <w:numPr>
          <w:ilvl w:val="-1"/>
          <w:numId w:val="2"/>
        </w:numPr>
        <w:spacing w:after="400" w:line="400" w:lineRule="atLeast"/>
      </w:pPr>
      <w:r>
        <w:rPr>
          <w:rFonts w:hint="eastAsia" w:ascii="Times New Roman" w:eastAsia="微软雅黑" w:hAnsiTheme="minorHAnsi" w:cstheme="minorBidi"/>
          <w:sz w:val="21"/>
          <w:lang w:eastAsia="zh-CN"/>
        </w:rPr>
        <w:t>Challenges to consumption willingness: Despite possessing assets, many elderly individuals exhibit a higher propensity to save and a cautious consumption attitude due to concerns about future health status and longevity risks, which may inhibit the full realization of their consumption potential [[58]][[59]].</w:t>
      </w:r>
    </w:p>
    <w:p w14:paraId="0805BC0B">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2.2 Core Economic Model for Consumption Potential Forecasting: Dynamic Panel Model</w:t>
      </w:r>
    </w:p>
    <w:p w14:paraId="43D7D1EA">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To quantify and predict consumption expenditures among the elderly, complex economic models are required. Among the provided search results, the Dynamic Panel Model is frequently cited, with a dedicated academic paper serving as a case study that elaborates on its methodology, establishing it as the core analytical framework for this report [[60]][[61]][[62]].</w:t>
      </w:r>
    </w:p>
    <w:p w14:paraId="2C596720">
      <w:pPr>
        <w:numPr>
          <w:ilvl w:val="-1"/>
          <w:numId w:val="2"/>
        </w:numPr>
        <w:spacing w:after="400" w:line="400" w:lineRule="atLeast"/>
      </w:pPr>
      <w:r>
        <w:rPr>
          <w:rFonts w:hint="eastAsia" w:ascii="Times New Roman" w:eastAsia="微软雅黑" w:hAnsiTheme="minorHAnsi" w:cstheme="minorBidi"/>
          <w:b/>
          <w:sz w:val="21"/>
          <w:lang w:eastAsia="zh-CN"/>
        </w:rPr>
        <w:t>Model Overview and Advantages:</w:t>
      </w:r>
    </w:p>
    <w:p w14:paraId="3562E12B">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dynamic panel model is an advanced econometric tool, particularly suited for analyzing data across time and across individuals (here referring to individual households or age groups). Its core advantages include:</w:t>
      </w:r>
    </w:p>
    <w:p w14:paraId="71D88E8E">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Capturing consumption inertia: The model incorporates "lagged consumption expenditure" as an explanatory variable, which effectively reflects the inertia or habitual nature of consumption behavior, i.e., current consumption is influenced by the consumption level of the previous period [[63]][[64]].</w:t>
      </w:r>
    </w:p>
    <w:p w14:paraId="128FA7C6">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Controlling for individual heterogeneity: Capable of addressing inherent differences that persist across families or age groups over time (e.g., consumption preferences, lifestyle patterns).</w:t>
      </w:r>
    </w:p>
    <w:p w14:paraId="5312365A">
      <w:pPr>
        <w:numPr>
          <w:ilvl w:val="0"/>
          <w:numId w:val="5"/>
        </w:numPr>
        <w:spacing w:after="400" w:line="400" w:lineRule="atLeast"/>
        <w:ind w:left="0" w:leftChars="0" w:firstLine="0" w:firstLineChars="0"/>
      </w:pPr>
      <w:r>
        <w:rPr>
          <w:rFonts w:hint="eastAsia" w:ascii="Times New Roman" w:eastAsia="微软雅黑" w:hAnsiTheme="minorHAnsi" w:cstheme="minorBidi"/>
          <w:sz w:val="21"/>
          <w:lang w:eastAsia="zh-CN"/>
        </w:rPr>
        <w:t>Addressing endogeneity issues: The generalized moment estimation method (GMM), such as the Arellano-Bond or Blundell-Bond estimators, can resolve endogeneity bias caused by lagged dependent variables in models, thereby yielding more reliable parameter estimates [[65]][[66]].</w:t>
      </w:r>
    </w:p>
    <w:p w14:paraId="43580D0D">
      <w:pPr>
        <w:numPr>
          <w:ilvl w:val="-1"/>
          <w:numId w:val="6"/>
        </w:numPr>
        <w:spacing w:after="400" w:line="400" w:lineRule="atLeast"/>
      </w:pPr>
      <w:r>
        <w:rPr>
          <w:rFonts w:hint="eastAsia" w:ascii="Times New Roman" w:eastAsia="微软雅黑" w:hAnsiTheme="minorHAnsi" w:cstheme="minorBidi"/>
          <w:b/>
          <w:sz w:val="21"/>
          <w:lang w:eastAsia="zh-CN"/>
        </w:rPr>
        <w:t>Case study: Ogura (2021)</w:t>
      </w:r>
    </w:p>
    <w:p w14:paraId="56EEA51F">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A study titled "Forecasting consumption expenditure using a dynamic panel model with cross-section dependence: The case of Japan" provides a concrete application case for our analysis [[67]][[68]][[69]].</w:t>
      </w:r>
    </w:p>
    <w:p w14:paraId="3D1408A9">
      <w:pPr>
        <w:numPr>
          <w:ilvl w:val="-1"/>
          <w:numId w:val="2"/>
        </w:numPr>
        <w:spacing w:after="400" w:line="400" w:lineRule="atLeast"/>
      </w:pPr>
      <w:r>
        <w:rPr>
          <w:rFonts w:hint="eastAsia" w:ascii="Times New Roman" w:eastAsia="微软雅黑" w:hAnsiTheme="minorHAnsi" w:cstheme="minorBidi"/>
          <w:sz w:val="21"/>
          <w:lang w:eastAsia="zh-CN"/>
        </w:rPr>
        <w:t>Research objective: To predict consumption expenditure across different age groups in Japan.</w:t>
      </w:r>
    </w:p>
    <w:p w14:paraId="64C09004">
      <w:pPr>
        <w:numPr>
          <w:ilvl w:val="-1"/>
          <w:numId w:val="2"/>
        </w:numPr>
        <w:spacing w:after="400" w:line="400" w:lineRule="atLeast"/>
      </w:pPr>
      <w:r>
        <w:rPr>
          <w:rFonts w:hint="eastAsia" w:ascii="Times New Roman" w:eastAsia="微软雅黑" w:hAnsiTheme="minorHAnsi" w:cstheme="minorBidi"/>
          <w:sz w:val="21"/>
          <w:lang w:eastAsia="zh-CN"/>
        </w:rPr>
        <w:t>Data source: This study utilized monthly data from the Japan Household Income and Expenditure Survey conducted between 2000 and 2020, covering household heads across different age groups [[70]][[71]][[72]].</w:t>
      </w:r>
    </w:p>
    <w:p w14:paraId="056890DF">
      <w:pPr>
        <w:numPr>
          <w:ilvl w:val="-1"/>
          <w:numId w:val="2"/>
        </w:numPr>
        <w:spacing w:after="400" w:line="400" w:lineRule="atLeast"/>
      </w:pPr>
      <w:r>
        <w:rPr>
          <w:rFonts w:hint="eastAsia" w:ascii="Times New Roman" w:eastAsia="微软雅黑" w:hAnsiTheme="minorHAnsi" w:cstheme="minorBidi"/>
          <w:sz w:val="21"/>
          <w:lang w:eastAsia="zh-CN"/>
        </w:rPr>
        <w:t>Model specification: The consumption expenditure function not only includes lagged consumption expenditure but also incorporates variables such as real disposable income and household demographic characteristics (e.g., age, family size) [[73]].</w:t>
      </w:r>
    </w:p>
    <w:p w14:paraId="284F8ECD">
      <w:pPr>
        <w:numPr>
          <w:ilvl w:val="-1"/>
          <w:numId w:val="2"/>
        </w:numPr>
        <w:spacing w:after="400" w:line="400" w:lineRule="atLeast"/>
      </w:pPr>
      <w:r>
        <w:rPr>
          <w:rFonts w:hint="eastAsia" w:ascii="Times New Roman" w:eastAsia="微软雅黑" w:hAnsiTheme="minorHAnsi" w:cstheme="minorBidi"/>
          <w:b/>
          <w:sz w:val="21"/>
          <w:lang w:eastAsia="zh-CN"/>
        </w:rPr>
        <w:t>Core findings:</w:t>
      </w:r>
    </w:p>
    <w:p w14:paraId="3811737F">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Prediction accuracy: Dynamic panel models outperform simple autoregressive (AR) models in intra-sample forecasting, demonstrating particularly superior predictive performance for younger and middle-aged populations [[74]][[75]].</w:t>
      </w:r>
    </w:p>
    <w:p w14:paraId="3C3143D0">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Special characteristics of the elderly population: For individuals aged 70 and above, the model's prediction accuracy shows a decline. Studies have found that consumption in this age group recovers significantly slower after external shocks such as the COVID-19 pandemic compared to other age groups, indicating higher vulnerability [[76]][[77]].</w:t>
      </w:r>
    </w:p>
    <w:p w14:paraId="76076F82">
      <w:pPr>
        <w:numPr>
          <w:ilvl w:val="0"/>
          <w:numId w:val="7"/>
        </w:numPr>
        <w:spacing w:after="400" w:line="400" w:lineRule="atLeast"/>
        <w:ind w:left="0" w:leftChars="0" w:firstLine="0" w:firstLineChars="0"/>
      </w:pPr>
      <w:r>
        <w:rPr>
          <w:rFonts w:hint="eastAsia" w:ascii="Times New Roman" w:eastAsia="微软雅黑" w:hAnsiTheme="minorHAnsi" w:cstheme="minorBidi"/>
          <w:sz w:val="21"/>
          <w:lang w:eastAsia="zh-CN"/>
        </w:rPr>
        <w:t>Policy implications: This study emphasizes that due to significant differences in consumption behaviors and responses to economic shocks across age groups, governments should adopt differentiated policies to stimulate consumption rather than a one-size-fits-all approach [[78]].</w:t>
      </w:r>
    </w:p>
    <w:p w14:paraId="0D1B2E31">
      <w:pPr>
        <w:numPr>
          <w:ilvl w:val="-1"/>
          <w:numId w:val="6"/>
        </w:numPr>
        <w:spacing w:after="400" w:line="400" w:lineRule="atLeast"/>
      </w:pPr>
      <w:r>
        <w:rPr>
          <w:rFonts w:hint="eastAsia" w:ascii="Times New Roman" w:eastAsia="微软雅黑" w:hAnsiTheme="minorHAnsi" w:cstheme="minorBidi"/>
          <w:b/>
          <w:sz w:val="21"/>
          <w:lang w:eastAsia="zh-CN"/>
        </w:rPr>
        <w:t>Other related models:</w:t>
      </w:r>
    </w:p>
    <w:p w14:paraId="729DB336">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addition to dynamic panel models, other economic models have been employed to analyze elderly consumption behavior as supplementary or reference tools:</w:t>
      </w:r>
    </w:p>
    <w:p w14:paraId="5D3F27D6">
      <w:pPr>
        <w:numPr>
          <w:ilvl w:val="-1"/>
          <w:numId w:val="2"/>
        </w:numPr>
        <w:spacing w:after="400" w:line="400" w:lineRule="atLeast"/>
      </w:pPr>
      <w:r>
        <w:rPr>
          <w:rFonts w:hint="eastAsia" w:ascii="Times New Roman" w:eastAsia="微软雅黑" w:hAnsiTheme="minorHAnsi" w:cstheme="minorBidi"/>
          <w:sz w:val="21"/>
          <w:lang w:eastAsia="zh-CN"/>
        </w:rPr>
        <w:t>Life-cycle framework: The classical consumption theory posits that individuals smooth their consumption over the entire life cycle, with consumption in old age dependent on lifetime savings accumulation [79].</w:t>
      </w:r>
    </w:p>
    <w:p w14:paraId="264943C1">
      <w:pPr>
        <w:numPr>
          <w:ilvl w:val="-1"/>
          <w:numId w:val="2"/>
        </w:numPr>
        <w:spacing w:after="400" w:line="400" w:lineRule="atLeast"/>
      </w:pPr>
      <w:r>
        <w:rPr>
          <w:rFonts w:hint="eastAsia" w:ascii="Times New Roman" w:eastAsia="微软雅黑" w:hAnsiTheme="minorHAnsi" w:cstheme="minorBidi"/>
          <w:sz w:val="21"/>
          <w:lang w:eastAsia="zh-CN"/>
        </w:rPr>
        <w:t>Nearly ideal demand system (AIDS) model: The AIDS model can be employed when analyzing the distribution of consumption across different commodity categories (e.g., food, healthcare, entertainment), with age fixed effects incorporated to capture the impact of population aging [[80]].</w:t>
      </w:r>
    </w:p>
    <w:p w14:paraId="599F59D3">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2.3 Data Sources and Software Tools Required for Prediction</w:t>
      </w:r>
    </w:p>
    <w:p w14:paraId="45714201">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implementation of the aforementioned model prediction requires a solid data foundation and specialized analytical tools.</w:t>
      </w:r>
    </w:p>
    <w:p w14:paraId="568391CB">
      <w:pPr>
        <w:numPr>
          <w:ilvl w:val="-1"/>
          <w:numId w:val="2"/>
        </w:numPr>
        <w:spacing w:after="400" w:line="400" w:lineRule="atLeast"/>
      </w:pPr>
      <w:r>
        <w:rPr>
          <w:rFonts w:hint="eastAsia" w:ascii="Times New Roman" w:eastAsia="微软雅黑" w:hAnsiTheme="minorHAnsi" w:cstheme="minorBidi"/>
          <w:b/>
          <w:sz w:val="21"/>
          <w:lang w:eastAsia="zh-CN"/>
        </w:rPr>
        <w:t>Key data sources:</w:t>
      </w:r>
    </w:p>
    <w:p w14:paraId="707AC961">
      <w:pPr>
        <w:numPr>
          <w:ilvl w:val="-1"/>
          <w:numId w:val="2"/>
        </w:numPr>
        <w:spacing w:after="400" w:line="400" w:lineRule="atLeast"/>
      </w:pPr>
      <w:r>
        <w:rPr>
          <w:rFonts w:hint="eastAsia" w:ascii="Times New Roman" w:eastAsia="微软雅黑" w:hAnsiTheme="minorHAnsi" w:cstheme="minorBidi"/>
          <w:sz w:val="21"/>
          <w:lang w:eastAsia="zh-CN"/>
        </w:rPr>
        <w:t>At the micro level: The Japan Household Income and Expenditure Survey (HIES) serves as the primary source for obtaining household-level data on consumption, income, assets, and liabilities [81].</w:t>
      </w:r>
    </w:p>
    <w:p w14:paraId="0879AAD8">
      <w:pPr>
        <w:numPr>
          <w:ilvl w:val="-1"/>
          <w:numId w:val="2"/>
        </w:numPr>
        <w:spacing w:after="400" w:line="400" w:lineRule="atLeast"/>
      </w:pPr>
      <w:r>
        <w:rPr>
          <w:rFonts w:hint="eastAsia" w:ascii="Times New Roman" w:eastAsia="微软雅黑" w:hAnsiTheme="minorHAnsi" w:cstheme="minorBidi"/>
          <w:sz w:val="21"/>
          <w:lang w:eastAsia="zh-CN"/>
        </w:rPr>
        <w:t>Macroeconomic level: The Annual Report on National Accounts released by the Cabinet Office of Japan provides data on macro consumption, GDP, disposable income, etc. [[82]].</w:t>
      </w:r>
    </w:p>
    <w:p w14:paraId="45F2C3D8">
      <w:pPr>
        <w:numPr>
          <w:ilvl w:val="-1"/>
          <w:numId w:val="2"/>
        </w:numPr>
        <w:spacing w:after="400" w:line="400" w:lineRule="atLeast"/>
      </w:pPr>
      <w:r>
        <w:rPr>
          <w:rFonts w:hint="eastAsia" w:ascii="Times New Roman" w:eastAsia="微软雅黑" w:hAnsiTheme="minorHAnsi" w:cstheme="minorBidi"/>
          <w:sz w:val="21"/>
          <w:lang w:eastAsia="zh-CN"/>
        </w:rPr>
        <w:t>Demographic level: Population projection data from the National Institute for Social Security and Population Studies (NIPSSR) serve as an indispensable source of demographic structural variables for the model [[83]][[84]][[85]].</w:t>
      </w:r>
    </w:p>
    <w:p w14:paraId="3F605CEA">
      <w:pPr>
        <w:numPr>
          <w:ilvl w:val="-1"/>
          <w:numId w:val="2"/>
        </w:numPr>
        <w:spacing w:after="400" w:line="400" w:lineRule="atLeast"/>
      </w:pPr>
      <w:r>
        <w:rPr>
          <w:rFonts w:hint="eastAsia" w:ascii="Times New Roman" w:eastAsia="微软雅黑" w:hAnsiTheme="minorHAnsi" w:cstheme="minorBidi"/>
          <w:sz w:val="21"/>
          <w:lang w:eastAsia="zh-CN"/>
        </w:rPr>
        <w:t>Other sources: International organizations such as the World Bank and the Organization for Economic Cooperation and Development (OECD) also provide macroeconomic and demographic data for comparative analysis [[86]][[87]].</w:t>
      </w:r>
    </w:p>
    <w:p w14:paraId="188895A6">
      <w:pPr>
        <w:numPr>
          <w:ilvl w:val="-1"/>
          <w:numId w:val="2"/>
        </w:numPr>
        <w:spacing w:after="400" w:line="400" w:lineRule="atLeast"/>
      </w:pPr>
      <w:r>
        <w:rPr>
          <w:rFonts w:hint="eastAsia" w:ascii="Times New Roman" w:eastAsia="微软雅黑" w:hAnsiTheme="minorHAnsi" w:cstheme="minorBidi"/>
          <w:b/>
          <w:sz w:val="21"/>
          <w:lang w:eastAsia="zh-CN"/>
        </w:rPr>
        <w:t>Econometric software:</w:t>
      </w:r>
    </w:p>
    <w:p w14:paraId="60CB0527">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The estimation process of dynamic panel models is relatively complex and typically requires specialized statistical software.</w:t>
      </w:r>
    </w:p>
    <w:p w14:paraId="7C927633">
      <w:pPr>
        <w:numPr>
          <w:ilvl w:val="-1"/>
          <w:numId w:val="2"/>
        </w:numPr>
        <w:spacing w:after="400" w:line="400" w:lineRule="atLeast"/>
      </w:pPr>
      <w:r>
        <w:rPr>
          <w:rFonts w:hint="eastAsia" w:ascii="Times New Roman" w:eastAsia="微软雅黑" w:hAnsiTheme="minorHAnsi" w:cstheme="minorBidi"/>
          <w:sz w:val="21"/>
          <w:lang w:eastAsia="zh-CN"/>
        </w:rPr>
        <w:t>R Language: As an open-source and powerful statistical programming environment, R offers a rich suite of packages for panel data analysis. For instance, the plm package serves as a standard tool for panel data processing, while specialized packages like pdynmc and dynamite are dedicated to estimating dynamic panel models [[88]][[89]][[90]]. Although no direct R code tutorials for replicating the Japanese elderly consumption forecasting case study [[91]] were found in search results, these toolkits provide researchers with the technical foundation for model implementation.</w:t>
      </w:r>
    </w:p>
    <w:p w14:paraId="767D45A3">
      <w:pPr>
        <w:numPr>
          <w:ilvl w:val="-1"/>
          <w:numId w:val="2"/>
        </w:numPr>
        <w:spacing w:after="400" w:line="400" w:lineRule="atLeast"/>
      </w:pPr>
      <w:r>
        <w:rPr>
          <w:rFonts w:hint="eastAsia" w:ascii="Times New Roman" w:eastAsia="微软雅黑" w:hAnsiTheme="minorHAnsi" w:cstheme="minorBidi"/>
          <w:sz w:val="21"/>
          <w:lang w:eastAsia="zh-CN"/>
        </w:rPr>
        <w:t>Stata: In economic research, Stata is another widely used software. It provides built-in commands such as xtabond and xtdpdsys, specifically designed for efficient estimation of GMM dynamic panel models [[92]][[93]][[94]].</w:t>
      </w:r>
    </w:p>
    <w:p w14:paraId="1FE633E7">
      <w:pPr>
        <w:numPr>
          <w:ilvl w:val="-1"/>
          <w:numId w:val="2"/>
        </w:numPr>
        <w:spacing w:after="400" w:line="400" w:lineRule="atLeast"/>
      </w:pPr>
      <w:r>
        <w:rPr>
          <w:rFonts w:hint="eastAsia" w:ascii="Times New Roman" w:eastAsia="微软雅黑" w:hAnsiTheme="minorHAnsi" w:cstheme="minorBidi"/>
          <w:sz w:val="21"/>
          <w:lang w:eastAsia="zh-CN"/>
        </w:rPr>
        <w:t>Other software such as Eviews, SAS, and Gauss also possess corresponding functionalities [[95]][[96]].</w:t>
      </w:r>
    </w:p>
    <w:p w14:paraId="21AE45B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In conclusion, forecasting the consumption potential of elderly individuals in Japan constitutes a rigorous data-driven and model-oriented process. By integrating advanced methodologies such as dynamic panel models with authoritative data from Japanese official sources, it is possible to conduct scientific projections regarding the future scale and structure of the consumer market.</w:t>
      </w:r>
    </w:p>
    <w:p w14:paraId="082047E4">
      <w:pPr>
        <w:spacing w:after="400" w:line="400" w:lineRule="atLeast"/>
        <w:rPr>
          <w:rFonts w:hint="eastAsia" w:eastAsiaTheme="minorEastAsia"/>
          <w:lang w:eastAsia="zh-CN"/>
        </w:rPr>
      </w:pPr>
      <w:r>
        <w:rPr>
          <w:rFonts w:hint="eastAsia" w:ascii="Times New Roman" w:eastAsia="微软雅黑" w:hAnsiTheme="minorHAnsi" w:cstheme="minorBidi"/>
          <w:b/>
          <w:sz w:val="30"/>
          <w:lang w:eastAsia="zh-CN"/>
        </w:rPr>
        <w:t>Part III: Comprehensive Analysis of the Japanese Senior Market (Silver Economy)</w:t>
      </w:r>
    </w:p>
    <w:p w14:paraId="2509B27D">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Building on the analysis of demographic trends and consumption potential from the previous sections, this section will focus on the specific market structure, business opportunities, and challenges of Japan's' Silver Economy,' while exploring how to obtain relevant market analysis reports.</w:t>
      </w:r>
    </w:p>
    <w:p w14:paraId="7A1523D4">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3.1 Market Size and Development Trends of the Silver Economy</w:t>
      </w:r>
    </w:p>
    <w:p w14:paraId="454F9AC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Japan's silver economy represents one of the most mature and largest elderly markets globally. Its development is driven not only by a substantial population base but also influenced by the wealth accumulation of the elderly population, evolving consumption concepts, and technological advancements.</w:t>
      </w:r>
    </w:p>
    <w:p w14:paraId="5081CFC0">
      <w:pPr>
        <w:numPr>
          <w:ilvl w:val="-1"/>
          <w:numId w:val="2"/>
        </w:numPr>
        <w:spacing w:after="400" w:line="400" w:lineRule="atLeast"/>
      </w:pPr>
      <w:r>
        <w:rPr>
          <w:rFonts w:hint="eastAsia" w:ascii="Times New Roman" w:eastAsia="微软雅黑" w:hAnsiTheme="minorHAnsi" w:cstheme="minorBidi"/>
          <w:sz w:val="21"/>
          <w:lang w:eastAsia="zh-CN"/>
        </w:rPr>
        <w:t>Vast market scale: Although the exact total market size for 2025 is not specified in search results, there is broad consensus that this represents a massive market valued at trillions to tens of trillions of yen [[97]][[98]][[99]]. With the entire "blockbuster generation" (post-war baby boomers) entering their 75s and beyond, future market consumption capacity and diverse demands are expected to be further unleashed.</w:t>
      </w:r>
    </w:p>
    <w:p w14:paraId="38046C96">
      <w:pPr>
        <w:numPr>
          <w:ilvl w:val="-1"/>
          <w:numId w:val="2"/>
        </w:numPr>
        <w:spacing w:after="400" w:line="400" w:lineRule="atLeast"/>
      </w:pPr>
      <w:r>
        <w:rPr>
          <w:rFonts w:hint="eastAsia" w:ascii="Times New Roman" w:eastAsia="微软雅黑" w:hAnsiTheme="minorHAnsi" w:cstheme="minorBidi"/>
          <w:sz w:val="21"/>
          <w:lang w:eastAsia="zh-CN"/>
        </w:rPr>
        <w:t>Diversification of consumer demographic profiles: Japanese elderly population should not be regarded as a homogeneous group. Market segmentation is crucial and can be categorized based on the following dimensions:</w:t>
      </w:r>
    </w:p>
    <w:p w14:paraId="76B229D9">
      <w:pPr>
        <w:numPr>
          <w:ilvl w:val="-1"/>
          <w:numId w:val="2"/>
        </w:numPr>
        <w:spacing w:after="400" w:line="400" w:lineRule="atLeast"/>
      </w:pPr>
      <w:r>
        <w:rPr>
          <w:rFonts w:hint="eastAsia" w:ascii="Times New Roman" w:eastAsia="微软雅黑" w:hAnsiTheme="minorHAnsi" w:cstheme="minorBidi"/>
          <w:sz w:val="21"/>
          <w:lang w:eastAsia="zh-CN"/>
        </w:rPr>
        <w:t>Age group: There are significant differences in health status, activity capacity, and consumption demands between "active elderly" aged 65-74 and "advanced-age individuals" aged 75 and above.</w:t>
      </w:r>
    </w:p>
    <w:p w14:paraId="312FA1BB">
      <w:pPr>
        <w:numPr>
          <w:ilvl w:val="-1"/>
          <w:numId w:val="2"/>
        </w:numPr>
        <w:spacing w:after="400" w:line="400" w:lineRule="atLeast"/>
      </w:pPr>
      <w:r>
        <w:rPr>
          <w:rFonts w:hint="eastAsia" w:ascii="Times New Roman" w:eastAsia="微软雅黑" w:hAnsiTheme="minorHAnsi" w:cstheme="minorBidi"/>
          <w:sz w:val="21"/>
          <w:lang w:eastAsia="zh-CN"/>
        </w:rPr>
        <w:t>Health status: Different market segments correspond to distinct conditions such as healthy, suboptimal health, and care-dependent states.</w:t>
      </w:r>
    </w:p>
    <w:p w14:paraId="67678D55">
      <w:pPr>
        <w:numPr>
          <w:ilvl w:val="-1"/>
          <w:numId w:val="2"/>
        </w:numPr>
        <w:spacing w:after="400" w:line="400" w:lineRule="atLeast"/>
      </w:pPr>
      <w:r>
        <w:rPr>
          <w:rFonts w:hint="eastAsia" w:ascii="Times New Roman" w:eastAsia="微软雅黑" w:hAnsiTheme="minorHAnsi" w:cstheme="minorBidi"/>
          <w:sz w:val="21"/>
          <w:lang w:eastAsia="zh-CN"/>
        </w:rPr>
        <w:t>Asset Level: The affluent class and ordinary pension recipients exhibit stark differences in consumption capacity and product selection.</w:t>
      </w:r>
    </w:p>
    <w:p w14:paraId="690A145A">
      <w:pPr>
        <w:numPr>
          <w:ilvl w:val="-1"/>
          <w:numId w:val="2"/>
        </w:numPr>
        <w:spacing w:after="400" w:line="400" w:lineRule="atLeast"/>
      </w:pPr>
      <w:r>
        <w:rPr>
          <w:rFonts w:hint="eastAsia" w:ascii="Times New Roman" w:eastAsia="微软雅黑" w:hAnsiTheme="minorHAnsi" w:cstheme="minorBidi"/>
          <w:sz w:val="21"/>
          <w:lang w:eastAsia="zh-CN"/>
        </w:rPr>
        <w:t>Living arrangements: solitary living, cohabitation with spouse, cohabitation with children, or residence in elderly care institutions, etc., influence their daily consumption patterns [[100]].</w:t>
      </w:r>
    </w:p>
    <w:p w14:paraId="44A4F547">
      <w:pPr>
        <w:numPr>
          <w:ilvl w:val="-1"/>
          <w:numId w:val="2"/>
        </w:numPr>
        <w:spacing w:after="400" w:line="400" w:lineRule="atLeast"/>
      </w:pPr>
      <w:r>
        <w:rPr>
          <w:rFonts w:hint="eastAsia" w:ascii="Times New Roman" w:eastAsia="微软雅黑" w:hAnsiTheme="minorHAnsi" w:cstheme="minorBidi"/>
          <w:sz w:val="21"/>
          <w:lang w:eastAsia="zh-CN"/>
        </w:rPr>
        <w:t>Technology-driven industrial upgrading: "Age-Tech" (aging technology) is emerging as a core growth engine for the silver economy. Technologies such as artificial intelligence (AI), the Internet of Things (IoT), and robotics are widely applied in fields including nursing care, health monitoring, social connectivity, and daily assistance, giving rise to new business models and services [[101]][[102]][[103]].</w:t>
      </w:r>
    </w:p>
    <w:p w14:paraId="4EB17A59">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3.2 Key Segmented Market Opportunities and Challenges</w:t>
      </w:r>
    </w:p>
    <w:p w14:paraId="0A8A5E82">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Japan's silver economy has permeated every facet of its socio-economic landscape, with the following niche markets warranting particular attention:</w:t>
      </w:r>
    </w:p>
    <w:p w14:paraId="51F10703">
      <w:pPr>
        <w:numPr>
          <w:ilvl w:val="-1"/>
          <w:numId w:val="2"/>
        </w:numPr>
        <w:spacing w:after="400" w:line="400" w:lineRule="atLeast"/>
      </w:pPr>
      <w:r>
        <w:rPr>
          <w:rFonts w:hint="eastAsia" w:ascii="Times New Roman" w:eastAsia="微软雅黑" w:hAnsiTheme="minorHAnsi" w:cstheme="minorBidi"/>
          <w:b/>
          <w:sz w:val="21"/>
          <w:lang w:eastAsia="zh-CN"/>
        </w:rPr>
        <w:t>1. Healthcare and Nursing Services Market:</w:t>
      </w:r>
    </w:p>
    <w:p w14:paraId="0156B242">
      <w:pPr>
        <w:numPr>
          <w:ilvl w:val="-1"/>
          <w:numId w:val="2"/>
        </w:numPr>
        <w:spacing w:after="400" w:line="400" w:lineRule="atLeast"/>
      </w:pPr>
      <w:r>
        <w:rPr>
          <w:rFonts w:hint="eastAsia" w:ascii="Times New Roman" w:eastAsia="微软雅黑" w:hAnsiTheme="minorHAnsi" w:cstheme="minorBidi"/>
          <w:sz w:val="21"/>
          <w:lang w:eastAsia="zh-CN"/>
        </w:rPr>
        <w:t>Opportunity: This represents the most essential and largest market segment in the silver economy. With the intensification of "super-aged population" trends, demand for chronic disease management, rehabilitation medicine, long-term care (home-based, community-based, and institutional), and hospice care will continue to surge. Additionally, preventive medicine, health management services, high-end medical examinations, and the health supplement market also hold promising prospects [[104]][[105]][[106]]. Japan possesses advanced expertise in human-centered nursing design and intelligent nursing equipment (such as nursing robots) [[107]].</w:t>
      </w:r>
    </w:p>
    <w:p w14:paraId="3FFA4DFA">
      <w:pPr>
        <w:numPr>
          <w:ilvl w:val="-1"/>
          <w:numId w:val="2"/>
        </w:numPr>
        <w:spacing w:after="400" w:line="400" w:lineRule="atLeast"/>
      </w:pPr>
      <w:r>
        <w:rPr>
          <w:rFonts w:hint="eastAsia" w:ascii="Times New Roman" w:eastAsia="微软雅黑" w:hAnsiTheme="minorHAnsi" w:cstheme="minorBidi"/>
          <w:sz w:val="21"/>
          <w:lang w:eastAsia="zh-CN"/>
        </w:rPr>
        <w:t>Challenge: The severe shortage of nursing staff is the biggest bottleneck constraining industrial development [[108]]. Meanwhile, public long-term care insurance faces enormous financial pressure, and balancing service quality with cost control remains a long-term challenge.</w:t>
      </w:r>
    </w:p>
    <w:p w14:paraId="3A660419">
      <w:pPr>
        <w:numPr>
          <w:ilvl w:val="-1"/>
          <w:numId w:val="2"/>
        </w:numPr>
        <w:spacing w:after="400" w:line="400" w:lineRule="atLeast"/>
      </w:pPr>
      <w:r>
        <w:rPr>
          <w:rFonts w:hint="eastAsia" w:ascii="Times New Roman" w:eastAsia="微软雅黑" w:hAnsiTheme="minorHAnsi" w:cstheme="minorBidi"/>
          <w:b/>
          <w:sz w:val="21"/>
          <w:lang w:eastAsia="zh-CN"/>
        </w:rPr>
        <w:t>2. Financial and Asset Management Markets:</w:t>
      </w:r>
    </w:p>
    <w:p w14:paraId="78000E9F">
      <w:pPr>
        <w:numPr>
          <w:ilvl w:val="-1"/>
          <w:numId w:val="2"/>
        </w:numPr>
        <w:spacing w:after="400" w:line="400" w:lineRule="atLeast"/>
      </w:pPr>
      <w:r>
        <w:rPr>
          <w:rFonts w:hint="eastAsia" w:ascii="Times New Roman" w:eastAsia="微软雅黑" w:hAnsiTheme="minorHAnsi" w:cstheme="minorBidi"/>
          <w:sz w:val="21"/>
          <w:lang w:eastAsia="zh-CN"/>
        </w:rPr>
        <w:t>Opportunity: The majority of personal financial assets in Japan are held by the elderly population. Consequently, there is a strong demand for financial services tailored to seniors, including wealth management, asset succession planning, trust services, reverse mortgages (housing-for-pension), and low-risk investment products suitable for the elderly [[109]].</w:t>
      </w:r>
    </w:p>
    <w:p w14:paraId="1B7884DF">
      <w:pPr>
        <w:numPr>
          <w:ilvl w:val="-1"/>
          <w:numId w:val="2"/>
        </w:numPr>
        <w:spacing w:after="400" w:line="400" w:lineRule="atLeast"/>
      </w:pPr>
      <w:r>
        <w:rPr>
          <w:rFonts w:hint="eastAsia" w:ascii="Times New Roman" w:eastAsia="微软雅黑" w:hAnsiTheme="minorHAnsi" w:cstheme="minorBidi"/>
          <w:sz w:val="21"/>
          <w:lang w:eastAsia="zh-CN"/>
        </w:rPr>
        <w:t>Challenges: Financial institutions need to address issues such as relatively insufficient financial knowledge among the elderly and their susceptibility to financial fraud. They should place greater emphasis on safety and accessibility in product design and service delivery.</w:t>
      </w:r>
    </w:p>
    <w:p w14:paraId="783F48A9">
      <w:pPr>
        <w:numPr>
          <w:ilvl w:val="-1"/>
          <w:numId w:val="2"/>
        </w:numPr>
        <w:spacing w:after="400" w:line="400" w:lineRule="atLeast"/>
      </w:pPr>
      <w:r>
        <w:rPr>
          <w:rFonts w:hint="eastAsia" w:ascii="Times New Roman" w:eastAsia="微软雅黑" w:hAnsiTheme="minorHAnsi" w:cstheme="minorBidi"/>
          <w:b/>
          <w:sz w:val="21"/>
          <w:lang w:eastAsia="zh-CN"/>
        </w:rPr>
        <w:t>3. Consumer Goods and Retail Market:</w:t>
      </w:r>
    </w:p>
    <w:p w14:paraId="6EA8CB8E">
      <w:pPr>
        <w:numPr>
          <w:ilvl w:val="-1"/>
          <w:numId w:val="2"/>
        </w:numPr>
        <w:spacing w:after="400" w:line="400" w:lineRule="atLeast"/>
      </w:pPr>
      <w:r>
        <w:rPr>
          <w:rFonts w:hint="eastAsia" w:ascii="Times New Roman" w:eastAsia="微软雅黑" w:hAnsiTheme="minorHAnsi" w:cstheme="minorBidi"/>
          <w:sz w:val="21"/>
          <w:lang w:eastAsia="zh-CN"/>
        </w:rPr>
        <w:t>Opportunities: Age-friendly product design has become mainstream. From easily openable packaging and larger font instructions, to simplified functions and user-friendly home appliances, to nutritionally balanced and easy-to-chew "care foods," the market potential is enormous [110]. Additionally, the increasing penetration rate of online shopping among the elderly is creating new opportunities for e-commerce platforms.</w:t>
      </w:r>
    </w:p>
    <w:p w14:paraId="0F90E20D">
      <w:pPr>
        <w:numPr>
          <w:ilvl w:val="-1"/>
          <w:numId w:val="2"/>
        </w:numPr>
        <w:spacing w:after="400" w:line="400" w:lineRule="atLeast"/>
      </w:pPr>
      <w:r>
        <w:rPr>
          <w:rFonts w:hint="eastAsia" w:ascii="Times New Roman" w:eastAsia="微软雅黑" w:hAnsiTheme="minorHAnsi" w:cstheme="minorBidi"/>
          <w:sz w:val="21"/>
          <w:lang w:eastAsia="zh-CN"/>
        </w:rPr>
        <w:t>Challenge: Traditional retail formats require age-friendly adaptations to provide more comfortable shopping environments and humanized services. Product development necessitates a deep understanding of the physiological and psychological needs of the elderly to avoid stereotypical designs labeled as 'aging for the sake of aging.'</w:t>
      </w:r>
    </w:p>
    <w:p w14:paraId="4A2D9DFF">
      <w:pPr>
        <w:numPr>
          <w:ilvl w:val="-1"/>
          <w:numId w:val="2"/>
        </w:numPr>
        <w:spacing w:after="400" w:line="400" w:lineRule="atLeast"/>
      </w:pPr>
      <w:r>
        <w:rPr>
          <w:rFonts w:hint="eastAsia" w:ascii="Times New Roman" w:eastAsia="微软雅黑" w:hAnsiTheme="minorHAnsi" w:cstheme="minorBidi"/>
          <w:b/>
          <w:sz w:val="21"/>
          <w:lang w:eastAsia="zh-CN"/>
        </w:rPr>
        <w:t>4. Housing and Community Markets:</w:t>
      </w:r>
    </w:p>
    <w:p w14:paraId="322FF481">
      <w:pPr>
        <w:numPr>
          <w:ilvl w:val="-1"/>
          <w:numId w:val="2"/>
        </w:numPr>
        <w:spacing w:after="400" w:line="400" w:lineRule="atLeast"/>
      </w:pPr>
      <w:r>
        <w:rPr>
          <w:rFonts w:hint="eastAsia" w:ascii="Times New Roman" w:eastAsia="微软雅黑" w:hAnsiTheme="minorHAnsi" w:cstheme="minorBidi"/>
          <w:sz w:val="21"/>
          <w:lang w:eastAsia="zh-CN"/>
        </w:rPr>
        <w:t>Opportunities: "Aging in place" has become a mainstream trend, driving the market for barrier-free home adaptations. Meanwhile, diversified elderly care housing options such as paid nursing homes and senior apartments (service-oriented residences for the elderly, abbreviated as Sa-Ka-shu) offering varying levels of care services are also experiencing rapid growth [111].</w:t>
      </w:r>
    </w:p>
    <w:p w14:paraId="0C0DBC1B">
      <w:pPr>
        <w:numPr>
          <w:ilvl w:val="-1"/>
          <w:numId w:val="2"/>
        </w:numPr>
        <w:spacing w:after="400" w:line="400" w:lineRule="atLeast"/>
      </w:pPr>
      <w:r>
        <w:rPr>
          <w:rFonts w:hint="eastAsia" w:ascii="Times New Roman" w:eastAsia="微软雅黑" w:hAnsiTheme="minorHAnsi" w:cstheme="minorBidi"/>
          <w:sz w:val="21"/>
          <w:lang w:eastAsia="zh-CN"/>
        </w:rPr>
        <w:t>Challenges: High-quality elderly care institutions incur substantial investment costs and impose exorbitant fees, resulting in a disparity between market supply and the payment capacity of the general public. The integration and coordination of community-based elderly care services still require enhancement.</w:t>
      </w:r>
    </w:p>
    <w:p w14:paraId="5A84DBA5">
      <w:pPr>
        <w:numPr>
          <w:ilvl w:val="-1"/>
          <w:numId w:val="2"/>
        </w:numPr>
        <w:spacing w:after="400" w:line="400" w:lineRule="atLeast"/>
      </w:pPr>
      <w:r>
        <w:rPr>
          <w:rFonts w:hint="eastAsia" w:ascii="Times New Roman" w:eastAsia="微软雅黑" w:hAnsiTheme="minorHAnsi" w:cstheme="minorBidi"/>
          <w:b/>
          <w:sz w:val="21"/>
          <w:lang w:eastAsia="zh-CN"/>
        </w:rPr>
        <w:t>5. Technology and Digital Services Market (Age-Tech):</w:t>
      </w:r>
    </w:p>
    <w:p w14:paraId="718C3373">
      <w:pPr>
        <w:numPr>
          <w:ilvl w:val="-1"/>
          <w:numId w:val="2"/>
        </w:numPr>
        <w:spacing w:after="400" w:line="400" w:lineRule="atLeast"/>
      </w:pPr>
      <w:r>
        <w:rPr>
          <w:rFonts w:hint="eastAsia" w:ascii="Times New Roman" w:eastAsia="微软雅黑" w:hAnsiTheme="minorHAnsi" w:cstheme="minorBidi"/>
          <w:sz w:val="21"/>
          <w:lang w:eastAsia="zh-CN"/>
        </w:rPr>
        <w:t>Opportunities: This is the most innovative and dynamic field, encompassing wearable devices for health monitoring, telemedicine systems, mobility-assisting robots, online community platforms to prevent social isolation, and digital skills training for the elderly [[112]][[113]].</w:t>
      </w:r>
    </w:p>
    <w:p w14:paraId="490429C9">
      <w:pPr>
        <w:numPr>
          <w:ilvl w:val="-1"/>
          <w:numId w:val="2"/>
        </w:numPr>
        <w:spacing w:after="400" w:line="400" w:lineRule="atLeast"/>
      </w:pPr>
      <w:r>
        <w:rPr>
          <w:rFonts w:hint="eastAsia" w:ascii="Times New Roman" w:eastAsia="微软雅黑" w:hAnsiTheme="minorHAnsi" w:cstheme="minorBidi"/>
          <w:sz w:val="21"/>
          <w:lang w:eastAsia="zh-CN"/>
        </w:rPr>
        <w:t>Challenges: The digital divide persists, with product usability and user experience being critical to success. Data privacy and security issues also remain a major concern for elderly users and their families.</w:t>
      </w:r>
    </w:p>
    <w:p w14:paraId="600BE88E">
      <w:pPr>
        <w:numPr>
          <w:ilvl w:val="-1"/>
          <w:numId w:val="2"/>
        </w:numPr>
        <w:spacing w:after="400" w:line="400" w:lineRule="atLeast"/>
      </w:pPr>
      <w:r>
        <w:rPr>
          <w:rFonts w:hint="eastAsia" w:ascii="Times New Roman" w:eastAsia="微软雅黑" w:hAnsiTheme="minorHAnsi" w:cstheme="minorBidi"/>
          <w:b/>
          <w:sz w:val="21"/>
          <w:lang w:eastAsia="zh-CN"/>
        </w:rPr>
        <w:t>6. Culture, Entertainment, and Tourism Market:</w:t>
      </w:r>
    </w:p>
    <w:p w14:paraId="59224AD7">
      <w:pPr>
        <w:numPr>
          <w:ilvl w:val="-1"/>
          <w:numId w:val="2"/>
        </w:numPr>
        <w:spacing w:after="400" w:line="400" w:lineRule="atLeast"/>
      </w:pPr>
      <w:r>
        <w:rPr>
          <w:rFonts w:hint="eastAsia" w:ascii="Times New Roman" w:eastAsia="微软雅黑" w:hAnsiTheme="minorHAnsi" w:cstheme="minorBidi"/>
          <w:sz w:val="21"/>
          <w:lang w:eastAsia="zh-CN"/>
        </w:rPr>
        <w:t>Opportunity: Healthy elderly individuals with substantial leisure time are loyal consumers in the cultural and tourism markets. There is strong demand for customized travel itineraries, lifelong learning programs, interest-based communities, and cultural appreciation activities tailored for seniors [[114]].</w:t>
      </w:r>
    </w:p>
    <w:p w14:paraId="3881D75F">
      <w:pPr>
        <w:numPr>
          <w:ilvl w:val="-1"/>
          <w:numId w:val="2"/>
        </w:numPr>
        <w:spacing w:after="400" w:line="400" w:lineRule="atLeast"/>
      </w:pPr>
      <w:r>
        <w:rPr>
          <w:rFonts w:hint="eastAsia" w:ascii="Times New Roman" w:eastAsia="微软雅黑" w:hAnsiTheme="minorHAnsi" w:cstheme="minorBidi"/>
          <w:sz w:val="21"/>
          <w:lang w:eastAsia="zh-CN"/>
        </w:rPr>
        <w:t>Challenge: Products and services need to fully consider the physical, rhythmic, and safety needs of older adults.</w:t>
      </w:r>
    </w:p>
    <w:p w14:paraId="073B2A35">
      <w:pPr>
        <w:spacing w:after="400" w:line="400" w:lineRule="atLeast"/>
        <w:rPr>
          <w:rFonts w:hint="eastAsia" w:eastAsiaTheme="minorEastAsia"/>
          <w:lang w:eastAsia="zh-CN"/>
        </w:rPr>
      </w:pPr>
      <w:r>
        <w:rPr>
          <w:rFonts w:hint="eastAsia" w:ascii="Times New Roman" w:eastAsia="微软雅黑" w:hAnsiTheme="minorHAnsi" w:cstheme="minorBidi"/>
          <w:b/>
          <w:sz w:val="26"/>
          <w:lang w:eastAsia="zh-CN"/>
        </w:rPr>
        <w:t>3.3 Acquisition Channels and Strategies for Market Analysis Reports</w:t>
      </w:r>
    </w:p>
    <w:p w14:paraId="51A37093">
      <w:pPr>
        <w:spacing w:after="400" w:line="400" w:lineRule="atLeast"/>
        <w:rPr>
          <w:rFonts w:hint="eastAsia" w:eastAsiaTheme="minorEastAsia"/>
          <w:lang w:eastAsia="zh-CN"/>
        </w:rPr>
      </w:pPr>
      <w:r>
        <w:rPr>
          <w:rFonts w:hint="eastAsia" w:ascii="Times New Roman" w:eastAsia="微软雅黑" w:hAnsiTheme="minorHAnsi" w:cstheme="minorBidi"/>
          <w:sz w:val="21"/>
          <w:lang w:eastAsia="zh-CN"/>
        </w:rPr>
        <w:t>For users seeking off-the-shelf, comprehensive market analysis reports, search results reveal a critical reality: it is challenging to directly obtain a 'packaged' report that covers all requirements. Therefore, a multi-source integrated research strategy is necessary.</w:t>
      </w:r>
    </w:p>
    <w:p w14:paraId="3D14A6F0">
      <w:pPr>
        <w:numPr>
          <w:ilvl w:val="-1"/>
          <w:numId w:val="2"/>
        </w:numPr>
        <w:spacing w:after="400" w:line="400" w:lineRule="atLeast"/>
      </w:pPr>
      <w:r>
        <w:rPr>
          <w:rFonts w:hint="eastAsia" w:ascii="Times New Roman" w:eastAsia="微软雅黑" w:hAnsiTheme="minorHAnsi" w:cstheme="minorBidi"/>
          <w:b/>
          <w:sz w:val="21"/>
          <w:lang w:eastAsia="zh-CN"/>
        </w:rPr>
        <w:t>Commercial databases and consulting firms:</w:t>
      </w:r>
    </w:p>
    <w:p w14:paraId="79BCF70F">
      <w:pPr>
        <w:numPr>
          <w:ilvl w:val="-1"/>
          <w:numId w:val="2"/>
        </w:numPr>
        <w:spacing w:after="400" w:line="400" w:lineRule="atLeast"/>
      </w:pPr>
      <w:r>
        <w:rPr>
          <w:rFonts w:hint="eastAsia" w:ascii="Times New Roman" w:eastAsia="微软雅黑" w:hAnsiTheme="minorHAnsi" w:cstheme="minorBidi"/>
          <w:sz w:val="21"/>
          <w:lang w:eastAsia="zh-CN"/>
        </w:rPr>
        <w:t>Current Status: Search results mention renowned business databases such as Euromonitor International and Bloomberg, which are recognized as universal tools for market analysis [[115]]. However, no findings confirm that these platforms offer specific, purchasable comprehensive reports tailored for the "Japanese Silver Economy" that integrate demographic projections and consumption potential models [[116]][[117]][[118]]. This suggests that such highly integrated reports may not be sold as standardized products, or may require specific subscriptions or customized research projects to access.</w:t>
      </w:r>
    </w:p>
    <w:p w14:paraId="6177F693">
      <w:pPr>
        <w:numPr>
          <w:ilvl w:val="-1"/>
          <w:numId w:val="2"/>
        </w:numPr>
        <w:spacing w:after="400" w:line="400" w:lineRule="atLeast"/>
      </w:pPr>
      <w:r>
        <w:rPr>
          <w:rFonts w:hint="eastAsia" w:ascii="Times New Roman" w:eastAsia="微软雅黑" w:hAnsiTheme="minorHAnsi" w:cstheme="minorBidi"/>
          <w:sz w:val="21"/>
          <w:lang w:eastAsia="zh-CN"/>
        </w:rPr>
        <w:t>Strategy: Researchers may proactively visit these databases' websites by searching with keywords such as "Japan,"  "silver economy,"  "aging population," and "elderly care" to potentially identify relevant industry briefings, data charts, or partial analyses. A more effective approach is to directly contact the research departments of these companies to explore the possibility of customized research services. Additionally, some Japanese domestic research consulting firms, such as Yano Economic Research Institute [119], and research departments of major banks (e.g., Sumitomo Trust Bank) [120], may also publish in-depth reports in related fields.</w:t>
      </w:r>
    </w:p>
    <w:p w14:paraId="4BB1F10B">
      <w:pPr>
        <w:numPr>
          <w:ilvl w:val="-1"/>
          <w:numId w:val="2"/>
        </w:numPr>
        <w:spacing w:after="400" w:line="400" w:lineRule="atLeast"/>
      </w:pPr>
      <w:r>
        <w:rPr>
          <w:rFonts w:hint="eastAsia" w:ascii="Times New Roman" w:eastAsia="微软雅黑" w:hAnsiTheme="minorHAnsi" w:cstheme="minorBidi"/>
          <w:b/>
          <w:sz w:val="21"/>
          <w:lang w:eastAsia="zh-CN"/>
        </w:rPr>
        <w:t>Open reports from governments and academic institutions:</w:t>
      </w:r>
    </w:p>
    <w:p w14:paraId="24522B0D">
      <w:pPr>
        <w:numPr>
          <w:ilvl w:val="-1"/>
          <w:numId w:val="2"/>
        </w:numPr>
        <w:spacing w:after="400" w:line="400" w:lineRule="atLeast"/>
      </w:pPr>
      <w:r>
        <w:rPr>
          <w:rFonts w:hint="eastAsia" w:ascii="Times New Roman" w:eastAsia="微软雅黑" w:hAnsiTheme="minorHAnsi" w:cstheme="minorBidi"/>
          <w:sz w:val="21"/>
          <w:lang w:eastAsia="zh-CN"/>
        </w:rPr>
        <w:t>Source: This is the most reliable and cost-effective channel for obtaining macro-level context and in-depth analysis.</w:t>
      </w:r>
    </w:p>
    <w:p w14:paraId="40E7B318">
      <w:pPr>
        <w:numPr>
          <w:ilvl w:val="-1"/>
          <w:numId w:val="2"/>
        </w:numPr>
        <w:spacing w:after="400" w:line="400" w:lineRule="atLeast"/>
      </w:pPr>
      <w:r>
        <w:rPr>
          <w:rFonts w:hint="eastAsia" w:ascii="Times New Roman" w:eastAsia="微软雅黑" w:hAnsiTheme="minorHAnsi" w:cstheme="minorBidi"/>
          <w:sz w:val="21"/>
          <w:lang w:eastAsia="zh-CN"/>
        </w:rPr>
        <w:t>The Cabinet Office, Ministry of Health, Labour and Welfare, and other government agencies regularly release official documents such as the White Paper on an Aging Society, comprehensively outlining the government's understanding of aging issues, policy trends, and relevant statistical data [[121]][[122]].</w:t>
      </w:r>
    </w:p>
    <w:p w14:paraId="0CF71FFA">
      <w:pPr>
        <w:numPr>
          <w:ilvl w:val="-1"/>
          <w:numId w:val="2"/>
        </w:numPr>
        <w:spacing w:after="400" w:line="400" w:lineRule="atLeast"/>
      </w:pPr>
      <w:r>
        <w:rPr>
          <w:rFonts w:hint="eastAsia" w:ascii="Times New Roman" w:eastAsia="微软雅黑" w:hAnsiTheme="minorHAnsi" w:cstheme="minorBidi"/>
          <w:sz w:val="21"/>
          <w:lang w:eastAsia="zh-CN"/>
        </w:rPr>
        <w:t>In addition to demographic data, the National Institute of Social Security and Population Studies (NIPSSR) also publishes thematic research reports on social security, changes in family structure, and other topics [[123]].</w:t>
      </w:r>
    </w:p>
    <w:p w14:paraId="2069BC78">
      <w:pPr>
        <w:numPr>
          <w:ilvl w:val="-1"/>
          <w:numId w:val="2"/>
        </w:numPr>
        <w:spacing w:after="400" w:line="400" w:lineRule="atLeast"/>
      </w:pPr>
      <w:r>
        <w:rPr>
          <w:rFonts w:hint="eastAsia" w:ascii="Times New Roman" w:eastAsia="微软雅黑" w:hAnsiTheme="minorHAnsi" w:cstheme="minorBidi"/>
          <w:sz w:val="21"/>
          <w:lang w:eastAsia="zh-CN"/>
        </w:rPr>
        <w:t>Research papers from universities and academic institutions, such as the aforementioned study on dynamic panel models, provide profound insights into specific analytical methodologies [[124]].</w:t>
      </w:r>
    </w:p>
    <w:p w14:paraId="09EBCBD0">
      <w:pPr>
        <w:numPr>
          <w:ilvl w:val="-1"/>
          <w:numId w:val="2"/>
        </w:numPr>
        <w:spacing w:after="400" w:line="400" w:lineRule="atLeast"/>
      </w:pPr>
      <w:r>
        <w:rPr>
          <w:rFonts w:hint="eastAsia" w:ascii="Times New Roman" w:eastAsia="微软雅黑" w:hAnsiTheme="minorHAnsi" w:cstheme="minorBidi"/>
          <w:b/>
          <w:sz w:val="21"/>
          <w:lang w:eastAsia="zh-CN"/>
        </w:rPr>
        <w:t>Industry associations and professional databases:</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96864">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D945D1D2"/>
    <w:multiLevelType w:val="multilevel"/>
    <w:tmpl w:val="D945D1D2"/>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3B6E582F"/>
    <w:multiLevelType w:val="multilevel"/>
    <w:tmpl w:val="3B6E582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3DE63936"/>
    <w:multiLevelType w:val="multilevel"/>
    <w:tmpl w:val="3DE63936"/>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73D4073D"/>
    <w:multiLevelType w:val="multilevel"/>
    <w:tmpl w:val="73D4073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1"/>
  </w:num>
  <w:num w:numId="3">
    <w:abstractNumId w:val="6"/>
  </w:num>
  <w:num w:numId="4">
    <w:abstractNumId w:val="5"/>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dit="readOnly" w:enforcement="0"/>
  <w:compat>
    <w:useFELayout/>
    <w:compatSetting w:name="compatibilityMode" w:uri="http://schemas.microsoft.com/office/word" w:val="12"/>
    <w:compatSetting w:name="overrideTableStyleFontSizeAndJustification" w:uri="http://schemas.microsoft.com/office/word" w:val="1"/>
  </w:compat>
  <w:rsids>
    <w:rsidRoot w:val="00000000"/>
    <w:rsid w:val="140D0E7C"/>
    <w:rsid w:val="250A10A4"/>
    <w:rsid w:val="643C723B"/>
    <w:rsid w:val="6C2F12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8049</Words>
  <Characters>9645</Characters>
  <TotalTime>9</TotalTime>
  <ScaleCrop>false</ScaleCrop>
  <LinksUpToDate>false</LinksUpToDate>
  <CharactersWithSpaces>9895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2026-01-04T18:28:00Z</dcterms:created>
  <dc:creator>86188</dc:creator>
  <cp:lastModifiedBy>酪瞎来坦</cp:lastModifiedBy>
  <dcterms:modified xsi:type="dcterms:W3CDTF">2026-04-16T08:30:53Z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a621fdf1-75be-43f6-8a7c-86b70bc4b121","Lable":"1","ReservedCode1":"a6636f097bb3c12e4cef18f1338df020","ReservedCode2":"a6636f097bb3c12e4cef18f1338df020","PropagateID":"Metasota_docx_694914cd86ee47b771420197_1_a621fdf1-75be-43f6-8a7c-86b70bc4b121","ContentProducer":"001191310115MA1H9U6C1800000"}</vt:lpwstr>
  </property>
  <property fmtid="{D5CDD505-2E9C-101B-9397-08002B2CF9AE}" pid="3" name="KSOTemplateDocerSaveRecord">
    <vt:lpwstr>eyJoZGlkIjoiMzEwNTM5NzYwMDRjMzkwZTVkZjY2ODkwMGIxNGU0OTUiLCJ1c2VySWQiOiIxODEzODkwMzQ2In0=</vt:lpwstr>
  </property>
  <property fmtid="{D5CDD505-2E9C-101B-9397-08002B2CF9AE}" pid="4" name="KSOProductBuildVer">
    <vt:lpwstr>2052-12.1.0.23542</vt:lpwstr>
  </property>
  <property fmtid="{D5CDD505-2E9C-101B-9397-08002B2CF9AE}" pid="5" name="ICV">
    <vt:lpwstr>F5E5A36B331441FB9779FE5D0AA0F708_12</vt:lpwstr>
  </property>
</Properties>
</file>