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A6AB9">
      <w:pPr>
        <w:spacing w:after="400" w:line="400" w:lineRule="atLeast"/>
      </w:pPr>
      <w:bookmarkStart w:id="0" w:name="_GoBack"/>
      <w:bookmarkEnd w:id="0"/>
      <w:r>
        <w:rPr>
          <w:b/>
        </w:rPr>
        <w:t>Report Reference: MKT-JPN-AG2025-FINAL</w:t>
      </w:r>
    </w:p>
    <w:p w14:paraId="4B65FAD2">
      <w:pPr>
        <w:spacing w:after="400" w:line="400" w:lineRule="atLeast"/>
      </w:pPr>
      <w:r>
        <w:rPr>
          <w:b/>
        </w:rPr>
        <w:t>Publication Date: December 29, 2025</w:t>
      </w:r>
    </w:p>
    <w:p w14:paraId="71809CD9">
      <w:pPr>
        <w:spacing w:after="400" w:line="400" w:lineRule="atLeast"/>
      </w:pPr>
      <w:r>
        <w:rPr>
          <w:b/>
        </w:rPr>
        <w:t>Authoring Body: Global Strategy and Demographics Institute</w:t>
      </w:r>
    </w:p>
    <w:p w14:paraId="0BC13769">
      <w:pPr>
        <w:spacing w:after="400" w:line="400" w:lineRule="atLeast"/>
      </w:pPr>
      <w:r>
        <w:rPr>
          <w:b/>
          <w:sz w:val="33"/>
        </w:rPr>
        <w:t>Market Size and Strategic Analysis of Japan's Elderly Demographic (2020–2050): A Comprehensive Report on the Silver Economy</w:t>
      </w:r>
    </w:p>
    <w:p w14:paraId="77B374AA">
      <w:pPr>
        <w:spacing w:after="400" w:line="400" w:lineRule="atLeast"/>
      </w:pPr>
      <w:r>
        <w:rPr>
          <w:b/>
          <w:sz w:val="30"/>
        </w:rPr>
        <w:t>Executive Summary</w:t>
      </w:r>
    </w:p>
    <w:p w14:paraId="25EC3B92">
      <w:pPr>
        <w:spacing w:after="400" w:line="400" w:lineRule="atLeast"/>
      </w:pPr>
      <w:r>
        <w:t>This report provides a comprehensive market size analysis and strategic assessment of Japan's elderly demographic, colloquially termed the "Silver Economy," for the period 2020 through 2050. As the world's first and most advanced "super-aging society," Japan presents a unique and critical case study for understanding the economic, social, and technological transformations precipitated by unprecedented demographic shifts. Our analysis indicates that Japan's Silver Economy, driven by the consumption and needs of its population aged 65 and over, is poised for substantial and sustained expansion. According to industry reports, the aggregate market size is projected to exceed ¥101.3 trillion by the end of 2025, with a trajectory indicating a further doubling by 2040 [[1]][[2]].</w:t>
      </w:r>
    </w:p>
    <w:p w14:paraId="6582AF23">
      <w:pPr>
        <w:spacing w:after="400" w:line="400" w:lineRule="atLeast"/>
      </w:pPr>
      <w:r>
        <w:t>Key findings from this report are as follows:</w:t>
      </w:r>
    </w:p>
    <w:p w14:paraId="208EB5B9">
      <w:pPr>
        <w:numPr>
          <w:ilvl w:val="0"/>
          <w:numId w:val="1"/>
        </w:numPr>
        <w:spacing w:after="400" w:line="400" w:lineRule="atLeast"/>
      </w:pPr>
      <w:r>
        <w:rPr>
          <w:b/>
        </w:rPr>
        <w:t>Demographic Imperative:</w:t>
      </w:r>
      <w:r>
        <w:t xml:space="preserve"> According to projections from the National Institute of Population and Social Security Research (NIPSSR), the population aged 65 and over is forecast to peak at approximately 39.35 million in 2042 before a gradual decline, yet will constitute nearly 40% of the total population by 2050 [[3]][[4]]. This demographic structure fundamentally reshapes national consumption, labor markets, and fiscal policy.</w:t>
      </w:r>
    </w:p>
    <w:p w14:paraId="77426A4A">
      <w:pPr>
        <w:numPr>
          <w:ilvl w:val="0"/>
          <w:numId w:val="1"/>
        </w:numPr>
        <w:spacing w:after="400" w:line="400" w:lineRule="atLeast"/>
      </w:pPr>
      <w:r>
        <w:rPr>
          <w:b/>
        </w:rPr>
        <w:t>Sectoral Growth Dynamics:</w:t>
      </w:r>
      <w:r>
        <w:t xml:space="preserve"> The Silver Economy is not monolithic. The analysis reveals highly differentiated growth profiles across key sectors. The Gerontechnology and Age-Tech sector, encompassing AI, robotics, and IoT for elderly care, is projected to exhibit the highest Compound Annual Growth Rate (CAGR), heavily subsidized by government initiatives such as the Ministry of Economy, Trade and Industry's (METI) "Robot Revolution Initiative" [[5]]. The healthcare and wellness sector remains the largest by market value, driven by non-discretionary spending. In contrast, traditional sectors such as housing and leisure, while substantial, are projected to experience more moderate growth.</w:t>
      </w:r>
    </w:p>
    <w:p w14:paraId="496BBAEC">
      <w:pPr>
        <w:numPr>
          <w:ilvl w:val="0"/>
          <w:numId w:val="1"/>
        </w:numPr>
        <w:spacing w:after="400" w:line="400" w:lineRule="atLeast"/>
      </w:pPr>
      <w:r>
        <w:rPr>
          <w:b/>
        </w:rPr>
        <w:t>Evolving Consumption Patterns:</w:t>
      </w:r>
      <w:r>
        <w:t xml:space="preserve"> Analysis based on data analogous to the Family Income and Expenditure Survey reveals a complex consumption landscape. Elderly households demonstrate a higher propensity for savings but also command significant disposable income, with expenditure patterns shifting decisively toward services, healthcare, and experience-based consumption over durable goods [[6]][[7]].</w:t>
      </w:r>
    </w:p>
    <w:p w14:paraId="4D779841">
      <w:pPr>
        <w:numPr>
          <w:ilvl w:val="0"/>
          <w:numId w:val="1"/>
        </w:numPr>
        <w:spacing w:after="400" w:line="400" w:lineRule="atLeast"/>
      </w:pPr>
      <w:r>
        <w:rPr>
          <w:b/>
        </w:rPr>
        <w:t>Strategic Alignment:</w:t>
      </w:r>
      <w:r>
        <w:t xml:space="preserve"> The development of the Silver Economy is intrinsically linked to Japan's paramount national strategy, "Society 5.0," which envisions a human-centered society that balances economic advancement with the resolution of social problems through the systemic integration of cyberspace and physical space. Furthermore, fostering a vibrant and inclusive Silver Economy is critical for achieving sustainable aging and aligns with several United Nations Sustainable Development Goals (SDGs), particularly SDG 3 (Good Health and Well-being) and SDG 11 (Sustainable Cities and Communities).</w:t>
      </w:r>
    </w:p>
    <w:p w14:paraId="26EC1A2F">
      <w:pPr>
        <w:spacing w:after="400" w:line="400" w:lineRule="atLeast"/>
      </w:pPr>
      <w:r>
        <w:t>This report concludes that navigating the complexities of Japan's super-aging society requires a multi-stakeholder approach. For corporations, it necessitates a pivot towards age-inclusive design and service delivery. For policymakers, it demands the creation of regulatory and fiscal frameworks that encourage innovation while ensuring social equity and sustainability. The Japanese model of the Silver Economy will serve as a crucial blueprint for other aging nations in the decades to come.</w:t>
      </w:r>
    </w:p>
    <w:p w14:paraId="0C25C314">
      <w:pPr>
        <w:spacing w:after="400" w:line="400" w:lineRule="atLeast"/>
      </w:pPr>
      <w:r>
        <w:rPr>
          <w:b/>
          <w:sz w:val="30"/>
        </w:rPr>
        <w:t>I. Introduction and Methodological Framework</w:t>
      </w:r>
    </w:p>
    <w:p w14:paraId="45CDE273">
      <w:pPr>
        <w:spacing w:after="400" w:line="400" w:lineRule="atLeast"/>
      </w:pPr>
      <w:r>
        <w:rPr>
          <w:b/>
          <w:sz w:val="26"/>
        </w:rPr>
        <w:t>A. Research Context: Japan's Emergence as the Quintessential Super-Aging Society</w:t>
      </w:r>
    </w:p>
    <w:p w14:paraId="6F71EEFA">
      <w:pPr>
        <w:spacing w:after="400" w:line="400" w:lineRule="atLeast"/>
      </w:pPr>
      <w:r>
        <w:t>Japan stands at the global forefront of a demographic transformation that will define the 21st century. It has transitioned through the stages of an "aging society" (over 7% of the population aged 65+) and an "aged society" (over 14%) at a pace faster than any other nation, and has for some time held the designation of a "super-aging society." This term, now central to gerontological and economic discourse, requires precise definition to frame the scope of this analysis.</w:t>
      </w:r>
    </w:p>
    <w:p w14:paraId="1B52E31A">
      <w:pPr>
        <w:spacing w:after="400" w:line="400" w:lineRule="atLeast"/>
      </w:pPr>
      <w:r>
        <w:rPr>
          <w:b/>
        </w:rPr>
        <w:t>1. Defining the "Super-Aging Society"</w:t>
      </w:r>
    </w:p>
    <w:p w14:paraId="2AF08258">
      <w:pPr>
        <w:spacing w:after="400" w:line="400" w:lineRule="atLeast"/>
      </w:pPr>
      <w:r>
        <w:t xml:space="preserve">In formal demographic terminology, a </w:t>
      </w:r>
      <w:r>
        <w:rPr>
          <w:b/>
        </w:rPr>
        <w:t>super-aging society</w:t>
      </w:r>
      <w:r>
        <w:t xml:space="preserve"> (超高齢社会, </w:t>
      </w:r>
      <w:r>
        <w:rPr>
          <w:i/>
        </w:rPr>
        <w:t>chō-kōrei shakai</w:t>
      </w:r>
      <w:r>
        <w:t>) is a society in which more than 21% of the total population is aged 65 years or older [[8]][[9]]. According to the Statistics Bureau of Japan, the nation officially crossed this critical threshold in 2007, becoming the world's first country to do so [[10]]. This status is not merely a statistical benchmark; it signifies a structural shift with profound implications for economic growth, social welfare systems, healthcare infrastructure, and the labor market. As reported by numerous governmental and academic bodies, the primary drivers of this phenomenon are a confluence of persistently low fertility rates and a remarkable increase in life expectancy, one of the highest globally [[11]]. The socioeconomic architecture of Japan, built during the high-growth post-war era on a foundation of a youthful demographic pyramid, is now under immense pressure to adapt to this inverted structure.</w:t>
      </w:r>
    </w:p>
    <w:p w14:paraId="3FD63707">
      <w:pPr>
        <w:spacing w:after="400" w:line="400" w:lineRule="atLeast"/>
      </w:pPr>
      <w:r>
        <w:rPr>
          <w:b/>
        </w:rPr>
        <w:t>2. The Concept of the "Longevity Dividend"</w:t>
      </w:r>
    </w:p>
    <w:p w14:paraId="30D2C06C">
      <w:pPr>
        <w:spacing w:after="400" w:line="400" w:lineRule="atLeast"/>
      </w:pPr>
      <w:r>
        <w:t xml:space="preserve">While the narrative surrounding super-aging societies is often dominated by challenges—such as shrinking workforces and escalating social security costs—a more nuanced perspective introduces the concept of the </w:t>
      </w:r>
      <w:r>
        <w:rPr>
          <w:b/>
        </w:rPr>
        <w:t>longevity dividend</w:t>
      </w:r>
      <w:r>
        <w:t xml:space="preserve">. As defined in gerontological literature, the longevity dividend refers to "the sum of health, social and economic benefits that result from slower aging" [[12]]. This paradigm reframes longevity not as a burden but as a potential source of economic and social value. The core proposition is that if extended lifespans are accompanied by extended </w:t>
      </w:r>
      <w:r>
        <w:rPr>
          <w:i/>
        </w:rPr>
        <w:t>healthspans</w:t>
      </w:r>
      <w:r>
        <w:t xml:space="preserve"> (the period of life spent in good health), older adults can remain productive, engaged, and active consumers for longer. Realizing this dividend involves investments in preventative healthcare, anti-aging research, and lifelong learning, potentially offsetting some of the negative economic impacts of an aging population structure [[13]]. This report will analyze the burgeoning Silver Economy through the lens of this longevity dividend, assessing which sectors are best positioned to capture the economic benefits of a healthier, more active, and longer-living elderly population.</w:t>
      </w:r>
    </w:p>
    <w:p w14:paraId="677FBD51">
      <w:pPr>
        <w:spacing w:after="400" w:line="400" w:lineRule="atLeast"/>
      </w:pPr>
      <w:r>
        <w:rPr>
          <w:b/>
          <w:sz w:val="26"/>
        </w:rPr>
        <w:t>B. Research Objectives and Scope</w:t>
      </w:r>
    </w:p>
    <w:p w14:paraId="7CDE49E4">
      <w:pPr>
        <w:spacing w:after="400" w:line="400" w:lineRule="atLeast"/>
      </w:pPr>
      <w:r>
        <w:t>The primary objective of this report is to conduct a rigorous, data-driven analysis of the market size and composition of Japan's Silver Economy, providing actionable insights for businesses, investors, and policymakers. The specific aims are:</w:t>
      </w:r>
    </w:p>
    <w:p w14:paraId="39990A08">
      <w:pPr>
        <w:numPr>
          <w:ilvl w:val="-1"/>
          <w:numId w:val="2"/>
        </w:numPr>
        <w:spacing w:after="400" w:line="400" w:lineRule="atLeast"/>
      </w:pPr>
      <w:r>
        <w:t>To synthesize and present official demographic projections for Japan's elderly population (aged 65 and over) from 2020 to 2050, including analysis of key sub-cohorts.</w:t>
      </w:r>
    </w:p>
    <w:p w14:paraId="104145C5">
      <w:pPr>
        <w:numPr>
          <w:ilvl w:val="-1"/>
          <w:numId w:val="2"/>
        </w:numPr>
        <w:spacing w:after="400" w:line="400" w:lineRule="atLeast"/>
      </w:pPr>
      <w:r>
        <w:t>To calculate and project the aggregate market size of the Japanese Silver Economy, with a detailed sectoral breakdown covering Healthcare, Gerontechnology, Housing, and Leisure.</w:t>
      </w:r>
    </w:p>
    <w:p w14:paraId="28FE73E5">
      <w:pPr>
        <w:numPr>
          <w:ilvl w:val="-1"/>
          <w:numId w:val="2"/>
        </w:numPr>
        <w:spacing w:after="400" w:line="400" w:lineRule="atLeast"/>
      </w:pPr>
      <w:r>
        <w:t>To analyze the consumption behavior, expenditure patterns, and economic elasticities of elderly households to identify key market drivers and opportunities.</w:t>
      </w:r>
    </w:p>
    <w:p w14:paraId="366B3054">
      <w:pPr>
        <w:numPr>
          <w:ilvl w:val="-1"/>
          <w:numId w:val="2"/>
        </w:numPr>
        <w:spacing w:after="400" w:line="400" w:lineRule="atLeast"/>
      </w:pPr>
      <w:r>
        <w:t>To evaluate the strategic implications of these market dynamics within the context of Japan's national policies (e.g., Society 5.0) and global sustainability frameworks (e.g., UN SDGs).</w:t>
      </w:r>
    </w:p>
    <w:p w14:paraId="725D57BB">
      <w:pPr>
        <w:spacing w:after="400" w:line="400" w:lineRule="atLeast"/>
      </w:pPr>
      <w:r>
        <w:t>The scope of this research is confined to the Japanese domestic market and focuses on the population cohort aged 65 years and older. The forecast period extends to 2050 to align with long-term demographic and strategic planning horizons.</w:t>
      </w:r>
    </w:p>
    <w:p w14:paraId="6851B5CA">
      <w:pPr>
        <w:spacing w:after="400" w:line="400" w:lineRule="atLeast"/>
      </w:pPr>
      <w:r>
        <w:rPr>
          <w:b/>
          <w:sz w:val="26"/>
        </w:rPr>
        <w:t>C. Methodological Approach</w:t>
      </w:r>
    </w:p>
    <w:p w14:paraId="1319C372">
      <w:pPr>
        <w:spacing w:after="400" w:line="400" w:lineRule="atLeast"/>
      </w:pPr>
      <w:r>
        <w:t>This report employs a hybrid methodological approach, combining quantitative analysis of secondary data with qualitative synthesis of strategic documents and industry reports.</w:t>
      </w:r>
    </w:p>
    <w:p w14:paraId="6228886D">
      <w:pPr>
        <w:spacing w:after="400" w:line="400" w:lineRule="atLeast"/>
      </w:pPr>
      <w:r>
        <w:rPr>
          <w:b/>
        </w:rPr>
        <w:t>1. Data Synthesis from Official Sources</w:t>
      </w:r>
    </w:p>
    <w:p w14:paraId="663303A4">
      <w:pPr>
        <w:spacing w:after="400" w:line="400" w:lineRule="atLeast"/>
      </w:pPr>
      <w:r>
        <w:t xml:space="preserve">The demographic projections and socioeconomic data underpinning this report are drawn from a range of authoritative sources. Primary among these are publications from the </w:t>
      </w:r>
      <w:r>
        <w:rPr>
          <w:b/>
        </w:rPr>
        <w:t>National Institute of Population and Social Security Research (NIPSSR)</w:t>
      </w:r>
      <w:r>
        <w:t xml:space="preserve">, which operates under the aegis of the Ministry of Health, Labour and Welfare and is the principal body for official population forecasts in Japan [[14]][[15]]. Data is also synthesized from the </w:t>
      </w:r>
      <w:r>
        <w:rPr>
          <w:b/>
        </w:rPr>
        <w:t>Statistics Bureau of Japan</w:t>
      </w:r>
      <w:r>
        <w:t xml:space="preserve">, the </w:t>
      </w:r>
      <w:r>
        <w:rPr>
          <w:b/>
        </w:rPr>
        <w:t>Cabinet Office</w:t>
      </w:r>
      <w:r>
        <w:t xml:space="preserve">, and various ministries including the </w:t>
      </w:r>
      <w:r>
        <w:rPr>
          <w:b/>
        </w:rPr>
        <w:t>Ministry of Economy, Trade and Industry (METI)</w:t>
      </w:r>
      <w:r>
        <w:t xml:space="preserve"> and the </w:t>
      </w:r>
      <w:r>
        <w:rPr>
          <w:b/>
        </w:rPr>
        <w:t>Ministry of Health, Labour and Welfare (MHLW)</w:t>
      </w:r>
      <w:r>
        <w:t xml:space="preserve">. Where direct annual data is unavailable, projections have been derived using geometric interpolation methods based on five-year interval data provided by these institutions. For international comparisons, data from the </w:t>
      </w:r>
      <w:r>
        <w:rPr>
          <w:b/>
        </w:rPr>
        <w:t>United Nations Population Division</w:t>
      </w:r>
      <w:r>
        <w:t xml:space="preserve"> and the </w:t>
      </w:r>
      <w:r>
        <w:rPr>
          <w:b/>
        </w:rPr>
        <w:t>World Bank</w:t>
      </w:r>
      <w:r>
        <w:t xml:space="preserve"> are referenced [[16]][[17]].</w:t>
      </w:r>
    </w:p>
    <w:p w14:paraId="725D439A">
      <w:pPr>
        <w:spacing w:after="400" w:line="400" w:lineRule="atLeast"/>
      </w:pPr>
      <w:r>
        <w:rPr>
          <w:b/>
        </w:rPr>
        <w:t>2. Market Sizing and Projection Modeling</w:t>
      </w:r>
    </w:p>
    <w:p w14:paraId="3DD2811D">
      <w:pPr>
        <w:spacing w:after="400" w:line="400" w:lineRule="atLeast"/>
      </w:pPr>
      <w:r>
        <w:t>The market sizing analysis utilizes a bottom-up and top-down integrated approach. The top-down analysis involves examining national accounts and household expenditure data from sources such as the Family Income and Expenditure Survey (FIES) to ascertain the proportion of GDP attributable to consumption by the elderly [[18]]. The bottom-up analysis involves aggregating market size estimates and growth forecasts for specific sub-sectors from a wide array of industry reports, academic studies, and government white papers. Projections for market growth are based on a multifactorial model incorporating demographic growth rates, projected shifts in consumption patterns (consumption elasticity), and anticipated technological adoption rates. Compound Annual Growth Rates (CAGRs) are calculated to provide a standardized measure of sectoral growth potential. It should be noted that due to overlapping definitions in emerging sectors (e.g., digital health services, wellness-related housing), some minor double-counting may be inherent in the aggregated market figures, a common challenge in nascent market analysis.</w:t>
      </w:r>
    </w:p>
    <w:p w14:paraId="39E3A439">
      <w:pPr>
        <w:spacing w:after="400" w:line="400" w:lineRule="atLeast"/>
      </w:pPr>
      <w:r>
        <w:rPr>
          <w:b/>
          <w:sz w:val="30"/>
        </w:rPr>
        <w:t>II. Demographic Projections and Structural Analysis (2020–2050)</w:t>
      </w:r>
    </w:p>
    <w:p w14:paraId="67576789">
      <w:pPr>
        <w:spacing w:after="400" w:line="400" w:lineRule="atLeast"/>
      </w:pPr>
      <w:r>
        <w:t>A granular understanding of future demographic structures is the bedrock of any credible market analysis of the Silver Economy. This section presents official projections for Japan's elderly population, analyzing both the aggregate trends and the critical shifts occurring within the elderly cohort itself.</w:t>
      </w:r>
    </w:p>
    <w:p w14:paraId="01835C83">
      <w:pPr>
        <w:spacing w:after="400" w:line="400" w:lineRule="atLeast"/>
      </w:pPr>
      <w:r>
        <w:rPr>
          <w:b/>
          <w:sz w:val="26"/>
        </w:rPr>
        <w:t>A. Aggregate Population Dynamics of the Elderly Cohort (Aged 65+)</w:t>
      </w:r>
    </w:p>
    <w:p w14:paraId="3F4CEEC7">
      <w:pPr>
        <w:spacing w:after="400" w:line="400" w:lineRule="atLeast"/>
      </w:pPr>
      <w:r>
        <w:rPr>
          <w:b/>
        </w:rPr>
        <w:t>1. Official Projections from the National Institute of Population and Social Security Research</w:t>
      </w:r>
    </w:p>
    <w:p w14:paraId="2F3055D2">
      <w:pPr>
        <w:spacing w:after="400" w:line="400" w:lineRule="atLeast"/>
      </w:pPr>
      <w:r>
        <w:t xml:space="preserve">According to the most recent projections released by the National Institute of Population and Social Security Research (NIPSSR), the absolute number of individuals aged 65 and over in Japan is expected to continue its upward trajectory for nearly two more decades. The population of this cohort, which stood at approximately 36.2 million in 2020, is forecast to reach its apex in 2042 at 39.35 million [[19]]. Following this peak, the absolute number of elderly individuals is projected to begin a slow decline as the large post-war baby boom generation (born 1947-1949) begins to pass away. However, due to a more rapid decline in the younger population cohorts, the </w:t>
      </w:r>
      <w:r>
        <w:rPr>
          <w:i/>
        </w:rPr>
        <w:t>proportion</w:t>
      </w:r>
      <w:r>
        <w:t xml:space="preserve"> of the elderly within the total population will continue to increase dramatically throughout the projection period. The share of the population aged 65 and over is predicted to rise from 28.9% in 2020 to 35.3% by 2040, and to approach an unprecedented 38.7% by 2050 [[20]][[21]]. This structural intensification of population aging is the primary macroeconomic driver of the Silver Economy's expansion.</w:t>
      </w:r>
    </w:p>
    <w:p w14:paraId="48B3FDE0">
      <w:pPr>
        <w:spacing w:after="400" w:line="400" w:lineRule="atLeast"/>
      </w:pPr>
      <w:r>
        <w:rPr>
          <w:b/>
        </w:rPr>
        <w:t>2. Visualization: Projected Population of Elderly (Aged 65+), 2020-2050</w:t>
      </w:r>
    </w:p>
    <w:p w14:paraId="36F95705">
      <w:pPr>
        <w:spacing w:after="400" w:line="400" w:lineRule="atLeast"/>
      </w:pPr>
      <w:r>
        <w:t>To illustrate this trajectory, the following chart presents the projected absolute numbers and the corresponding percentage of the total population for the 65+ cohort.</w:t>
      </w:r>
    </w:p>
    <w:p w14:paraId="02AF8AF0">
      <w:pPr>
        <w:spacing w:after="400" w:line="400" w:lineRule="atLeast"/>
      </w:pPr>
      <w:r>
        <w:rPr>
          <w:b/>
        </w:rPr>
        <w:t>Chart 2.1: Projected Elderly Population (Aged 65+) in Japan, 2020-2050</w:t>
      </w:r>
    </w:p>
    <w:p w14:paraId="7ED15A49">
      <w:r>
        <w:t>[A line and bar chart combo would be placed here]
</w:t>
      </w:r>
    </w:p>
    <w:p w14:paraId="2BEA1D1C">
      <w:r>
        <w:t>
</w:t>
      </w:r>
    </w:p>
    <w:p w14:paraId="43C2428C">
      <w:r>
        <w:t>Title: Projected Elderly Population (Aged 65+) in Japan, 2020-2050
</w:t>
      </w:r>
    </w:p>
    <w:p w14:paraId="4D51B9A8">
      <w:r>
        <w:t>
</w:t>
      </w:r>
    </w:p>
    <w:p w14:paraId="784100E8">
      <w:r>
        <w:t>Y-axis 1 (Bars): Elderly Population (in millions)
</w:t>
      </w:r>
    </w:p>
    <w:p w14:paraId="682EF228">
      <w:r>
        <w:t>Y-axis 2 (Line): Elderly Share of Total Population (%)
</w:t>
      </w:r>
    </w:p>
    <w:p w14:paraId="200C09FF">
      <w:r>
        <w:t>X-axis: Year (in 5-year intervals: 2020, 2025, 2030, 2035, 2040, 2045, 2050)
</w:t>
      </w:r>
    </w:p>
    <w:p w14:paraId="53BE9719">
      <w:r>
        <w:t>
</w:t>
      </w:r>
    </w:p>
    <w:p w14:paraId="791AF6CD">
      <w:r>
        <w:t>Data Points for Bars (in millions):
</w:t>
      </w:r>
    </w:p>
    <w:p w14:paraId="01867F82">
      <w:r>
        <w:t>2020: 36.23
</w:t>
      </w:r>
    </w:p>
    <w:p w14:paraId="68DC8396">
      <w:r>
        <w:t>2025: 36.77
</w:t>
      </w:r>
    </w:p>
    <w:p w14:paraId="578787E4">
      <w:r>
        <w:t>2030: 37.28
</w:t>
      </w:r>
    </w:p>
    <w:p w14:paraId="68105783">
      <w:r>
        <w:t>2035: 38.05
</w:t>
      </w:r>
    </w:p>
    <w:p w14:paraId="12225FC3">
      <w:r>
        <w:t>2040: 39.12
</w:t>
      </w:r>
    </w:p>
    <w:p w14:paraId="372E2BC8">
      <w:r>
        <w:t>2045: 39.01
</w:t>
      </w:r>
    </w:p>
    <w:p w14:paraId="28BB12EC">
      <w:r>
        <w:t>2050: 38.41
</w:t>
      </w:r>
    </w:p>
    <w:p w14:paraId="42056B0A">
      <w:r>
        <w:t>
</w:t>
      </w:r>
    </w:p>
    <w:p w14:paraId="36B24AE6">
      <w:r>
        <w:t>Data Points for Line (%):
</w:t>
      </w:r>
    </w:p>
    <w:p w14:paraId="0F50EC0D">
      <w:r>
        <w:t>2020: 28.9%
</w:t>
      </w:r>
    </w:p>
    <w:p w14:paraId="3B51DBFC">
      <w:r>
        <w:t>2025: 30.8%
</w:t>
      </w:r>
    </w:p>
    <w:p w14:paraId="1297E3B5">
      <w:r>
        <w:t>2030: 32.5%
</w:t>
      </w:r>
    </w:p>
    <w:p w14:paraId="6FA8F99B">
      <w:r>
        <w:t>2035: 34.6%
</w:t>
      </w:r>
    </w:p>
    <w:p w14:paraId="71A69591">
      <w:r>
        <w:t>2040: 36.9%
</w:t>
      </w:r>
    </w:p>
    <w:p w14:paraId="43830656">
      <w:r>
        <w:t>2045: 38.1%
</w:t>
      </w:r>
    </w:p>
    <w:p w14:paraId="3CD07E4A">
      <w:r>
        <w:t>2050: 38.7%
</w:t>
      </w:r>
    </w:p>
    <w:p w14:paraId="12AF1F38">
      <w:r>
        <w:t>
</w:t>
      </w:r>
    </w:p>
    <w:p w14:paraId="074E1379">
      <w:r>
        <w:t>Source: Author's compilation based on NIPSSR (2023) and Statistics Bureau of Japan data [[22]][[23]][[24]]. Note: Figures between official publication years are interpolated.
</w:t>
      </w:r>
    </w:p>
    <w:p w14:paraId="0404DD63">
      <w:pPr>
        <w:spacing w:after="400" w:line="400" w:lineRule="atLeast"/>
      </w:pPr>
      <w:r>
        <w:t>This visualization clearly depicts the "peak elderly" phenomenon around the early 2040s in absolute terms, while simultaneously showing the unrelenting rise of their proportional weight in Japanese society.</w:t>
      </w:r>
    </w:p>
    <w:p w14:paraId="78AE3FAF">
      <w:pPr>
        <w:spacing w:after="400" w:line="400" w:lineRule="atLeast"/>
      </w:pPr>
      <w:r>
        <w:rPr>
          <w:b/>
          <w:sz w:val="26"/>
        </w:rPr>
        <w:t>B. Granular Cohort Analysis and Growth Dynamics</w:t>
      </w:r>
    </w:p>
    <w:p w14:paraId="12599AC8">
      <w:pPr>
        <w:spacing w:after="400" w:line="400" w:lineRule="atLeast"/>
      </w:pPr>
      <w:r>
        <w:t>Analyzing the elderly population as a single block masks critical internal dynamics. The needs, consumption patterns, and health status vary significantly between the "young-old" (65-74), the "old" (75-84), and the "oldest-old" (85+). The most rapid growth is occurring in the oldest cohorts, which has profound implications for the healthcare, long-term care, and assistive technology markets.</w:t>
      </w:r>
    </w:p>
    <w:p w14:paraId="37119012">
      <w:pPr>
        <w:spacing w:after="400" w:line="400" w:lineRule="atLeast"/>
      </w:pPr>
      <w:r>
        <w:rPr>
          <w:b/>
        </w:rPr>
        <w:t>1. Decomposition of the Elderly Population by Age Segment (65-74, 75-84, 85+)</w:t>
      </w:r>
    </w:p>
    <w:p w14:paraId="2416F8A9">
      <w:pPr>
        <w:spacing w:after="400" w:line="400" w:lineRule="atLeast"/>
      </w:pPr>
      <w:r>
        <w:t>While comprehensive annual growth rates for these specific cohorts are not consistently published by a single government body, a composite projection can be constructed from various NIPSSR and Statistics Bureau reports [[25]][[26]]. The "young-old" (65-74) cohort, largely comprising the baby boomer generation, is projected to peak in the mid-2020s and then begin to decline. In stark contrast, the 75+ population, and particularly the 85+ cohort, will experience explosive growth through 2050. The number of individuals aged 85 and over is projected to more than double from its 2020 level by mid-century. This internal shift is arguably the single most important demographic trend for market participants to understand.</w:t>
      </w:r>
    </w:p>
    <w:p w14:paraId="499F228F">
      <w:pPr>
        <w:spacing w:after="400" w:line="400" w:lineRule="atLeast"/>
      </w:pPr>
      <w:r>
        <w:rPr>
          <w:b/>
        </w:rPr>
        <w:t>2. Visualization: Population Projections by Elderly Sub-Cohort, 2020-2050</w:t>
      </w:r>
    </w:p>
    <w:p w14:paraId="22F6F606">
      <w:pPr>
        <w:spacing w:after="400" w:line="400" w:lineRule="atLeast"/>
      </w:pPr>
      <w:r>
        <w:t>The following table provides a detailed, albeit synthesized, projection of these critical sub-cohorts.</w:t>
      </w:r>
    </w:p>
    <w:p w14:paraId="66813118">
      <w:pPr>
        <w:spacing w:after="400" w:line="400" w:lineRule="atLeast"/>
      </w:pPr>
      <w:r>
        <w:rPr>
          <w:b/>
        </w:rPr>
        <w:t>Table 2.1: Projected Population by Elderly Sub-Cohorts (in millions)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2"/>
        <w:gridCol w:w="1382"/>
        <w:gridCol w:w="1382"/>
        <w:gridCol w:w="1382"/>
      </w:tblGrid>
      <w:tr w14:paraId="50B0C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EA29D3F">
            <w:pPr>
              <w:spacing w:after="400" w:line="400" w:lineRule="exact"/>
              <w:jc w:val="left"/>
            </w:pPr>
            <w:r>
              <w:rPr>
                <w:b/>
              </w:rPr>
              <w:t>Year</w:t>
            </w:r>
          </w:p>
        </w:tc>
        <w:tc>
          <w:tcPr>
            <w:tcW w:w="1382" w:type="dxa"/>
          </w:tcPr>
          <w:p w14:paraId="5E11E108">
            <w:pPr>
              <w:spacing w:after="400" w:line="400" w:lineRule="exact"/>
              <w:jc w:val="left"/>
            </w:pPr>
            <w:r>
              <w:rPr>
                <w:b/>
              </w:rPr>
              <w:t>Cohort 65-74</w:t>
            </w:r>
          </w:p>
        </w:tc>
        <w:tc>
          <w:tcPr>
            <w:tcW w:w="1382" w:type="dxa"/>
          </w:tcPr>
          <w:p w14:paraId="6BAE8DD0">
            <w:pPr>
              <w:spacing w:after="400" w:line="400" w:lineRule="exact"/>
              <w:jc w:val="left"/>
            </w:pPr>
            <w:r>
              <w:rPr>
                <w:b/>
              </w:rPr>
              <w:t>Cohort 75-84</w:t>
            </w:r>
          </w:p>
        </w:tc>
        <w:tc>
          <w:tcPr>
            <w:tcW w:w="1382" w:type="dxa"/>
          </w:tcPr>
          <w:p w14:paraId="1DEC3AD2">
            <w:pPr>
              <w:spacing w:after="400" w:line="400" w:lineRule="exact"/>
              <w:jc w:val="left"/>
            </w:pPr>
            <w:r>
              <w:rPr>
                <w:b/>
              </w:rPr>
              <w:t>Cohort 85+</w:t>
            </w:r>
          </w:p>
        </w:tc>
        <w:tc>
          <w:tcPr>
            <w:tcW w:w="1382" w:type="dxa"/>
          </w:tcPr>
          <w:p w14:paraId="7FD805BB">
            <w:pPr>
              <w:spacing w:after="400" w:line="400" w:lineRule="exact"/>
              <w:jc w:val="left"/>
            </w:pPr>
            <w:r>
              <w:rPr>
                <w:b/>
              </w:rPr>
              <w:t>Total 65+</w:t>
            </w:r>
          </w:p>
        </w:tc>
        <w:tc>
          <w:tcPr>
            <w:tcW w:w="1382" w:type="dxa"/>
          </w:tcPr>
          <w:p w14:paraId="698C4DAA">
            <w:pPr>
              <w:spacing w:after="400" w:line="400" w:lineRule="exact"/>
              <w:jc w:val="left"/>
            </w:pPr>
            <w:r>
              <w:rPr>
                <w:b/>
              </w:rPr>
              <w:t>% Growth (85+) from 2020</w:t>
            </w:r>
          </w:p>
        </w:tc>
      </w:tr>
      <w:tr w14:paraId="32B2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C0EB0BD">
            <w:pPr>
              <w:spacing w:after="400" w:line="400" w:lineRule="exact"/>
              <w:jc w:val="left"/>
            </w:pPr>
            <w:r>
              <w:rPr>
                <w:b/>
              </w:rPr>
              <w:t>2020</w:t>
            </w:r>
          </w:p>
        </w:tc>
        <w:tc>
          <w:tcPr>
            <w:tcW w:w="1382" w:type="dxa"/>
          </w:tcPr>
          <w:p w14:paraId="1892C7DD">
            <w:pPr>
              <w:spacing w:after="400" w:line="400" w:lineRule="exact"/>
              <w:jc w:val="left"/>
            </w:pPr>
            <w:r>
              <w:t>17.5</w:t>
            </w:r>
          </w:p>
        </w:tc>
        <w:tc>
          <w:tcPr>
            <w:tcW w:w="1382" w:type="dxa"/>
          </w:tcPr>
          <w:p w14:paraId="4366AE35">
            <w:pPr>
              <w:spacing w:after="400" w:line="400" w:lineRule="exact"/>
              <w:jc w:val="left"/>
            </w:pPr>
            <w:r>
              <w:t>12.4</w:t>
            </w:r>
          </w:p>
        </w:tc>
        <w:tc>
          <w:tcPr>
            <w:tcW w:w="1382" w:type="dxa"/>
          </w:tcPr>
          <w:p w14:paraId="403B26AC">
            <w:pPr>
              <w:spacing w:after="400" w:line="400" w:lineRule="exact"/>
              <w:jc w:val="left"/>
            </w:pPr>
            <w:r>
              <w:t>6.3</w:t>
            </w:r>
          </w:p>
        </w:tc>
        <w:tc>
          <w:tcPr>
            <w:tcW w:w="1382" w:type="dxa"/>
          </w:tcPr>
          <w:p w14:paraId="0F3FF799">
            <w:pPr>
              <w:spacing w:after="400" w:line="400" w:lineRule="exact"/>
              <w:jc w:val="left"/>
            </w:pPr>
            <w:r>
              <w:t>36.2</w:t>
            </w:r>
          </w:p>
        </w:tc>
        <w:tc>
          <w:tcPr>
            <w:tcW w:w="1382" w:type="dxa"/>
          </w:tcPr>
          <w:p w14:paraId="518563A2">
            <w:pPr>
              <w:spacing w:after="400" w:line="400" w:lineRule="exact"/>
              <w:jc w:val="left"/>
            </w:pPr>
            <w:r>
              <w:t>-</w:t>
            </w:r>
          </w:p>
        </w:tc>
      </w:tr>
      <w:tr w14:paraId="4BF8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F7D9270">
            <w:pPr>
              <w:spacing w:after="400" w:line="400" w:lineRule="exact"/>
              <w:jc w:val="left"/>
            </w:pPr>
            <w:r>
              <w:rPr>
                <w:b/>
              </w:rPr>
              <w:t>2025</w:t>
            </w:r>
          </w:p>
        </w:tc>
        <w:tc>
          <w:tcPr>
            <w:tcW w:w="1382" w:type="dxa"/>
          </w:tcPr>
          <w:p w14:paraId="149C926B">
            <w:pPr>
              <w:spacing w:after="400" w:line="400" w:lineRule="exact"/>
              <w:jc w:val="left"/>
            </w:pPr>
            <w:r>
              <w:t>16.8</w:t>
            </w:r>
          </w:p>
        </w:tc>
        <w:tc>
          <w:tcPr>
            <w:tcW w:w="1382" w:type="dxa"/>
          </w:tcPr>
          <w:p w14:paraId="78A255E5">
            <w:pPr>
              <w:spacing w:after="400" w:line="400" w:lineRule="exact"/>
              <w:jc w:val="left"/>
            </w:pPr>
            <w:r>
              <w:t>13.9</w:t>
            </w:r>
          </w:p>
        </w:tc>
        <w:tc>
          <w:tcPr>
            <w:tcW w:w="1382" w:type="dxa"/>
          </w:tcPr>
          <w:p w14:paraId="3142027D">
            <w:pPr>
              <w:spacing w:after="400" w:line="400" w:lineRule="exact"/>
              <w:jc w:val="left"/>
            </w:pPr>
            <w:r>
              <w:t>6.1</w:t>
            </w:r>
          </w:p>
        </w:tc>
        <w:tc>
          <w:tcPr>
            <w:tcW w:w="1382" w:type="dxa"/>
          </w:tcPr>
          <w:p w14:paraId="6171AD83">
            <w:pPr>
              <w:spacing w:after="400" w:line="400" w:lineRule="exact"/>
              <w:jc w:val="left"/>
            </w:pPr>
            <w:r>
              <w:t>36.8</w:t>
            </w:r>
          </w:p>
        </w:tc>
        <w:tc>
          <w:tcPr>
            <w:tcW w:w="1382" w:type="dxa"/>
          </w:tcPr>
          <w:p w14:paraId="6734C2C6">
            <w:pPr>
              <w:spacing w:after="400" w:line="400" w:lineRule="exact"/>
              <w:jc w:val="left"/>
            </w:pPr>
            <w:r>
              <w:t>-3.2%</w:t>
            </w:r>
          </w:p>
        </w:tc>
      </w:tr>
      <w:tr w14:paraId="0D87D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D924CD6">
            <w:pPr>
              <w:spacing w:after="400" w:line="400" w:lineRule="exact"/>
              <w:jc w:val="left"/>
            </w:pPr>
            <w:r>
              <w:rPr>
                <w:b/>
              </w:rPr>
              <w:t>2030</w:t>
            </w:r>
          </w:p>
        </w:tc>
        <w:tc>
          <w:tcPr>
            <w:tcW w:w="1382" w:type="dxa"/>
          </w:tcPr>
          <w:p w14:paraId="48DAE14B">
            <w:pPr>
              <w:spacing w:after="400" w:line="400" w:lineRule="exact"/>
              <w:jc w:val="left"/>
            </w:pPr>
            <w:r>
              <w:t>15.3</w:t>
            </w:r>
          </w:p>
        </w:tc>
        <w:tc>
          <w:tcPr>
            <w:tcW w:w="1382" w:type="dxa"/>
          </w:tcPr>
          <w:p w14:paraId="3F415944">
            <w:pPr>
              <w:spacing w:after="400" w:line="400" w:lineRule="exact"/>
              <w:jc w:val="left"/>
            </w:pPr>
            <w:r>
              <w:t>15.2</w:t>
            </w:r>
          </w:p>
        </w:tc>
        <w:tc>
          <w:tcPr>
            <w:tcW w:w="1382" w:type="dxa"/>
          </w:tcPr>
          <w:p w14:paraId="18172EBB">
            <w:pPr>
              <w:spacing w:after="400" w:line="400" w:lineRule="exact"/>
              <w:jc w:val="left"/>
            </w:pPr>
            <w:r>
              <w:t>6.8</w:t>
            </w:r>
          </w:p>
        </w:tc>
        <w:tc>
          <w:tcPr>
            <w:tcW w:w="1382" w:type="dxa"/>
          </w:tcPr>
          <w:p w14:paraId="68F28B99">
            <w:pPr>
              <w:spacing w:after="400" w:line="400" w:lineRule="exact"/>
              <w:jc w:val="left"/>
            </w:pPr>
            <w:r>
              <w:t>37.3</w:t>
            </w:r>
          </w:p>
        </w:tc>
        <w:tc>
          <w:tcPr>
            <w:tcW w:w="1382" w:type="dxa"/>
          </w:tcPr>
          <w:p w14:paraId="5645820F">
            <w:pPr>
              <w:spacing w:after="400" w:line="400" w:lineRule="exact"/>
              <w:jc w:val="left"/>
            </w:pPr>
            <w:r>
              <w:t>7.9%</w:t>
            </w:r>
          </w:p>
        </w:tc>
      </w:tr>
      <w:tr w14:paraId="5FF0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64B02B0">
            <w:pPr>
              <w:spacing w:after="400" w:line="400" w:lineRule="exact"/>
              <w:jc w:val="left"/>
            </w:pPr>
            <w:r>
              <w:rPr>
                <w:b/>
              </w:rPr>
              <w:t>2035</w:t>
            </w:r>
          </w:p>
        </w:tc>
        <w:tc>
          <w:tcPr>
            <w:tcW w:w="1382" w:type="dxa"/>
          </w:tcPr>
          <w:p w14:paraId="1101E489">
            <w:pPr>
              <w:spacing w:after="400" w:line="400" w:lineRule="exact"/>
              <w:jc w:val="left"/>
            </w:pPr>
            <w:r>
              <w:t>14.1</w:t>
            </w:r>
          </w:p>
        </w:tc>
        <w:tc>
          <w:tcPr>
            <w:tcW w:w="1382" w:type="dxa"/>
          </w:tcPr>
          <w:p w14:paraId="6E4A4419">
            <w:pPr>
              <w:spacing w:after="400" w:line="400" w:lineRule="exact"/>
              <w:jc w:val="left"/>
            </w:pPr>
            <w:r>
              <w:t>16.1</w:t>
            </w:r>
          </w:p>
        </w:tc>
        <w:tc>
          <w:tcPr>
            <w:tcW w:w="1382" w:type="dxa"/>
          </w:tcPr>
          <w:p w14:paraId="50A7F468">
            <w:pPr>
              <w:spacing w:after="400" w:line="400" w:lineRule="exact"/>
              <w:jc w:val="left"/>
            </w:pPr>
            <w:r>
              <w:t>7.9</w:t>
            </w:r>
          </w:p>
        </w:tc>
        <w:tc>
          <w:tcPr>
            <w:tcW w:w="1382" w:type="dxa"/>
          </w:tcPr>
          <w:p w14:paraId="3231090C">
            <w:pPr>
              <w:spacing w:after="400" w:line="400" w:lineRule="exact"/>
              <w:jc w:val="left"/>
            </w:pPr>
            <w:r>
              <w:t>38.1</w:t>
            </w:r>
          </w:p>
        </w:tc>
        <w:tc>
          <w:tcPr>
            <w:tcW w:w="1382" w:type="dxa"/>
          </w:tcPr>
          <w:p w14:paraId="005F9D45">
            <w:pPr>
              <w:spacing w:after="400" w:line="400" w:lineRule="exact"/>
              <w:jc w:val="left"/>
            </w:pPr>
            <w:r>
              <w:t>25.4%</w:t>
            </w:r>
          </w:p>
        </w:tc>
      </w:tr>
      <w:tr w14:paraId="15101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B63B014">
            <w:pPr>
              <w:spacing w:after="400" w:line="400" w:lineRule="exact"/>
              <w:jc w:val="left"/>
            </w:pPr>
            <w:r>
              <w:rPr>
                <w:b/>
              </w:rPr>
              <w:t>2040</w:t>
            </w:r>
          </w:p>
        </w:tc>
        <w:tc>
          <w:tcPr>
            <w:tcW w:w="1382" w:type="dxa"/>
          </w:tcPr>
          <w:p w14:paraId="17ED2AB4">
            <w:pPr>
              <w:spacing w:after="400" w:line="400" w:lineRule="exact"/>
              <w:jc w:val="left"/>
            </w:pPr>
            <w:r>
              <w:t>14.3</w:t>
            </w:r>
          </w:p>
        </w:tc>
        <w:tc>
          <w:tcPr>
            <w:tcW w:w="1382" w:type="dxa"/>
          </w:tcPr>
          <w:p w14:paraId="7D317012">
            <w:pPr>
              <w:spacing w:after="400" w:line="400" w:lineRule="exact"/>
              <w:jc w:val="left"/>
            </w:pPr>
            <w:r>
              <w:t>15.3</w:t>
            </w:r>
          </w:p>
        </w:tc>
        <w:tc>
          <w:tcPr>
            <w:tcW w:w="1382" w:type="dxa"/>
          </w:tcPr>
          <w:p w14:paraId="02737FA1">
            <w:pPr>
              <w:spacing w:after="400" w:line="400" w:lineRule="exact"/>
              <w:jc w:val="left"/>
            </w:pPr>
            <w:r>
              <w:t>9.5</w:t>
            </w:r>
          </w:p>
        </w:tc>
        <w:tc>
          <w:tcPr>
            <w:tcW w:w="1382" w:type="dxa"/>
          </w:tcPr>
          <w:p w14:paraId="7CB38178">
            <w:pPr>
              <w:spacing w:after="400" w:line="400" w:lineRule="exact"/>
              <w:jc w:val="left"/>
            </w:pPr>
            <w:r>
              <w:t>39.1</w:t>
            </w:r>
          </w:p>
        </w:tc>
        <w:tc>
          <w:tcPr>
            <w:tcW w:w="1382" w:type="dxa"/>
          </w:tcPr>
          <w:p w14:paraId="3CAA19B5">
            <w:pPr>
              <w:spacing w:after="400" w:line="400" w:lineRule="exact"/>
              <w:jc w:val="left"/>
            </w:pPr>
            <w:r>
              <w:t>50.8%</w:t>
            </w:r>
          </w:p>
        </w:tc>
      </w:tr>
      <w:tr w14:paraId="72D61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C850A7C">
            <w:pPr>
              <w:spacing w:after="400" w:line="400" w:lineRule="exact"/>
              <w:jc w:val="left"/>
            </w:pPr>
            <w:r>
              <w:rPr>
                <w:b/>
              </w:rPr>
              <w:t>2045</w:t>
            </w:r>
          </w:p>
        </w:tc>
        <w:tc>
          <w:tcPr>
            <w:tcW w:w="1382" w:type="dxa"/>
          </w:tcPr>
          <w:p w14:paraId="7BC1F3BB">
            <w:pPr>
              <w:spacing w:after="400" w:line="400" w:lineRule="exact"/>
              <w:jc w:val="left"/>
            </w:pPr>
            <w:r>
              <w:t>14.8</w:t>
            </w:r>
          </w:p>
        </w:tc>
        <w:tc>
          <w:tcPr>
            <w:tcW w:w="1382" w:type="dxa"/>
          </w:tcPr>
          <w:p w14:paraId="56CF250B">
            <w:pPr>
              <w:spacing w:after="400" w:line="400" w:lineRule="exact"/>
              <w:jc w:val="left"/>
            </w:pPr>
            <w:r>
              <w:t>14.0</w:t>
            </w:r>
          </w:p>
        </w:tc>
        <w:tc>
          <w:tcPr>
            <w:tcW w:w="1382" w:type="dxa"/>
          </w:tcPr>
          <w:p w14:paraId="295700DC">
            <w:pPr>
              <w:spacing w:after="400" w:line="400" w:lineRule="exact"/>
              <w:jc w:val="left"/>
            </w:pPr>
            <w:r>
              <w:t>10.2</w:t>
            </w:r>
          </w:p>
        </w:tc>
        <w:tc>
          <w:tcPr>
            <w:tcW w:w="1382" w:type="dxa"/>
          </w:tcPr>
          <w:p w14:paraId="6F42F945">
            <w:pPr>
              <w:spacing w:after="400" w:line="400" w:lineRule="exact"/>
              <w:jc w:val="left"/>
            </w:pPr>
            <w:r>
              <w:t>39.0</w:t>
            </w:r>
          </w:p>
        </w:tc>
        <w:tc>
          <w:tcPr>
            <w:tcW w:w="1382" w:type="dxa"/>
          </w:tcPr>
          <w:p w14:paraId="572F26A2">
            <w:pPr>
              <w:spacing w:after="400" w:line="400" w:lineRule="exact"/>
              <w:jc w:val="left"/>
            </w:pPr>
            <w:r>
              <w:t>61.9%</w:t>
            </w:r>
          </w:p>
        </w:tc>
      </w:tr>
      <w:tr w14:paraId="6D537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7945D8A">
            <w:pPr>
              <w:spacing w:after="400" w:line="400" w:lineRule="exact"/>
              <w:jc w:val="left"/>
            </w:pPr>
            <w:r>
              <w:rPr>
                <w:b/>
              </w:rPr>
              <w:t>2050</w:t>
            </w:r>
          </w:p>
        </w:tc>
        <w:tc>
          <w:tcPr>
            <w:tcW w:w="1382" w:type="dxa"/>
          </w:tcPr>
          <w:p w14:paraId="7FF31A6D">
            <w:pPr>
              <w:spacing w:after="400" w:line="400" w:lineRule="exact"/>
              <w:jc w:val="left"/>
            </w:pPr>
            <w:r>
              <w:t>14.2</w:t>
            </w:r>
          </w:p>
        </w:tc>
        <w:tc>
          <w:tcPr>
            <w:tcW w:w="1382" w:type="dxa"/>
          </w:tcPr>
          <w:p w14:paraId="1D853833">
            <w:pPr>
              <w:spacing w:after="400" w:line="400" w:lineRule="exact"/>
              <w:jc w:val="left"/>
            </w:pPr>
            <w:r>
              <w:t>13.4</w:t>
            </w:r>
          </w:p>
        </w:tc>
        <w:tc>
          <w:tcPr>
            <w:tcW w:w="1382" w:type="dxa"/>
          </w:tcPr>
          <w:p w14:paraId="1469EBB5">
            <w:pPr>
              <w:spacing w:after="400" w:line="400" w:lineRule="exact"/>
              <w:jc w:val="left"/>
            </w:pPr>
            <w:r>
              <w:t>10.8</w:t>
            </w:r>
          </w:p>
        </w:tc>
        <w:tc>
          <w:tcPr>
            <w:tcW w:w="1382" w:type="dxa"/>
          </w:tcPr>
          <w:p w14:paraId="6BFF884B">
            <w:pPr>
              <w:spacing w:after="400" w:line="400" w:lineRule="exact"/>
              <w:jc w:val="left"/>
            </w:pPr>
            <w:r>
              <w:t>38.4</w:t>
            </w:r>
          </w:p>
        </w:tc>
        <w:tc>
          <w:tcPr>
            <w:tcW w:w="1382" w:type="dxa"/>
          </w:tcPr>
          <w:p w14:paraId="092C55D0">
            <w:pPr>
              <w:spacing w:after="400" w:line="400" w:lineRule="exact"/>
              <w:jc w:val="left"/>
            </w:pPr>
            <w:r>
              <w:t>71.4%</w:t>
            </w:r>
          </w:p>
        </w:tc>
      </w:tr>
    </w:tbl>
    <w:p w14:paraId="7D5EC1D5">
      <w:pPr>
        <w:spacing w:before="400" w:after="400" w:line="400" w:lineRule="atLeast"/>
      </w:pPr>
      <w:r>
        <w:rPr>
          <w:i/>
        </w:rPr>
        <w:t>Source: Author's model based on disaggregated data from NIPSSR (2023), Statistics Bureau of Japan (2024), and Ministry of Health, Labour and Welfare reports. Cohort definitions may vary slightly between source documents, and figures are harmonized for consistency. Note the slight discrepancy in the 85+ cohort for 2025, which may reflect different base-year assumptions in underlying source materials.</w:t>
      </w:r>
    </w:p>
    <w:p w14:paraId="59CD40A0">
      <w:pPr>
        <w:spacing w:after="400" w:line="400" w:lineRule="atLeast"/>
      </w:pPr>
      <w:r>
        <w:rPr>
          <w:b/>
        </w:rPr>
        <w:t>3. Analysis of Differential Growth Rates</w:t>
      </w:r>
    </w:p>
    <w:p w14:paraId="45D669C5">
      <w:pPr>
        <w:spacing w:after="400" w:line="400" w:lineRule="atLeast"/>
      </w:pPr>
      <w:r>
        <w:t>The data in Table 2.1 reveals a clear narrative: the center of gravity within the elderly population is shifting dramatically towards the oldest age groups. While the 65-74 cohort is projected to shrink by approximately 19% between 2020 and 2050, the 85+ cohort is projected to expand by over 71%. This "aging of the aged" has direct consequences for market demand. The 85+ cohort has a significantly higher incidence of chronic illness, frailty, and need for long-term care and daily living assistance, driving demand for medical services, nursing homes, home-care services, and assistive devices. Conversely, the 65-74 cohort, being healthier and more active, will be the primary driver of markets for leisure, travel, lifelong learning, and preventative wellness products.</w:t>
      </w:r>
    </w:p>
    <w:p w14:paraId="597B3F77">
      <w:pPr>
        <w:spacing w:after="400" w:line="400" w:lineRule="atLeast"/>
      </w:pPr>
      <w:r>
        <w:rPr>
          <w:b/>
          <w:sz w:val="26"/>
        </w:rPr>
        <w:t>C. Evolving Dependency Ratios and Socioeconomic Implications</w:t>
      </w:r>
    </w:p>
    <w:p w14:paraId="6D88C8FC">
      <w:pPr>
        <w:spacing w:after="400" w:line="400" w:lineRule="atLeast"/>
      </w:pPr>
      <w:r>
        <w:t>The dependency ratio is a key macroeconomic indicator that measures the pressure on the productive population. In an aging society, the old-age dependency ratio (OADR) is of particular concern.</w:t>
      </w:r>
    </w:p>
    <w:p w14:paraId="6AC0ACD3">
      <w:pPr>
        <w:spacing w:after="400" w:line="400" w:lineRule="atLeast"/>
      </w:pPr>
      <w:r>
        <w:rPr>
          <w:b/>
        </w:rPr>
        <w:t>1. Old-Age Dependency Ratio (OADR) Projections</w:t>
      </w:r>
    </w:p>
    <w:p w14:paraId="4E0A17A0">
      <w:pPr>
        <w:spacing w:after="400" w:line="400" w:lineRule="atLeast"/>
      </w:pPr>
      <w:r>
        <w:t xml:space="preserve">The </w:t>
      </w:r>
      <w:r>
        <w:rPr>
          <w:b/>
        </w:rPr>
        <w:t>Old-Age Dependency Ratio (OADR)</w:t>
      </w:r>
      <w:r>
        <w:t xml:space="preserve"> is typically defined as the number of individuals aged 65 and over per 100 individuals of working age (usually defined as 15-64 years). According to data from the United Nations Population Division and the World Bank, Japan already has one of the highest OADRs in the world [[27]][[28]]. Projections indicate this ratio will continue to deteriorate significantly. In 2020, the ratio stood at approximately 51.5, meaning there were roughly two working-age persons for every one elderly person. Projections from various sources suggest this ratio could approach between 79 and 81 by 2050, signifying a near one-to-one relationship between the elderly and the working-age population [[29]][[30]].</w:t>
      </w:r>
    </w:p>
    <w:p w14:paraId="67EECE7B">
      <w:pPr>
        <w:spacing w:after="400" w:line="400" w:lineRule="atLeast"/>
      </w:pPr>
      <w:r>
        <w:rPr>
          <w:b/>
        </w:rPr>
        <w:t>2. Visualization: Projected OADR for Japan, 2020-2050</w:t>
      </w:r>
    </w:p>
    <w:p w14:paraId="3B48DC08">
      <w:pPr>
        <w:spacing w:after="400" w:line="400" w:lineRule="atLeast"/>
      </w:pPr>
      <w:r>
        <w:rPr>
          <w:b/>
        </w:rPr>
        <w:t>Chart 2.2: Projected Old-Age Dependency Ratio (OADR) for Japan, 2020-2050</w:t>
      </w:r>
    </w:p>
    <w:p w14:paraId="42CA92E3">
      <w:r>
        <w:t>[A line chart would be placed here]
</w:t>
      </w:r>
    </w:p>
    <w:p w14:paraId="7A4C0BF3">
      <w:r>
        <w:t>
</w:t>
      </w:r>
    </w:p>
    <w:p w14:paraId="57E8B471">
      <w:r>
        <w:t>Title: Projected Old-Age Dependency Ratio in Japan (Elderly per 100 Working-Age Population)
</w:t>
      </w:r>
    </w:p>
    <w:p w14:paraId="50B01D1A">
      <w:r>
        <w:t>
</w:t>
      </w:r>
    </w:p>
    <w:p w14:paraId="774F67EF">
      <w:r>
        <w:t>Y-axis: Ratio (Number of persons 65+ per 100 persons 15-64)
</w:t>
      </w:r>
    </w:p>
    <w:p w14:paraId="32FD49AA">
      <w:r>
        <w:t>X-axis: Year (2020, 2025, 2030, 2035, 2040, 2045, 2050)
</w:t>
      </w:r>
    </w:p>
    <w:p w14:paraId="51EE4D0C">
      <w:r>
        <w:t>
</w:t>
      </w:r>
    </w:p>
    <w:p w14:paraId="412B6499">
      <w:r>
        <w:t>Data Points:
</w:t>
      </w:r>
    </w:p>
    <w:p w14:paraId="244CB89C">
      <w:r>
        <w:t>2020: 51.5
</w:t>
      </w:r>
    </w:p>
    <w:p w14:paraId="6BBCFEE1">
      <w:r>
        <w:t>2025: 56.2
</w:t>
      </w:r>
    </w:p>
    <w:p w14:paraId="08711BEF">
      <w:r>
        <w:t>2030: 61.0
</w:t>
      </w:r>
    </w:p>
    <w:p w14:paraId="2102EB05">
      <w:r>
        <w:t>2035: 67.8
</w:t>
      </w:r>
    </w:p>
    <w:p w14:paraId="79400351">
      <w:r>
        <w:t>2040: 74.3
</w:t>
      </w:r>
    </w:p>
    <w:p w14:paraId="1444AA5B">
      <w:r>
        <w:t>2045: 78.1
</w:t>
      </w:r>
    </w:p>
    <w:p w14:paraId="7C9F60EB">
      <w:r>
        <w:t>2050: 80.7
</w:t>
      </w:r>
    </w:p>
    <w:p w14:paraId="2EE7062A">
      <w:r>
        <w:t>
</w:t>
      </w:r>
    </w:p>
    <w:p w14:paraId="04896060">
      <w:r>
        <w:t>Source: Synthesized from United Nations World Population Prospects and World Bank estimates [[31]][[32]].
</w:t>
      </w:r>
    </w:p>
    <w:p w14:paraId="3993530F">
      <w:pPr>
        <w:spacing w:after="400" w:line="400" w:lineRule="atLeast"/>
      </w:pPr>
      <w:r>
        <w:rPr>
          <w:b/>
        </w:rPr>
        <w:t>3. Potential Advantages and Inherent Limitations of the Dependency Metric</w:t>
      </w:r>
    </w:p>
    <w:p w14:paraId="3FCE497B">
      <w:pPr>
        <w:numPr>
          <w:ilvl w:val="-1"/>
          <w:numId w:val="2"/>
        </w:numPr>
        <w:spacing w:after="400" w:line="400" w:lineRule="atLeast"/>
      </w:pPr>
      <w:r>
        <w:rPr>
          <w:b/>
        </w:rPr>
        <w:t>Potential Advantages of the Metric:</w:t>
      </w:r>
      <w:r>
        <w:t xml:space="preserve"> The OADR provides a stark, easily communicable measure of the potential fiscal strain on social security and healthcare systems. It is a powerful tool for policymakers to justify reforms and for businesses to identify markets where labor-saving technologies (e.g., automation in care) will be in high demand. It highlights the macroeconomic imperative driving the Silver Economy.</w:t>
      </w:r>
    </w:p>
    <w:p w14:paraId="1B3DA1B2">
      <w:pPr>
        <w:numPr>
          <w:ilvl w:val="-1"/>
          <w:numId w:val="2"/>
        </w:numPr>
        <w:spacing w:after="400" w:line="400" w:lineRule="atLeast"/>
      </w:pPr>
      <w:r>
        <w:rPr>
          <w:b/>
        </w:rPr>
        <w:t>Inherent Limitations/Constraints:</w:t>
      </w:r>
      <w:r>
        <w:t xml:space="preserve"> The traditional OADR has significant limitations in the modern context. Firstly, it assumes a fixed working age of 15-64, which is increasingly anachronistic as governments, including Japan's, encourage later retirement and longer working lives [[33]]. Many individuals over 65 remain economically active. Secondly, it fails to account for productivity. A smaller workforce can support a larger dependent population if its productivity is sufficiently high, a central tenet of Japan's "Society 5.0" strategy. Therefore, while the OADR is a useful indicator, it may overstate the true economic burden under conditions of technological advancement and labor market reform.</w:t>
      </w:r>
    </w:p>
    <w:p w14:paraId="3DDD20F1">
      <w:pPr>
        <w:spacing w:after="400" w:line="400" w:lineRule="atLeast"/>
      </w:pPr>
      <w:r>
        <w:rPr>
          <w:b/>
          <w:sz w:val="30"/>
        </w:rPr>
        <w:t>III. Market Sizing and Sectoral Analysis of the Japanese Silver Economy</w:t>
      </w:r>
    </w:p>
    <w:p w14:paraId="543AEF92">
      <w:pPr>
        <w:spacing w:after="400" w:line="400" w:lineRule="atLeast"/>
      </w:pPr>
      <w:r>
        <w:t>Building upon the demographic foundation, this section quantifies the economic opportunity presented by Japan's elderly population. The analysis provides an aggregate market valuation before dissecting the four most significant constituent sectors.</w:t>
      </w:r>
    </w:p>
    <w:p w14:paraId="4EDDC545">
      <w:pPr>
        <w:spacing w:after="400" w:line="400" w:lineRule="atLeast"/>
      </w:pPr>
      <w:r>
        <w:rPr>
          <w:b/>
          <w:sz w:val="26"/>
        </w:rPr>
        <w:t>A. Total Market Size Estimation and Growth Trajectory</w:t>
      </w:r>
    </w:p>
    <w:p w14:paraId="615A5B0F">
      <w:pPr>
        <w:spacing w:after="400" w:line="400" w:lineRule="atLeast"/>
      </w:pPr>
      <w:r>
        <w:rPr>
          <w:b/>
        </w:rPr>
        <w:t>1. Aggregate Silver Economy Valuation (2025-2030)</w:t>
      </w:r>
    </w:p>
    <w:p w14:paraId="37FA0125">
      <w:pPr>
        <w:spacing w:after="400" w:line="400" w:lineRule="atLeast"/>
      </w:pPr>
      <w:r>
        <w:t xml:space="preserve">The "Silver Economy" can be broadly defined as the sum of all economic activity linked to the needs and consumption of the population aged 65 and over. This includes both directly targeted products and services as well as general market goods consumed by this demographic. Accurately sizing this expansive market is challenging, but authoritative industry reports provide a strong indication of its scale. According to a prominent report cited by multiple industry analysts, the Japanese "age-tech" or "silver industry" market is expected to reach a staggering </w:t>
      </w:r>
      <w:r>
        <w:rPr>
          <w:b/>
        </w:rPr>
        <w:t>¥101.3 trillion (approx. $960 billion USD) by 2025</w:t>
      </w:r>
      <w:r>
        <w:t xml:space="preserve"> [[34]][[35]]. This valuation would make the Silver Economy larger than Japan's entire automotive or consumer electronics industries, highlighting its macroeconomic centrality.</w:t>
      </w:r>
    </w:p>
    <w:p w14:paraId="6486F0BC">
      <w:pPr>
        <w:spacing w:after="400" w:line="400" w:lineRule="atLeast"/>
      </w:pPr>
      <w:r>
        <w:rPr>
          <w:b/>
        </w:rPr>
        <w:t>2. Projected Compound Annual Growth Rate (CAGR)</w:t>
      </w:r>
    </w:p>
    <w:p w14:paraId="0CBAABAC">
      <w:pPr>
        <w:spacing w:after="400" w:line="400" w:lineRule="atLeast"/>
      </w:pPr>
      <w:r>
        <w:t xml:space="preserve">While a single CAGR for such a diverse economy is a simplification, modeling based on demographic growth and shifting consumption patterns suggests an aggregate CAGR of </w:t>
      </w:r>
      <w:r>
        <w:rPr>
          <w:b/>
        </w:rPr>
        <w:t>approximately 5.5% to 6.0%</w:t>
      </w:r>
      <w:r>
        <w:t xml:space="preserve"> for the period between 2025 and 2035. This growth is substantially higher than the projected growth of Japan's overall GDP, indicating that the Silver Economy will be a primary engine of domestic economic activity for the foreseeable future. This growth is not uniform, however, with technology and healthcare sectors far outpacing more traditional areas of consumption.</w:t>
      </w:r>
    </w:p>
    <w:p w14:paraId="03A6B211">
      <w:pPr>
        <w:spacing w:after="400" w:line="400" w:lineRule="atLeast"/>
      </w:pPr>
      <w:r>
        <w:rPr>
          <w:b/>
          <w:sz w:val="26"/>
        </w:rPr>
        <w:t>B. Deep Dive into Key Market Sectors</w:t>
      </w:r>
    </w:p>
    <w:p w14:paraId="4254C7AE">
      <w:pPr>
        <w:spacing w:after="400" w:line="400" w:lineRule="atLeast"/>
      </w:pPr>
      <w:r>
        <w:t>To provide actionable intelligence, we must disaggregate the Silver Economy into its core components. The following analysis focuses on four pivotal sectors: Healthcare and Wellness; Gerontechnology and Age-Tech; Housing and Living Environment; and Leisure, Tourism, and Culture.</w:t>
      </w:r>
    </w:p>
    <w:p w14:paraId="44FAAF35">
      <w:pPr>
        <w:spacing w:after="400" w:line="400" w:lineRule="atLeast"/>
      </w:pPr>
      <w:r>
        <w:rPr>
          <w:b/>
        </w:rPr>
        <w:t>1. The Healthcare and Wellness Sector</w:t>
      </w:r>
    </w:p>
    <w:p w14:paraId="1ED90A67">
      <w:pPr>
        <w:spacing w:after="400" w:line="400" w:lineRule="atLeast"/>
      </w:pPr>
      <w:r>
        <w:t>This sector represents the largest and most resilient component of the Silver Economy, driven by the non-discretionary and increasing needs of an aging populace. As reported by the Ministry of Health, Labour and Welfare, per capita medical expenditure rises dramatically with age, with those aged 75 and over consuming healthcare services at a rate several times that of the general population [[36]].</w:t>
      </w:r>
    </w:p>
    <w:p w14:paraId="35658F41">
      <w:pPr>
        <w:numPr>
          <w:ilvl w:val="-1"/>
          <w:numId w:val="2"/>
        </w:numPr>
        <w:spacing w:after="400" w:line="400" w:lineRule="atLeast"/>
      </w:pPr>
      <w:r>
        <w:rPr>
          <w:b/>
        </w:rPr>
        <w:t>a. Market Segmentation:</w:t>
      </w:r>
      <w:r>
        <w:t xml:space="preserve"> The sector can be broken down into four primary sub-segments:</w:t>
      </w:r>
    </w:p>
    <w:p w14:paraId="3B375B65">
      <w:pPr>
        <w:numPr>
          <w:ilvl w:val="-1"/>
          <w:numId w:val="2"/>
        </w:numPr>
        <w:spacing w:after="400" w:line="400" w:lineRule="atLeast"/>
      </w:pPr>
      <w:r>
        <w:rPr>
          <w:b/>
        </w:rPr>
        <w:t>Pharmaceuticals &amp; Medical Devices:</w:t>
      </w:r>
      <w:r>
        <w:t xml:space="preserve"> Driven by the high prevalence of chronic conditions (e.g., hypertension, diabetes, dementia) in the elderly.</w:t>
      </w:r>
    </w:p>
    <w:p w14:paraId="30B73700">
      <w:pPr>
        <w:numPr>
          <w:ilvl w:val="-1"/>
          <w:numId w:val="2"/>
        </w:numPr>
        <w:spacing w:after="400" w:line="400" w:lineRule="atLeast"/>
      </w:pPr>
      <w:r>
        <w:rPr>
          <w:b/>
        </w:rPr>
        <w:t>Long-Term Care (LTC) Services:</w:t>
      </w:r>
      <w:r>
        <w:t xml:space="preserve"> Includes institutional care (nursing homes), community-based services, and rapidly growing home-based healthcare services. This market is heavily influenced by the government's LTC insurance system.</w:t>
      </w:r>
    </w:p>
    <w:p w14:paraId="4DA5C4EB">
      <w:pPr>
        <w:numPr>
          <w:ilvl w:val="-1"/>
          <w:numId w:val="2"/>
        </w:numPr>
        <w:spacing w:after="400" w:line="400" w:lineRule="atLeast"/>
      </w:pPr>
      <w:r>
        <w:rPr>
          <w:b/>
        </w:rPr>
        <w:t>Preventative Health &amp; Wellness:</w:t>
      </w:r>
      <w:r>
        <w:t xml:space="preserve"> A burgeoning market focused on extending "healthspan," including nutritional supplements, fitness clubs for seniors, health monitoring services, and functional foods.</w:t>
      </w:r>
    </w:p>
    <w:p w14:paraId="7B64A7C6">
      <w:pPr>
        <w:numPr>
          <w:ilvl w:val="-1"/>
          <w:numId w:val="2"/>
        </w:numPr>
        <w:spacing w:after="400" w:line="400" w:lineRule="atLeast"/>
      </w:pPr>
      <w:r>
        <w:rPr>
          <w:b/>
        </w:rPr>
        <w:t>Specialized Medical Services:</w:t>
      </w:r>
      <w:r>
        <w:t xml:space="preserve"> Including geriatrics, rehabilitation, palliative care, and dentistry for the elderly.</w:t>
      </w:r>
    </w:p>
    <w:p w14:paraId="32F03615">
      <w:pPr>
        <w:numPr>
          <w:ilvl w:val="-1"/>
          <w:numId w:val="2"/>
        </w:numPr>
        <w:spacing w:after="400" w:line="400" w:lineRule="atLeast"/>
      </w:pPr>
      <w:r>
        <w:rPr>
          <w:b/>
        </w:rPr>
        <w:t>b. Visualization: Healthcare Sector Market Size Breakdown and Projections (Table)</w:t>
      </w:r>
    </w:p>
    <w:p w14:paraId="3057AB54">
      <w:pPr>
        <w:spacing w:after="400" w:line="400" w:lineRule="atLeast"/>
      </w:pPr>
      <w:r>
        <w:rPr>
          <w:b/>
        </w:rPr>
        <w:t>Table 3.1: Projected Market Size of the Elderly Healthcare &amp; Wellness Sector (in JPY Trillions)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6DC4E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19E4A2F">
            <w:pPr>
              <w:spacing w:after="400" w:line="400" w:lineRule="exact"/>
              <w:jc w:val="left"/>
            </w:pPr>
            <w:r>
              <w:rPr>
                <w:b/>
              </w:rPr>
              <w:t>Sub-Sector</w:t>
            </w:r>
          </w:p>
        </w:tc>
        <w:tc>
          <w:tcPr>
            <w:tcW w:w="1659" w:type="dxa"/>
          </w:tcPr>
          <w:p w14:paraId="3256EC88">
            <w:pPr>
              <w:spacing w:after="400" w:line="400" w:lineRule="exact"/>
              <w:jc w:val="left"/>
            </w:pPr>
            <w:r>
              <w:rPr>
                <w:b/>
              </w:rPr>
              <w:t>Est. Market Size (2025)</w:t>
            </w:r>
          </w:p>
        </w:tc>
        <w:tc>
          <w:tcPr>
            <w:tcW w:w="1659" w:type="dxa"/>
          </w:tcPr>
          <w:p w14:paraId="5B7518F4">
            <w:pPr>
              <w:spacing w:after="400" w:line="400" w:lineRule="exact"/>
              <w:jc w:val="left"/>
            </w:pPr>
            <w:r>
              <w:rPr>
                <w:b/>
              </w:rPr>
              <w:t>Projected Market Size (2035)</w:t>
            </w:r>
          </w:p>
        </w:tc>
        <w:tc>
          <w:tcPr>
            <w:tcW w:w="1659" w:type="dxa"/>
          </w:tcPr>
          <w:p w14:paraId="4DA73740">
            <w:pPr>
              <w:spacing w:after="400" w:line="400" w:lineRule="exact"/>
              <w:jc w:val="left"/>
            </w:pPr>
            <w:r>
              <w:rPr>
                <w:b/>
              </w:rPr>
              <w:t>Projected CAGR (2025-2035)</w:t>
            </w:r>
          </w:p>
        </w:tc>
        <w:tc>
          <w:tcPr>
            <w:tcW w:w="1659" w:type="dxa"/>
          </w:tcPr>
          <w:p w14:paraId="5794EEDF">
            <w:pPr>
              <w:spacing w:after="400" w:line="400" w:lineRule="exact"/>
              <w:jc w:val="left"/>
            </w:pPr>
            <w:r>
              <w:rPr>
                <w:b/>
              </w:rPr>
              <w:t>Key Drivers</w:t>
            </w:r>
          </w:p>
        </w:tc>
      </w:tr>
      <w:tr w14:paraId="0ADCD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6296109">
            <w:pPr>
              <w:spacing w:after="400" w:line="400" w:lineRule="exact"/>
              <w:jc w:val="left"/>
            </w:pPr>
            <w:r>
              <w:rPr>
                <w:b/>
              </w:rPr>
              <w:t>Long-Term Care Services</w:t>
            </w:r>
          </w:p>
        </w:tc>
        <w:tc>
          <w:tcPr>
            <w:tcW w:w="1659" w:type="dxa"/>
          </w:tcPr>
          <w:p w14:paraId="2875A5D9">
            <w:pPr>
              <w:spacing w:after="400" w:line="400" w:lineRule="exact"/>
              <w:jc w:val="left"/>
            </w:pPr>
            <w:r>
              <w:t>¥15.5</w:t>
            </w:r>
          </w:p>
        </w:tc>
        <w:tc>
          <w:tcPr>
            <w:tcW w:w="1659" w:type="dxa"/>
          </w:tcPr>
          <w:p w14:paraId="4DE913D9">
            <w:pPr>
              <w:spacing w:after="400" w:line="400" w:lineRule="exact"/>
              <w:jc w:val="left"/>
            </w:pPr>
            <w:r>
              <w:t>¥25.0</w:t>
            </w:r>
          </w:p>
        </w:tc>
        <w:tc>
          <w:tcPr>
            <w:tcW w:w="1659" w:type="dxa"/>
          </w:tcPr>
          <w:p w14:paraId="4E7FD5A3">
            <w:pPr>
              <w:spacing w:after="400" w:line="400" w:lineRule="exact"/>
              <w:jc w:val="left"/>
            </w:pPr>
            <w:r>
              <w:t>5.0%</w:t>
            </w:r>
          </w:p>
        </w:tc>
        <w:tc>
          <w:tcPr>
            <w:tcW w:w="1659" w:type="dxa"/>
          </w:tcPr>
          <w:p w14:paraId="0A09456E">
            <w:pPr>
              <w:spacing w:after="400" w:line="400" w:lineRule="exact"/>
              <w:jc w:val="left"/>
            </w:pPr>
            <w:r>
              <w:t>Growth of 85+ cohort; LTC insurance</w:t>
            </w:r>
          </w:p>
        </w:tc>
      </w:tr>
      <w:tr w14:paraId="14F94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EBC77DB">
            <w:pPr>
              <w:spacing w:after="400" w:line="400" w:lineRule="exact"/>
              <w:jc w:val="left"/>
            </w:pPr>
            <w:r>
              <w:rPr>
                <w:b/>
              </w:rPr>
              <w:t>Pharmaceuticals</w:t>
            </w:r>
          </w:p>
        </w:tc>
        <w:tc>
          <w:tcPr>
            <w:tcW w:w="1659" w:type="dxa"/>
          </w:tcPr>
          <w:p w14:paraId="30AD106B">
            <w:pPr>
              <w:spacing w:after="400" w:line="400" w:lineRule="exact"/>
              <w:jc w:val="left"/>
            </w:pPr>
            <w:r>
              <w:t>¥11.2</w:t>
            </w:r>
          </w:p>
        </w:tc>
        <w:tc>
          <w:tcPr>
            <w:tcW w:w="1659" w:type="dxa"/>
          </w:tcPr>
          <w:p w14:paraId="6E28AB13">
            <w:pPr>
              <w:spacing w:after="400" w:line="400" w:lineRule="exact"/>
              <w:jc w:val="left"/>
            </w:pPr>
            <w:r>
              <w:t>¥16.8</w:t>
            </w:r>
          </w:p>
        </w:tc>
        <w:tc>
          <w:tcPr>
            <w:tcW w:w="1659" w:type="dxa"/>
          </w:tcPr>
          <w:p w14:paraId="6F62811A">
            <w:pPr>
              <w:spacing w:after="400" w:line="400" w:lineRule="exact"/>
              <w:jc w:val="left"/>
            </w:pPr>
            <w:r>
              <w:t>4.1%</w:t>
            </w:r>
          </w:p>
        </w:tc>
        <w:tc>
          <w:tcPr>
            <w:tcW w:w="1659" w:type="dxa"/>
          </w:tcPr>
          <w:p w14:paraId="429D4CE9">
            <w:pPr>
              <w:spacing w:after="400" w:line="400" w:lineRule="exact"/>
              <w:jc w:val="left"/>
            </w:pPr>
            <w:r>
              <w:t>Chronic disease prevalence</w:t>
            </w:r>
          </w:p>
        </w:tc>
      </w:tr>
      <w:tr w14:paraId="65188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FBDC2F9">
            <w:pPr>
              <w:spacing w:after="400" w:line="400" w:lineRule="exact"/>
              <w:jc w:val="left"/>
            </w:pPr>
            <w:r>
              <w:rPr>
                <w:b/>
              </w:rPr>
              <w:t>Medical Devices</w:t>
            </w:r>
          </w:p>
        </w:tc>
        <w:tc>
          <w:tcPr>
            <w:tcW w:w="1659" w:type="dxa"/>
          </w:tcPr>
          <w:p w14:paraId="1761A633">
            <w:pPr>
              <w:spacing w:after="400" w:line="400" w:lineRule="exact"/>
              <w:jc w:val="left"/>
            </w:pPr>
            <w:r>
              <w:t>¥4.5</w:t>
            </w:r>
          </w:p>
        </w:tc>
        <w:tc>
          <w:tcPr>
            <w:tcW w:w="1659" w:type="dxa"/>
          </w:tcPr>
          <w:p w14:paraId="6213EE6A">
            <w:pPr>
              <w:spacing w:after="400" w:line="400" w:lineRule="exact"/>
              <w:jc w:val="left"/>
            </w:pPr>
            <w:r>
              <w:t>¥8.1</w:t>
            </w:r>
          </w:p>
        </w:tc>
        <w:tc>
          <w:tcPr>
            <w:tcW w:w="1659" w:type="dxa"/>
          </w:tcPr>
          <w:p w14:paraId="2D0C9888">
            <w:pPr>
              <w:spacing w:after="400" w:line="400" w:lineRule="exact"/>
              <w:jc w:val="left"/>
            </w:pPr>
            <w:r>
              <w:t>6.1%</w:t>
            </w:r>
          </w:p>
        </w:tc>
        <w:tc>
          <w:tcPr>
            <w:tcW w:w="1659" w:type="dxa"/>
          </w:tcPr>
          <w:p w14:paraId="3DFB0027">
            <w:pPr>
              <w:spacing w:after="400" w:line="400" w:lineRule="exact"/>
              <w:jc w:val="left"/>
            </w:pPr>
            <w:r>
              <w:t>Home-use devices; surgical tech</w:t>
            </w:r>
          </w:p>
        </w:tc>
      </w:tr>
      <w:tr w14:paraId="7613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B07B7BE">
            <w:pPr>
              <w:spacing w:after="400" w:line="400" w:lineRule="exact"/>
              <w:jc w:val="left"/>
            </w:pPr>
            <w:r>
              <w:rPr>
                <w:b/>
              </w:rPr>
              <w:t>Wellness &amp; Preventative Health</w:t>
            </w:r>
          </w:p>
        </w:tc>
        <w:tc>
          <w:tcPr>
            <w:tcW w:w="1659" w:type="dxa"/>
          </w:tcPr>
          <w:p w14:paraId="5C3125A5">
            <w:pPr>
              <w:spacing w:after="400" w:line="400" w:lineRule="exact"/>
              <w:jc w:val="left"/>
            </w:pPr>
            <w:r>
              <w:t>¥3.8</w:t>
            </w:r>
          </w:p>
        </w:tc>
        <w:tc>
          <w:tcPr>
            <w:tcW w:w="1659" w:type="dxa"/>
          </w:tcPr>
          <w:p w14:paraId="79B93051">
            <w:pPr>
              <w:spacing w:after="400" w:line="400" w:lineRule="exact"/>
              <w:jc w:val="left"/>
            </w:pPr>
            <w:r>
              <w:t>¥9.6</w:t>
            </w:r>
          </w:p>
        </w:tc>
        <w:tc>
          <w:tcPr>
            <w:tcW w:w="1659" w:type="dxa"/>
          </w:tcPr>
          <w:p w14:paraId="19799E43">
            <w:pPr>
              <w:spacing w:after="400" w:line="400" w:lineRule="exact"/>
              <w:jc w:val="left"/>
            </w:pPr>
            <w:r>
              <w:t>9.7%</w:t>
            </w:r>
          </w:p>
        </w:tc>
        <w:tc>
          <w:tcPr>
            <w:tcW w:w="1659" w:type="dxa"/>
          </w:tcPr>
          <w:p w14:paraId="208C394A">
            <w:pPr>
              <w:spacing w:after="400" w:line="400" w:lineRule="exact"/>
              <w:jc w:val="left"/>
            </w:pPr>
            <w:r>
              <w:t>"Healthspan" focus; active seniors</w:t>
            </w:r>
          </w:p>
        </w:tc>
      </w:tr>
      <w:tr w14:paraId="2DF3B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631602D">
            <w:pPr>
              <w:spacing w:after="400" w:line="400" w:lineRule="exact"/>
              <w:jc w:val="left"/>
            </w:pPr>
            <w:r>
              <w:rPr>
                <w:b/>
              </w:rPr>
              <w:t>Specialized Medical &amp; Other</w:t>
            </w:r>
          </w:p>
        </w:tc>
        <w:tc>
          <w:tcPr>
            <w:tcW w:w="1659" w:type="dxa"/>
          </w:tcPr>
          <w:p w14:paraId="45177FCD">
            <w:pPr>
              <w:spacing w:after="400" w:line="400" w:lineRule="exact"/>
              <w:jc w:val="left"/>
            </w:pPr>
            <w:r>
              <w:t>¥2.5</w:t>
            </w:r>
          </w:p>
        </w:tc>
        <w:tc>
          <w:tcPr>
            <w:tcW w:w="1659" w:type="dxa"/>
          </w:tcPr>
          <w:p w14:paraId="67370159">
            <w:pPr>
              <w:spacing w:after="400" w:line="400" w:lineRule="exact"/>
              <w:jc w:val="left"/>
            </w:pPr>
            <w:r>
              <w:t>¥4.5</w:t>
            </w:r>
          </w:p>
        </w:tc>
        <w:tc>
          <w:tcPr>
            <w:tcW w:w="1659" w:type="dxa"/>
          </w:tcPr>
          <w:p w14:paraId="18F3A542">
            <w:pPr>
              <w:spacing w:after="400" w:line="400" w:lineRule="exact"/>
              <w:jc w:val="left"/>
            </w:pPr>
            <w:r>
              <w:t>6.0%</w:t>
            </w:r>
          </w:p>
        </w:tc>
        <w:tc>
          <w:tcPr>
            <w:tcW w:w="1659" w:type="dxa"/>
          </w:tcPr>
          <w:p w14:paraId="58B2AA17">
            <w:pPr>
              <w:spacing w:after="400" w:line="400" w:lineRule="exact"/>
              <w:jc w:val="left"/>
            </w:pPr>
            <w:r>
              <w:t>Dementia care; rehabilitation</w:t>
            </w:r>
          </w:p>
        </w:tc>
      </w:tr>
      <w:tr w14:paraId="2152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3665A5A">
            <w:pPr>
              <w:spacing w:after="400" w:line="400" w:lineRule="exact"/>
              <w:jc w:val="left"/>
            </w:pPr>
            <w:r>
              <w:rPr>
                <w:b/>
              </w:rPr>
              <w:t>TOTAL</w:t>
            </w:r>
          </w:p>
        </w:tc>
        <w:tc>
          <w:tcPr>
            <w:tcW w:w="1659" w:type="dxa"/>
          </w:tcPr>
          <w:p w14:paraId="4A1934C5">
            <w:pPr>
              <w:spacing w:after="400" w:line="400" w:lineRule="exact"/>
              <w:jc w:val="left"/>
            </w:pPr>
            <w:r>
              <w:rPr>
                <w:b/>
              </w:rPr>
              <w:t>¥37.5</w:t>
            </w:r>
          </w:p>
        </w:tc>
        <w:tc>
          <w:tcPr>
            <w:tcW w:w="1659" w:type="dxa"/>
          </w:tcPr>
          <w:p w14:paraId="1C088777">
            <w:pPr>
              <w:spacing w:after="400" w:line="400" w:lineRule="exact"/>
              <w:jc w:val="left"/>
            </w:pPr>
            <w:r>
              <w:rPr>
                <w:b/>
              </w:rPr>
              <w:t>¥64.0</w:t>
            </w:r>
          </w:p>
        </w:tc>
        <w:tc>
          <w:tcPr>
            <w:tcW w:w="1659" w:type="dxa"/>
          </w:tcPr>
          <w:p w14:paraId="4FFBE645">
            <w:pPr>
              <w:spacing w:after="400" w:line="400" w:lineRule="exact"/>
              <w:jc w:val="left"/>
            </w:pPr>
            <w:r>
              <w:rPr>
                <w:b/>
              </w:rPr>
              <w:t>5.5%</w:t>
            </w:r>
          </w:p>
        </w:tc>
        <w:tc>
          <w:tcPr>
            <w:tcW w:w="1659" w:type="dxa"/>
          </w:tcPr>
          <w:p w14:paraId="0DD9CEEA">
            <w:pPr>
              <w:spacing w:after="400" w:line="400" w:lineRule="exact"/>
              <w:jc w:val="left"/>
            </w:pPr>
            <w:r>
              <w:rPr>
                <w:b/>
              </w:rPr>
              <w:t>Overarching demographic shift</w:t>
            </w:r>
          </w:p>
        </w:tc>
      </w:tr>
    </w:tbl>
    <w:p w14:paraId="6AD29C8D">
      <w:pPr>
        <w:spacing w:before="400" w:after="400" w:line="400" w:lineRule="atLeast"/>
      </w:pPr>
      <w:r>
        <w:rPr>
          <w:i/>
        </w:rPr>
        <w:t>Source: Author's analysis based on data from MHLW reports, industry associations, and market research firms [</w:t>
      </w:r>
      <w:r>
        <w:t>[37]</w:t>
      </w:r>
      <w:r>
        <w:rPr>
          <w:i/>
        </w:rPr>
        <w:t>][</w:t>
      </w:r>
      <w:r>
        <w:t>[38]</w:t>
      </w:r>
      <w:r>
        <w:rPr>
          <w:i/>
        </w:rPr>
        <w:t>]. Note: Wellness &amp; Preventative Health includes some functional food products which may also be categorized under general consumption, representing a potential area of overlap.</w:t>
      </w:r>
    </w:p>
    <w:p w14:paraId="5C0D1FB3">
      <w:pPr>
        <w:numPr>
          <w:ilvl w:val="-1"/>
          <w:numId w:val="2"/>
        </w:numPr>
        <w:spacing w:after="400" w:line="400" w:lineRule="atLeast"/>
      </w:pPr>
      <w:r>
        <w:rPr>
          <w:b/>
        </w:rPr>
        <w:t>c. Growth Drivers and Technological Integration:</w:t>
      </w:r>
      <w:r>
        <w:t xml:space="preserve"> The primary driver is the "aging of the aged" (i.e., the growth of the 85+ cohort). However, technological integration, such as telemedicine, AI-powered diagnostics, and remote patient monitoring, is a critical secondary driver, improving efficiency and enabling more care to be delivered at home.</w:t>
      </w:r>
    </w:p>
    <w:p w14:paraId="6E8F1913">
      <w:pPr>
        <w:spacing w:after="400" w:line="400" w:lineRule="atLeast"/>
      </w:pPr>
      <w:r>
        <w:rPr>
          <w:b/>
        </w:rPr>
        <w:t>2. The Gerontechnology and Age-Tech Sector</w:t>
      </w:r>
    </w:p>
    <w:p w14:paraId="71112B8C">
      <w:pPr>
        <w:spacing w:after="400" w:line="400" w:lineRule="atLeast"/>
      </w:pPr>
      <w:r>
        <w:t xml:space="preserve">This is the most dynamic and high-growth segment of the Silver Economy, heavily promoted by Japanese government policy as a solution to the nation's social and economic challenges. </w:t>
      </w:r>
      <w:r>
        <w:rPr>
          <w:b/>
        </w:rPr>
        <w:t>Gerontechnology</w:t>
      </w:r>
      <w:r>
        <w:t xml:space="preserve"> is the interdisciplinary field combining gerontology and technology, focused on developing tools and services to support the health, independence, and social participation of older adults.</w:t>
      </w:r>
    </w:p>
    <w:p w14:paraId="7F2E4DD9">
      <w:pPr>
        <w:numPr>
          <w:ilvl w:val="-1"/>
          <w:numId w:val="2"/>
        </w:numPr>
        <w:spacing w:after="400" w:line="400" w:lineRule="atLeast"/>
      </w:pPr>
      <w:r>
        <w:rPr>
          <w:b/>
        </w:rPr>
        <w:t>a. Defining Gerontechnology:</w:t>
      </w:r>
      <w:r>
        <w:t xml:space="preserve"> As reported by the Ministry of Economy, Trade and Industry (METI), the focus is on practical applications of AI, advanced robotics, and the Internet of Things (IoT) to solve real-world problems in elderly care [[39]]. This moves beyond simple assistive devices to create integrated ecosystems of support.</w:t>
      </w:r>
    </w:p>
    <w:p w14:paraId="1C037370">
      <w:pPr>
        <w:numPr>
          <w:ilvl w:val="-1"/>
          <w:numId w:val="2"/>
        </w:numPr>
        <w:spacing w:after="400" w:line="400" w:lineRule="atLeast"/>
      </w:pPr>
      <w:r>
        <w:rPr>
          <w:b/>
        </w:rPr>
        <w:t>b. Market Segmentation:</w:t>
      </w:r>
    </w:p>
    <w:p w14:paraId="5FD94BD4">
      <w:pPr>
        <w:numPr>
          <w:ilvl w:val="-1"/>
          <w:numId w:val="2"/>
        </w:numPr>
        <w:spacing w:after="400" w:line="400" w:lineRule="atLeast"/>
      </w:pPr>
      <w:r>
        <w:rPr>
          <w:b/>
        </w:rPr>
        <w:t>Assistive &amp; Care Robotics:</w:t>
      </w:r>
      <w:r>
        <w:t xml:space="preserve"> Robots to assist with mobility (exoskeletons), daily tasks, and providing companionship (e.g., Paro, the therapeutic seal) [[40]]. METI forecasts the domestic market for caregiving robots alone could reach ¥5.7 trillion by 2035 [[41]].</w:t>
      </w:r>
    </w:p>
    <w:p w14:paraId="7D9FF0E0">
      <w:pPr>
        <w:numPr>
          <w:ilvl w:val="-1"/>
          <w:numId w:val="2"/>
        </w:numPr>
        <w:spacing w:after="400" w:line="400" w:lineRule="atLeast"/>
      </w:pPr>
      <w:r>
        <w:rPr>
          <w:b/>
        </w:rPr>
        <w:t>Digital Health Platforms:</w:t>
      </w:r>
      <w:r>
        <w:t xml:space="preserve"> Includes telemedicine, remote monitoring devices (wearables), and platforms for managing chronic conditions.</w:t>
      </w:r>
    </w:p>
    <w:p w14:paraId="4F86DAE7">
      <w:pPr>
        <w:numPr>
          <w:ilvl w:val="-1"/>
          <w:numId w:val="2"/>
        </w:numPr>
        <w:spacing w:after="400" w:line="400" w:lineRule="atLeast"/>
      </w:pPr>
      <w:r>
        <w:rPr>
          <w:b/>
        </w:rPr>
        <w:t>Smart Home &amp; Safety Tech:</w:t>
      </w:r>
      <w:r>
        <w:t xml:space="preserve"> IoT devices such as automated fall detectors, smart pill dispensers, and monitoring systems that allow seniors to "age in place" safely.</w:t>
      </w:r>
    </w:p>
    <w:p w14:paraId="5EAE5747">
      <w:pPr>
        <w:numPr>
          <w:ilvl w:val="-1"/>
          <w:numId w:val="2"/>
        </w:numPr>
        <w:spacing w:after="400" w:line="400" w:lineRule="atLeast"/>
      </w:pPr>
      <w:r>
        <w:rPr>
          <w:b/>
        </w:rPr>
        <w:t>Social &amp; Communication Tech:</w:t>
      </w:r>
      <w:r>
        <w:t xml:space="preserve"> Platforms designed to combat social isolation, including simplified video communication tools and virtual reality social experiences.</w:t>
      </w:r>
    </w:p>
    <w:p w14:paraId="13E29949">
      <w:pPr>
        <w:numPr>
          <w:ilvl w:val="-1"/>
          <w:numId w:val="2"/>
        </w:numPr>
        <w:spacing w:after="400" w:line="400" w:lineRule="atLeast"/>
      </w:pPr>
      <w:r>
        <w:rPr>
          <w:b/>
        </w:rPr>
        <w:t>c. Visualization: Age-Tech Sector CAGR Comparison (Chart)</w:t>
      </w:r>
    </w:p>
    <w:p w14:paraId="24FFC77A">
      <w:pPr>
        <w:spacing w:after="400" w:line="400" w:lineRule="atLeast"/>
      </w:pPr>
      <w:r>
        <w:rPr>
          <w:b/>
        </w:rPr>
        <w:t>Chart 3.1: Projected CAGR for Key Age-Tech Sub-Sectors (2025-2035)</w:t>
      </w:r>
    </w:p>
    <w:p w14:paraId="6C83C408">
      <w:r>
        <w:t>[A horizontal bar chart would be placed here]
</w:t>
      </w:r>
    </w:p>
    <w:p w14:paraId="205B61C3">
      <w:r>
        <w:t>
</w:t>
      </w:r>
    </w:p>
    <w:p w14:paraId="2422E55E">
      <w:r>
        <w:t>Title: Projected Compound Annual Growth Rate (CAGR) for Age-Tech Sub-Sectors in Japan, 2025-2035
</w:t>
      </w:r>
    </w:p>
    <w:p w14:paraId="6ADCBA60">
      <w:r>
        <w:t>
</w:t>
      </w:r>
    </w:p>
    <w:p w14:paraId="44D677D8">
      <w:r>
        <w:t>Y-axis (Categories):
</w:t>
      </w:r>
    </w:p>
    <w:p w14:paraId="315D4175">
      <w:r>
        <w:t>- Smart Home &amp; Safety Tech
</w:t>
      </w:r>
    </w:p>
    <w:p w14:paraId="36E9507C">
      <w:r>
        <w:t>- Digital Health Platforms
</w:t>
      </w:r>
    </w:p>
    <w:p w14:paraId="68B8E007">
      <w:r>
        <w:t>- Assistive &amp; Care Robotics
</w:t>
      </w:r>
    </w:p>
    <w:p w14:paraId="15B7CCE9">
      <w:r>
        <w:t>- Social &amp; Communication Tech
</w:t>
      </w:r>
    </w:p>
    <w:p w14:paraId="3511F50C">
      <w:r>
        <w:t>
</w:t>
      </w:r>
    </w:p>
    <w:p w14:paraId="7372D401">
      <w:r>
        <w:t>X-axis (CAGR %):
</w:t>
      </w:r>
    </w:p>
    <w:p w14:paraId="142517C4">
      <w:r>
        <w:t>0% to 25%
</w:t>
      </w:r>
    </w:p>
    <w:p w14:paraId="23244F18">
      <w:r>
        <w:t>
</w:t>
      </w:r>
    </w:p>
    <w:p w14:paraId="17232EAB">
      <w:r>
        <w:t>Data Values (CAGR):
</w:t>
      </w:r>
    </w:p>
    <w:p w14:paraId="3F57937C">
      <w:r>
        <w:t>- Smart Home &amp; Safety Tech: 22.5%
</w:t>
      </w:r>
    </w:p>
    <w:p w14:paraId="5146EBA1">
      <w:r>
        <w:t>- Digital Health Platforms: 18.0%
</w:t>
      </w:r>
    </w:p>
    <w:p w14:paraId="2AC5FB7A">
      <w:r>
        <w:t>- Assistive &amp; Care Robotics: 15.5%
</w:t>
      </w:r>
    </w:p>
    <w:p w14:paraId="464F5272">
      <w:r>
        <w:t>- Social &amp; Communication Tech: 12.0%
</w:t>
      </w:r>
    </w:p>
    <w:p w14:paraId="20497B3E">
      <w:r>
        <w:t>
</w:t>
      </w:r>
    </w:p>
    <w:p w14:paraId="7C47B40D">
      <w:r>
        <w:t>Source: Author's projections based on METI policy documents and global market research reports on IoT and robotics [[42]][[43]][[44]].
</w:t>
      </w:r>
    </w:p>
    <w:p w14:paraId="6B6E5E5F">
      <w:pPr>
        <w:numPr>
          <w:ilvl w:val="-1"/>
          <w:numId w:val="2"/>
        </w:numPr>
        <w:spacing w:after="400" w:line="400" w:lineRule="atLeast"/>
      </w:pPr>
      <w:r>
        <w:rPr>
          <w:b/>
        </w:rPr>
        <w:t>d. Policy Support: METI's "Robot Revolution Initiative"</w:t>
      </w:r>
    </w:p>
    <w:p w14:paraId="7B271A04">
      <w:pPr>
        <w:spacing w:after="400" w:line="400" w:lineRule="atLeast"/>
      </w:pPr>
      <w:r>
        <w:t>A major catalyst for this sector is strong government backing. As explicitly stated in METI's "Robot Revolution &amp; Industrial IoT Initiative Council Policy" (2023), the government is targeting significant investment, including approximately $300 million in funding, to accelerate the R&amp;D and pilot implementation of AI-driven elderly care solutions [[45]]. This top-down support de-risks private investment and signals a long-term national commitment to the sector.</w:t>
      </w:r>
    </w:p>
    <w:p w14:paraId="4A647810">
      <w:pPr>
        <w:spacing w:after="400" w:line="400" w:lineRule="atLeast"/>
      </w:pPr>
      <w:r>
        <w:rPr>
          <w:b/>
        </w:rPr>
        <w:t>3. The Housing and Living Environment Sector</w:t>
      </w:r>
    </w:p>
    <w:p w14:paraId="7D43BE64">
      <w:pPr>
        <w:spacing w:after="400" w:line="400" w:lineRule="atLeast"/>
      </w:pPr>
      <w:r>
        <w:t>The need for suitable housing is fundamental, yet this sector has seen more modest, though steady, growth compared to healthcare and technology. The focus is shifting from simply building facilities to creating integrated living environments that support independence and well-being.</w:t>
      </w:r>
    </w:p>
    <w:p w14:paraId="6B9133BA">
      <w:pPr>
        <w:numPr>
          <w:ilvl w:val="-1"/>
          <w:numId w:val="2"/>
        </w:numPr>
        <w:spacing w:after="400" w:line="400" w:lineRule="atLeast"/>
      </w:pPr>
      <w:r>
        <w:rPr>
          <w:b/>
        </w:rPr>
        <w:t>a. Market Segmentation:</w:t>
      </w:r>
    </w:p>
    <w:p w14:paraId="1F0F68AA">
      <w:pPr>
        <w:numPr>
          <w:ilvl w:val="-1"/>
          <w:numId w:val="2"/>
        </w:numPr>
        <w:spacing w:after="400" w:line="400" w:lineRule="atLeast"/>
      </w:pPr>
      <w:r>
        <w:rPr>
          <w:b/>
        </w:rPr>
        <w:t>Senior Living Communities:</w:t>
      </w:r>
      <w:r>
        <w:t xml:space="preserve"> Includes a spectrum from independent living facilities to assisted living and full-service nursing homes (known as </w:t>
      </w:r>
      <w:r>
        <w:rPr>
          <w:i/>
        </w:rPr>
        <w:t>tokubetsu yōgo rōjin hōmu</w:t>
      </w:r>
      <w:r>
        <w:t>).</w:t>
      </w:r>
    </w:p>
    <w:p w14:paraId="1708D497">
      <w:pPr>
        <w:numPr>
          <w:ilvl w:val="-1"/>
          <w:numId w:val="2"/>
        </w:numPr>
        <w:spacing w:after="400" w:line="400" w:lineRule="atLeast"/>
      </w:pPr>
      <w:r>
        <w:rPr>
          <w:b/>
        </w:rPr>
        <w:t>Age-Friendly Retrofitting:</w:t>
      </w:r>
      <w:r>
        <w:t xml:space="preserve"> A large market for modifying existing homes with features like handrails, walk-in showers, and stairlifts to enable aging in place.</w:t>
      </w:r>
    </w:p>
    <w:p w14:paraId="71699B88">
      <w:pPr>
        <w:numPr>
          <w:ilvl w:val="-1"/>
          <w:numId w:val="2"/>
        </w:numPr>
        <w:spacing w:after="400" w:line="400" w:lineRule="atLeast"/>
      </w:pPr>
      <w:r>
        <w:rPr>
          <w:b/>
        </w:rPr>
        <w:t>Home Care &amp; Support Services:</w:t>
      </w:r>
      <w:r>
        <w:t xml:space="preserve"> Non-medical services delivered to the home, such as meal delivery, cleaning, and assistance with daily tasks, which are intertwined with the housing environment.</w:t>
      </w:r>
    </w:p>
    <w:p w14:paraId="0B47484F">
      <w:pPr>
        <w:numPr>
          <w:ilvl w:val="-1"/>
          <w:numId w:val="2"/>
        </w:numPr>
        <w:spacing w:after="400" w:line="400" w:lineRule="atLeast"/>
      </w:pPr>
      <w:r>
        <w:rPr>
          <w:b/>
        </w:rPr>
        <w:t>b. Current Market Status and Projected Growth:</w:t>
      </w:r>
      <w:r>
        <w:t xml:space="preserve"> According to reports from the Ministry of Land, Infrastructure, Transport and Tourism, the demand for serviced residences for the elderly consistently outstrips supply, with high occupancy rates nationwide [[46]]. The market is projected to grow at a CAGR of </w:t>
      </w:r>
      <w:r>
        <w:rPr>
          <w:b/>
        </w:rPr>
        <w:t>4.0% to 4.5%</w:t>
      </w:r>
      <w:r>
        <w:t>, driven primarily by the needs of the 80+ population.</w:t>
      </w:r>
    </w:p>
    <w:p w14:paraId="091C2872">
      <w:pPr>
        <w:numPr>
          <w:ilvl w:val="-1"/>
          <w:numId w:val="2"/>
        </w:numPr>
        <w:spacing w:after="400" w:line="400" w:lineRule="atLeast"/>
      </w:pPr>
      <w:r>
        <w:rPr>
          <w:b/>
        </w:rPr>
        <w:t>c. Limitations and Constraints on Sector Expansion:</w:t>
      </w:r>
      <w:r>
        <w:t xml:space="preserve"> The growth of this sector is constrained by several factors. High capital costs for construction, significant regulatory hurdles for establishing new care facilities, and a persistent shortage of skilled labor in the care industry act as brakes on expansion. Unlike the tech sector, productivity gains are harder to achieve in this high-touch, human-centric field.</w:t>
      </w:r>
    </w:p>
    <w:p w14:paraId="413265D9">
      <w:pPr>
        <w:spacing w:after="400" w:line="400" w:lineRule="atLeast"/>
      </w:pPr>
      <w:r>
        <w:rPr>
          <w:b/>
        </w:rPr>
        <w:t>4. The Leisure, Tourism, and Culture Sector</w:t>
      </w:r>
    </w:p>
    <w:p w14:paraId="19B6CA16">
      <w:pPr>
        <w:spacing w:after="400" w:line="400" w:lineRule="atLeast"/>
      </w:pPr>
      <w:r>
        <w:t>This sector caters primarily to the healthier and more affluent "young-old" (65-74) cohort. While often perceived as discretionary, spending in this area is a key component of the "longevity dividend," reflecting the desire of active seniors to remain engaged and enjoy their extended lifespans.</w:t>
      </w:r>
    </w:p>
    <w:p w14:paraId="396B67F0">
      <w:pPr>
        <w:numPr>
          <w:ilvl w:val="-1"/>
          <w:numId w:val="2"/>
        </w:numPr>
        <w:spacing w:after="400" w:line="400" w:lineRule="atLeast"/>
      </w:pPr>
      <w:r>
        <w:rPr>
          <w:b/>
        </w:rPr>
        <w:t>a. Market Characterization and Consumer Preferences:</w:t>
      </w:r>
      <w:r>
        <w:t xml:space="preserve"> Elderly consumers in Japan show a strong preference for domestic travel (especially to hot springs, or </w:t>
      </w:r>
      <w:r>
        <w:rPr>
          <w:i/>
        </w:rPr>
        <w:t>onsen</w:t>
      </w:r>
      <w:r>
        <w:t>), cultural pursuits (e.g., museum visits, traditional arts), social clubs, and lifelong learning courses [[47]][[48]]. Specialized travel agencies, such as Club Tourism, have built entire business models around catering to the specific needs of senior travelers, such as offering slower-paced itineraries and accessible transportation [[49]].</w:t>
      </w:r>
    </w:p>
    <w:p w14:paraId="01875F55">
      <w:pPr>
        <w:numPr>
          <w:ilvl w:val="-1"/>
          <w:numId w:val="2"/>
        </w:numPr>
        <w:spacing w:after="400" w:line="400" w:lineRule="atLeast"/>
      </w:pPr>
      <w:r>
        <w:rPr>
          <w:b/>
        </w:rPr>
        <w:t>b. Comparative Analysis: Market Size Relative to Healthcare and Technology:</w:t>
      </w:r>
      <w:r>
        <w:t xml:space="preserve"> Industry reports, such as the "Leisure White Book," estimate the domestic travel market portion relevant to seniors at approximately ¥8 trillion, with other leisure activities adding several trillion more [[50]]. While substantial, this places the sector's total value at roughly one-third to one-quarter of the healthcare sector. Its projected CAGR is also more modest, estimated at </w:t>
      </w:r>
      <w:r>
        <w:rPr>
          <w:b/>
        </w:rPr>
        <w:t>2.5% to 3.0%</w:t>
      </w:r>
      <w:r>
        <w:t>, reflecting its maturity and higher sensitivity to economic conditions compared to the non-discretionary nature of healthcare.</w:t>
      </w:r>
    </w:p>
    <w:p w14:paraId="5F078AAA">
      <w:pPr>
        <w:numPr>
          <w:ilvl w:val="-1"/>
          <w:numId w:val="2"/>
        </w:numPr>
        <w:spacing w:after="400" w:line="400" w:lineRule="atLeast"/>
      </w:pPr>
      <w:r>
        <w:rPr>
          <w:b/>
        </w:rPr>
        <w:t>c. Potential for Growth and Niche Market Development:</w:t>
      </w:r>
      <w:r>
        <w:t xml:space="preserve"> Growth potential lies in niche markets. These include "wellness tourism" (combining travel with health treatments), educational travel, and accessible tourism for individuals with minor mobility issues. There is also an emerging market for digital leisure, such as virtual travel experiences and online social clubs, which could see higher growth.</w:t>
      </w:r>
    </w:p>
    <w:p w14:paraId="3DE06AD0">
      <w:pPr>
        <w:spacing w:after="400" w:line="400" w:lineRule="atLeast"/>
      </w:pPr>
      <w:r>
        <w:rPr>
          <w:b/>
          <w:sz w:val="30"/>
        </w:rPr>
        <w:t>IV. Consumption Behavior and Economic Elasticity of Elderly Households</w:t>
      </w:r>
    </w:p>
    <w:p w14:paraId="4E553ED6">
      <w:pPr>
        <w:spacing w:after="400" w:line="400" w:lineRule="atLeast"/>
      </w:pPr>
      <w:r>
        <w:t xml:space="preserve">Understanding </w:t>
      </w:r>
      <w:r>
        <w:rPr>
          <w:i/>
        </w:rPr>
        <w:t>how</w:t>
      </w:r>
      <w:r>
        <w:t xml:space="preserve"> elderly consumers spend their money is as important as knowing </w:t>
      </w:r>
      <w:r>
        <w:rPr>
          <w:i/>
        </w:rPr>
        <w:t>how much</w:t>
      </w:r>
      <w:r>
        <w:t xml:space="preserve"> they spend. This section delves into the economic behavior of elderly households, examining their saving habits, expenditure priorities, and responsiveness to changes in income.</w:t>
      </w:r>
    </w:p>
    <w:p w14:paraId="7A18F1F3">
      <w:pPr>
        <w:spacing w:after="400" w:line="400" w:lineRule="atLeast"/>
      </w:pPr>
      <w:r>
        <w:rPr>
          <w:b/>
          <w:sz w:val="26"/>
        </w:rPr>
        <w:t>A. Macro-Level Consumption Patterns</w:t>
      </w:r>
    </w:p>
    <w:p w14:paraId="2291DDD7">
      <w:pPr>
        <w:spacing w:after="400" w:line="400" w:lineRule="atLeast"/>
      </w:pPr>
      <w:r>
        <w:rPr>
          <w:b/>
        </w:rPr>
        <w:t>1. The Life-Cycle Hypothesis in the Context of a Super-Aging Society</w:t>
      </w:r>
    </w:p>
    <w:p w14:paraId="5FA78200">
      <w:pPr>
        <w:spacing w:after="400" w:line="400" w:lineRule="atLeast"/>
      </w:pPr>
      <w:r>
        <w:t xml:space="preserve">The traditional </w:t>
      </w:r>
      <w:r>
        <w:rPr>
          <w:b/>
        </w:rPr>
        <w:t>life-cycle hypothesis of consumption</w:t>
      </w:r>
      <w:r>
        <w:t xml:space="preserve"> posits that individuals save during their working years and dis-save during retirement to smooth consumption over their lifetime. However, data from Japan complicates this model. According to numerous household finance surveys, elderly households in Japan continue to exhibit remarkably high savings rates and hold a disproportionately large share of the nation's financial assets [[51]][[52]]. This may be attributed to several factors: a strong precautionary savings motive due to uncertainty about future health and long-term care costs, a desire to leave bequests to children, and cohort effects from generations that experienced economic instability. This "savings paradox" means that a significant portion of elderly wealth is not being actively deployed in the consumer economy, representing both a challenge and a major opportunity for the financial services industry to unlock this capital.</w:t>
      </w:r>
    </w:p>
    <w:p w14:paraId="58A22BEB">
      <w:pPr>
        <w:spacing w:after="400" w:line="400" w:lineRule="atLeast"/>
      </w:pPr>
      <w:r>
        <w:rPr>
          <w:b/>
        </w:rPr>
        <w:t>2. Analysis of Household Savings Rates and Asset Allocation</w:t>
      </w:r>
    </w:p>
    <w:p w14:paraId="79CB6FAB">
      <w:pPr>
        <w:spacing w:after="400" w:line="400" w:lineRule="atLeast"/>
      </w:pPr>
      <w:r>
        <w:t>Data from sources like the Survey of Household Finances indicates that Japanese elderly households prefer safety and liquidity in their asset allocation. A significant majority of their financial assets are held in cash and bank deposits, with a relatively smaller allocation to equities and other risk assets compared to their counterparts in Western nations [[53]]. However, there is a trend, particularly among the "young-old," towards greater investment in risk assets, spurred by government incentives like the Nippon Individual Savings Account (NISA) program [[54]]. Asset allocation also varies significantly by income quintile, with higher-income elderly households holding a much larger proportion of their wealth in securities and real estate.</w:t>
      </w:r>
    </w:p>
    <w:p w14:paraId="7A73E746">
      <w:pPr>
        <w:spacing w:after="400" w:line="400" w:lineRule="atLeast"/>
      </w:pPr>
      <w:r>
        <w:rPr>
          <w:b/>
          <w:sz w:val="26"/>
        </w:rPr>
        <w:t>B. Micro-Level Expenditure Analysis</w:t>
      </w:r>
    </w:p>
    <w:p w14:paraId="12B7C844">
      <w:pPr>
        <w:spacing w:after="400" w:line="400" w:lineRule="atLeast"/>
      </w:pPr>
      <w:r>
        <w:rPr>
          <w:b/>
        </w:rPr>
        <w:t>1. Variation in Consumption by Age Cohort (Young-Old vs. Old-Old)</w:t>
      </w:r>
    </w:p>
    <w:p w14:paraId="651B8B0C">
      <w:pPr>
        <w:spacing w:after="400" w:line="400" w:lineRule="atLeast"/>
      </w:pPr>
      <w:r>
        <w:t>Analysis based on the Family Income and Expenditure Survey (FIES) reveals distinct spending profiles within the elderly population.</w:t>
      </w:r>
    </w:p>
    <w:p w14:paraId="5A484ADF">
      <w:pPr>
        <w:numPr>
          <w:ilvl w:val="-1"/>
          <w:numId w:val="2"/>
        </w:numPr>
        <w:spacing w:after="400" w:line="400" w:lineRule="atLeast"/>
      </w:pPr>
      <w:r>
        <w:rPr>
          <w:b/>
        </w:rPr>
        <w:t>The Young-Old (65-74):</w:t>
      </w:r>
      <w:r>
        <w:t xml:space="preserve"> This cohort typically has higher discretionary spending. Their expenditure is weighted more heavily towards non-essential categories such as travel, hobbies, social expenses, and cultural activities [[55]]. They also spend more on durable goods, such as new cars or home renovations.</w:t>
      </w:r>
    </w:p>
    <w:p w14:paraId="429C3B63">
      <w:pPr>
        <w:numPr>
          <w:ilvl w:val="-1"/>
          <w:numId w:val="2"/>
        </w:numPr>
        <w:spacing w:after="400" w:line="400" w:lineRule="atLeast"/>
      </w:pPr>
      <w:r>
        <w:rPr>
          <w:b/>
        </w:rPr>
        <w:t>The Oldest-Old (85+):</w:t>
      </w:r>
      <w:r>
        <w:t xml:space="preserve"> As health declines and mobility becomes restricted, consumption patterns pivot dramatically. Spending becomes dominated by essential goods and services. Medical care and long-term care services constitute the largest and fastest-growing share of their budget. Expenditure on food (Engel's coefficient) also tends to rise as a proportion of total spending, while expenditures on transportation, clothing, and leisure decline sharply [[56]][[57]].</w:t>
      </w:r>
    </w:p>
    <w:p w14:paraId="01B1A1DB">
      <w:pPr>
        <w:spacing w:after="400" w:line="400" w:lineRule="atLeast"/>
      </w:pPr>
      <w:r>
        <w:rPr>
          <w:b/>
        </w:rPr>
        <w:t>2. Visualization: Expenditure Breakdown for Elderly Households by Category (Table)</w:t>
      </w:r>
    </w:p>
    <w:p w14:paraId="619A877E">
      <w:pPr>
        <w:spacing w:after="400" w:line="400" w:lineRule="atLeast"/>
      </w:pPr>
      <w:r>
        <w:rPr>
          <w:b/>
        </w:rPr>
        <w:t>Table 4.1: Illustrative Monthly Consumption Expenditure Breakdown by Elderly Age Cohort (in JPY)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5768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EE5C8C5">
            <w:pPr>
              <w:spacing w:after="400" w:line="400" w:lineRule="exact"/>
              <w:jc w:val="left"/>
            </w:pPr>
            <w:r>
              <w:rPr>
                <w:b/>
              </w:rPr>
              <w:t>Expenditure Category</w:t>
            </w:r>
          </w:p>
        </w:tc>
        <w:tc>
          <w:tcPr>
            <w:tcW w:w="1659" w:type="dxa"/>
          </w:tcPr>
          <w:p w14:paraId="491F59D4">
            <w:pPr>
              <w:spacing w:after="400" w:line="400" w:lineRule="exact"/>
              <w:jc w:val="left"/>
            </w:pPr>
            <w:r>
              <w:rPr>
                <w:b/>
              </w:rPr>
              <w:t>Average Household (All Ages)</w:t>
            </w:r>
          </w:p>
        </w:tc>
        <w:tc>
          <w:tcPr>
            <w:tcW w:w="1659" w:type="dxa"/>
          </w:tcPr>
          <w:p w14:paraId="750174BA">
            <w:pPr>
              <w:spacing w:after="400" w:line="400" w:lineRule="exact"/>
              <w:jc w:val="left"/>
            </w:pPr>
            <w:r>
              <w:rPr>
                <w:b/>
              </w:rPr>
              <w:t>Young-Old Household (65-74)</w:t>
            </w:r>
          </w:p>
        </w:tc>
        <w:tc>
          <w:tcPr>
            <w:tcW w:w="1659" w:type="dxa"/>
          </w:tcPr>
          <w:p w14:paraId="31D72C1B">
            <w:pPr>
              <w:spacing w:after="400" w:line="400" w:lineRule="exact"/>
              <w:jc w:val="left"/>
            </w:pPr>
            <w:r>
              <w:rPr>
                <w:b/>
              </w:rPr>
              <w:t>Oldest-Old Household (85+)</w:t>
            </w:r>
          </w:p>
        </w:tc>
        <w:tc>
          <w:tcPr>
            <w:tcW w:w="1659" w:type="dxa"/>
          </w:tcPr>
          <w:p w14:paraId="1E8E8288">
            <w:pPr>
              <w:spacing w:after="400" w:line="400" w:lineRule="exact"/>
              <w:jc w:val="left"/>
            </w:pPr>
            <w:r>
              <w:rPr>
                <w:b/>
              </w:rPr>
              <w:t>Variance (Oldest-Old vs. Young-Old)</w:t>
            </w:r>
          </w:p>
        </w:tc>
      </w:tr>
      <w:tr w14:paraId="3119E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64F33A5">
            <w:pPr>
              <w:spacing w:after="400" w:line="400" w:lineRule="exact"/>
              <w:jc w:val="left"/>
            </w:pPr>
            <w:r>
              <w:rPr>
                <w:b/>
              </w:rPr>
              <w:t>Food</w:t>
            </w:r>
          </w:p>
        </w:tc>
        <w:tc>
          <w:tcPr>
            <w:tcW w:w="1659" w:type="dxa"/>
          </w:tcPr>
          <w:p w14:paraId="37B52301">
            <w:pPr>
              <w:spacing w:after="400" w:line="400" w:lineRule="exact"/>
              <w:jc w:val="left"/>
            </w:pPr>
            <w:r>
              <w:t>¥65,000</w:t>
            </w:r>
          </w:p>
        </w:tc>
        <w:tc>
          <w:tcPr>
            <w:tcW w:w="1659" w:type="dxa"/>
          </w:tcPr>
          <w:p w14:paraId="77F53853">
            <w:pPr>
              <w:spacing w:after="400" w:line="400" w:lineRule="exact"/>
              <w:jc w:val="left"/>
            </w:pPr>
            <w:r>
              <w:t>¥70,000</w:t>
            </w:r>
          </w:p>
        </w:tc>
        <w:tc>
          <w:tcPr>
            <w:tcW w:w="1659" w:type="dxa"/>
          </w:tcPr>
          <w:p w14:paraId="40B666C3">
            <w:pPr>
              <w:spacing w:after="400" w:line="400" w:lineRule="exact"/>
              <w:jc w:val="left"/>
            </w:pPr>
            <w:r>
              <w:t>¥75,000</w:t>
            </w:r>
          </w:p>
        </w:tc>
        <w:tc>
          <w:tcPr>
            <w:tcW w:w="1659" w:type="dxa"/>
          </w:tcPr>
          <w:p w14:paraId="0B2DD6AA">
            <w:pPr>
              <w:spacing w:after="400" w:line="400" w:lineRule="exact"/>
              <w:jc w:val="left"/>
            </w:pPr>
            <w:r>
              <w:t>+7.1%</w:t>
            </w:r>
          </w:p>
        </w:tc>
      </w:tr>
      <w:tr w14:paraId="1ABAD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177F32F">
            <w:pPr>
              <w:spacing w:after="400" w:line="400" w:lineRule="exact"/>
              <w:jc w:val="left"/>
            </w:pPr>
            <w:r>
              <w:rPr>
                <w:b/>
              </w:rPr>
              <w:t>Housing</w:t>
            </w:r>
            <w:r>
              <w:t xml:space="preserve"> (incl. maintenance)</w:t>
            </w:r>
          </w:p>
        </w:tc>
        <w:tc>
          <w:tcPr>
            <w:tcW w:w="1659" w:type="dxa"/>
          </w:tcPr>
          <w:p w14:paraId="54843CEF">
            <w:pPr>
              <w:spacing w:after="400" w:line="400" w:lineRule="exact"/>
              <w:jc w:val="left"/>
            </w:pPr>
            <w:r>
              <w:t>¥20,000</w:t>
            </w:r>
          </w:p>
        </w:tc>
        <w:tc>
          <w:tcPr>
            <w:tcW w:w="1659" w:type="dxa"/>
          </w:tcPr>
          <w:p w14:paraId="1F9C2DC2">
            <w:pPr>
              <w:spacing w:after="400" w:line="400" w:lineRule="exact"/>
              <w:jc w:val="left"/>
            </w:pPr>
            <w:r>
              <w:t>¥18,000</w:t>
            </w:r>
          </w:p>
        </w:tc>
        <w:tc>
          <w:tcPr>
            <w:tcW w:w="1659" w:type="dxa"/>
          </w:tcPr>
          <w:p w14:paraId="1E83A9F8">
            <w:pPr>
              <w:spacing w:after="400" w:line="400" w:lineRule="exact"/>
              <w:jc w:val="left"/>
            </w:pPr>
            <w:r>
              <w:t>¥15,000</w:t>
            </w:r>
          </w:p>
        </w:tc>
        <w:tc>
          <w:tcPr>
            <w:tcW w:w="1659" w:type="dxa"/>
          </w:tcPr>
          <w:p w14:paraId="09BBB2CF">
            <w:pPr>
              <w:spacing w:after="400" w:line="400" w:lineRule="exact"/>
              <w:jc w:val="left"/>
            </w:pPr>
            <w:r>
              <w:t>-16.7%</w:t>
            </w:r>
          </w:p>
        </w:tc>
      </w:tr>
      <w:tr w14:paraId="5058A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90B41C9">
            <w:pPr>
              <w:spacing w:after="400" w:line="400" w:lineRule="exact"/>
              <w:jc w:val="left"/>
            </w:pPr>
            <w:r>
              <w:rPr>
                <w:b/>
              </w:rPr>
              <w:t>Utilities</w:t>
            </w:r>
          </w:p>
        </w:tc>
        <w:tc>
          <w:tcPr>
            <w:tcW w:w="1659" w:type="dxa"/>
          </w:tcPr>
          <w:p w14:paraId="79BE27BF">
            <w:pPr>
              <w:spacing w:after="400" w:line="400" w:lineRule="exact"/>
              <w:jc w:val="left"/>
            </w:pPr>
            <w:r>
              <w:t>¥19,000</w:t>
            </w:r>
          </w:p>
        </w:tc>
        <w:tc>
          <w:tcPr>
            <w:tcW w:w="1659" w:type="dxa"/>
          </w:tcPr>
          <w:p w14:paraId="39E3742B">
            <w:pPr>
              <w:spacing w:after="400" w:line="400" w:lineRule="exact"/>
              <w:jc w:val="left"/>
            </w:pPr>
            <w:r>
              <w:t>¥20,000</w:t>
            </w:r>
          </w:p>
        </w:tc>
        <w:tc>
          <w:tcPr>
            <w:tcW w:w="1659" w:type="dxa"/>
          </w:tcPr>
          <w:p w14:paraId="6F95662D">
            <w:pPr>
              <w:spacing w:after="400" w:line="400" w:lineRule="exact"/>
              <w:jc w:val="left"/>
            </w:pPr>
            <w:r>
              <w:t>¥22,000</w:t>
            </w:r>
          </w:p>
        </w:tc>
        <w:tc>
          <w:tcPr>
            <w:tcW w:w="1659" w:type="dxa"/>
          </w:tcPr>
          <w:p w14:paraId="7E0ADD6F">
            <w:pPr>
              <w:spacing w:after="400" w:line="400" w:lineRule="exact"/>
              <w:jc w:val="left"/>
            </w:pPr>
            <w:r>
              <w:t>+10.0%</w:t>
            </w:r>
          </w:p>
        </w:tc>
      </w:tr>
      <w:tr w14:paraId="403D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E8394BB">
            <w:pPr>
              <w:spacing w:after="400" w:line="400" w:lineRule="exact"/>
              <w:jc w:val="left"/>
            </w:pPr>
            <w:r>
              <w:rPr>
                <w:b/>
              </w:rPr>
              <w:t>Medical &amp; Care Services</w:t>
            </w:r>
          </w:p>
        </w:tc>
        <w:tc>
          <w:tcPr>
            <w:tcW w:w="1659" w:type="dxa"/>
          </w:tcPr>
          <w:p w14:paraId="0728A3E4">
            <w:pPr>
              <w:spacing w:after="400" w:line="400" w:lineRule="exact"/>
              <w:jc w:val="left"/>
            </w:pPr>
            <w:r>
              <w:t>¥12,000</w:t>
            </w:r>
          </w:p>
        </w:tc>
        <w:tc>
          <w:tcPr>
            <w:tcW w:w="1659" w:type="dxa"/>
          </w:tcPr>
          <w:p w14:paraId="385231E6">
            <w:pPr>
              <w:spacing w:after="400" w:line="400" w:lineRule="exact"/>
              <w:jc w:val="left"/>
            </w:pPr>
            <w:r>
              <w:t>¥25,000</w:t>
            </w:r>
          </w:p>
        </w:tc>
        <w:tc>
          <w:tcPr>
            <w:tcW w:w="1659" w:type="dxa"/>
          </w:tcPr>
          <w:p w14:paraId="440C733D">
            <w:pPr>
              <w:spacing w:after="400" w:line="400" w:lineRule="exact"/>
              <w:jc w:val="left"/>
            </w:pPr>
            <w:r>
              <w:t>¥60,000</w:t>
            </w:r>
          </w:p>
        </w:tc>
        <w:tc>
          <w:tcPr>
            <w:tcW w:w="1659" w:type="dxa"/>
          </w:tcPr>
          <w:p w14:paraId="09D7EA2A">
            <w:pPr>
              <w:spacing w:after="400" w:line="400" w:lineRule="exact"/>
              <w:jc w:val="left"/>
            </w:pPr>
            <w:r>
              <w:rPr>
                <w:b/>
              </w:rPr>
              <w:t>+140.0%</w:t>
            </w:r>
          </w:p>
        </w:tc>
      </w:tr>
      <w:tr w14:paraId="78085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ED473C2">
            <w:pPr>
              <w:spacing w:after="400" w:line="400" w:lineRule="exact"/>
              <w:jc w:val="left"/>
            </w:pPr>
            <w:r>
              <w:rPr>
                <w:b/>
              </w:rPr>
              <w:t>Transportation &amp; Communication</w:t>
            </w:r>
          </w:p>
        </w:tc>
        <w:tc>
          <w:tcPr>
            <w:tcW w:w="1659" w:type="dxa"/>
          </w:tcPr>
          <w:p w14:paraId="2D17F4B1">
            <w:pPr>
              <w:spacing w:after="400" w:line="400" w:lineRule="exact"/>
              <w:jc w:val="left"/>
            </w:pPr>
            <w:r>
              <w:t>¥30,000</w:t>
            </w:r>
          </w:p>
        </w:tc>
        <w:tc>
          <w:tcPr>
            <w:tcW w:w="1659" w:type="dxa"/>
          </w:tcPr>
          <w:p w14:paraId="16A0C4FA">
            <w:pPr>
              <w:spacing w:after="400" w:line="400" w:lineRule="exact"/>
              <w:jc w:val="left"/>
            </w:pPr>
            <w:r>
              <w:t>¥28,000</w:t>
            </w:r>
          </w:p>
        </w:tc>
        <w:tc>
          <w:tcPr>
            <w:tcW w:w="1659" w:type="dxa"/>
          </w:tcPr>
          <w:p w14:paraId="38223B0D">
            <w:pPr>
              <w:spacing w:after="400" w:line="400" w:lineRule="exact"/>
              <w:jc w:val="left"/>
            </w:pPr>
            <w:r>
              <w:t>¥10,000</w:t>
            </w:r>
          </w:p>
        </w:tc>
        <w:tc>
          <w:tcPr>
            <w:tcW w:w="1659" w:type="dxa"/>
          </w:tcPr>
          <w:p w14:paraId="0DB6D8C2">
            <w:pPr>
              <w:spacing w:after="400" w:line="400" w:lineRule="exact"/>
              <w:jc w:val="left"/>
            </w:pPr>
            <w:r>
              <w:t>-64.3%</w:t>
            </w:r>
          </w:p>
        </w:tc>
      </w:tr>
      <w:tr w14:paraId="77F3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67A16BE">
            <w:pPr>
              <w:spacing w:after="400" w:line="400" w:lineRule="exact"/>
              <w:jc w:val="left"/>
            </w:pPr>
            <w:r>
              <w:rPr>
                <w:b/>
              </w:rPr>
              <w:t>Culture &amp; Recreation</w:t>
            </w:r>
          </w:p>
        </w:tc>
        <w:tc>
          <w:tcPr>
            <w:tcW w:w="1659" w:type="dxa"/>
          </w:tcPr>
          <w:p w14:paraId="7AB9128C">
            <w:pPr>
              <w:spacing w:after="400" w:line="400" w:lineRule="exact"/>
              <w:jc w:val="left"/>
            </w:pPr>
            <w:r>
              <w:t>¥25,000</w:t>
            </w:r>
          </w:p>
        </w:tc>
        <w:tc>
          <w:tcPr>
            <w:tcW w:w="1659" w:type="dxa"/>
          </w:tcPr>
          <w:p w14:paraId="59180288">
            <w:pPr>
              <w:spacing w:after="400" w:line="400" w:lineRule="exact"/>
              <w:jc w:val="left"/>
            </w:pPr>
            <w:r>
              <w:t>¥35,000</w:t>
            </w:r>
          </w:p>
        </w:tc>
        <w:tc>
          <w:tcPr>
            <w:tcW w:w="1659" w:type="dxa"/>
          </w:tcPr>
          <w:p w14:paraId="00AB7240">
            <w:pPr>
              <w:spacing w:after="400" w:line="400" w:lineRule="exact"/>
              <w:jc w:val="left"/>
            </w:pPr>
            <w:r>
              <w:t>¥8,000</w:t>
            </w:r>
          </w:p>
        </w:tc>
        <w:tc>
          <w:tcPr>
            <w:tcW w:w="1659" w:type="dxa"/>
          </w:tcPr>
          <w:p w14:paraId="08736448">
            <w:pPr>
              <w:spacing w:after="400" w:line="400" w:lineRule="exact"/>
              <w:jc w:val="left"/>
            </w:pPr>
            <w:r>
              <w:t>-77.1%</w:t>
            </w:r>
          </w:p>
        </w:tc>
      </w:tr>
      <w:tr w14:paraId="6AF70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9DE6B02">
            <w:pPr>
              <w:spacing w:after="400" w:line="400" w:lineRule="exact"/>
              <w:jc w:val="left"/>
            </w:pPr>
            <w:r>
              <w:rPr>
                <w:b/>
              </w:rPr>
              <w:t>Clothing &amp; Footwear</w:t>
            </w:r>
          </w:p>
        </w:tc>
        <w:tc>
          <w:tcPr>
            <w:tcW w:w="1659" w:type="dxa"/>
          </w:tcPr>
          <w:p w14:paraId="194E95BA">
            <w:pPr>
              <w:spacing w:after="400" w:line="400" w:lineRule="exact"/>
              <w:jc w:val="left"/>
            </w:pPr>
            <w:r>
              <w:t>¥10,000</w:t>
            </w:r>
          </w:p>
        </w:tc>
        <w:tc>
          <w:tcPr>
            <w:tcW w:w="1659" w:type="dxa"/>
          </w:tcPr>
          <w:p w14:paraId="55CFDF37">
            <w:pPr>
              <w:spacing w:after="400" w:line="400" w:lineRule="exact"/>
              <w:jc w:val="left"/>
            </w:pPr>
            <w:r>
              <w:t>¥12,000</w:t>
            </w:r>
          </w:p>
        </w:tc>
        <w:tc>
          <w:tcPr>
            <w:tcW w:w="1659" w:type="dxa"/>
          </w:tcPr>
          <w:p w14:paraId="1886FEC6">
            <w:pPr>
              <w:spacing w:after="400" w:line="400" w:lineRule="exact"/>
              <w:jc w:val="left"/>
            </w:pPr>
            <w:r>
              <w:t>¥5,000</w:t>
            </w:r>
          </w:p>
        </w:tc>
        <w:tc>
          <w:tcPr>
            <w:tcW w:w="1659" w:type="dxa"/>
          </w:tcPr>
          <w:p w14:paraId="48C97893">
            <w:pPr>
              <w:spacing w:after="400" w:line="400" w:lineRule="exact"/>
              <w:jc w:val="left"/>
            </w:pPr>
            <w:r>
              <w:t>-58.3%</w:t>
            </w:r>
          </w:p>
        </w:tc>
      </w:tr>
      <w:tr w14:paraId="637F7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AECBFA5">
            <w:pPr>
              <w:spacing w:after="400" w:line="400" w:lineRule="exact"/>
              <w:jc w:val="left"/>
            </w:pPr>
            <w:r>
              <w:rPr>
                <w:b/>
              </w:rPr>
              <w:t>Other Consumption</w:t>
            </w:r>
            <w:r>
              <w:t xml:space="preserve"> (Social, etc.)</w:t>
            </w:r>
          </w:p>
        </w:tc>
        <w:tc>
          <w:tcPr>
            <w:tcW w:w="1659" w:type="dxa"/>
          </w:tcPr>
          <w:p w14:paraId="097F6248">
            <w:pPr>
              <w:spacing w:after="400" w:line="400" w:lineRule="exact"/>
              <w:jc w:val="left"/>
            </w:pPr>
            <w:r>
              <w:t>¥50,000</w:t>
            </w:r>
          </w:p>
        </w:tc>
        <w:tc>
          <w:tcPr>
            <w:tcW w:w="1659" w:type="dxa"/>
          </w:tcPr>
          <w:p w14:paraId="10A16DE5">
            <w:pPr>
              <w:spacing w:after="400" w:line="400" w:lineRule="exact"/>
              <w:jc w:val="left"/>
            </w:pPr>
            <w:r>
              <w:t>¥52,000</w:t>
            </w:r>
          </w:p>
        </w:tc>
        <w:tc>
          <w:tcPr>
            <w:tcW w:w="1659" w:type="dxa"/>
          </w:tcPr>
          <w:p w14:paraId="60C4A29A">
            <w:pPr>
              <w:spacing w:after="400" w:line="400" w:lineRule="exact"/>
              <w:jc w:val="left"/>
            </w:pPr>
            <w:r>
              <w:t>¥35,000</w:t>
            </w:r>
          </w:p>
        </w:tc>
        <w:tc>
          <w:tcPr>
            <w:tcW w:w="1659" w:type="dxa"/>
          </w:tcPr>
          <w:p w14:paraId="683F6EE9">
            <w:pPr>
              <w:spacing w:after="400" w:line="400" w:lineRule="exact"/>
              <w:jc w:val="left"/>
            </w:pPr>
            <w:r>
              <w:t>-32.7%</w:t>
            </w:r>
          </w:p>
        </w:tc>
      </w:tr>
      <w:tr w14:paraId="293A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DDB75F9">
            <w:pPr>
              <w:spacing w:after="400" w:line="400" w:lineRule="exact"/>
              <w:jc w:val="left"/>
            </w:pPr>
            <w:r>
              <w:rPr>
                <w:b/>
              </w:rPr>
              <w:t>TOTAL MONTHLY EXPENDITURE</w:t>
            </w:r>
          </w:p>
        </w:tc>
        <w:tc>
          <w:tcPr>
            <w:tcW w:w="1659" w:type="dxa"/>
          </w:tcPr>
          <w:p w14:paraId="2A3EAC92">
            <w:pPr>
              <w:spacing w:after="400" w:line="400" w:lineRule="exact"/>
              <w:jc w:val="left"/>
            </w:pPr>
            <w:r>
              <w:rPr>
                <w:b/>
              </w:rPr>
              <w:t>¥231,000</w:t>
            </w:r>
          </w:p>
        </w:tc>
        <w:tc>
          <w:tcPr>
            <w:tcW w:w="1659" w:type="dxa"/>
          </w:tcPr>
          <w:p w14:paraId="7EFEA00E">
            <w:pPr>
              <w:spacing w:after="400" w:line="400" w:lineRule="exact"/>
              <w:jc w:val="left"/>
            </w:pPr>
            <w:r>
              <w:rPr>
                <w:b/>
              </w:rPr>
              <w:t>¥260,000</w:t>
            </w:r>
          </w:p>
        </w:tc>
        <w:tc>
          <w:tcPr>
            <w:tcW w:w="1659" w:type="dxa"/>
          </w:tcPr>
          <w:p w14:paraId="5C42190B">
            <w:pPr>
              <w:spacing w:after="400" w:line="400" w:lineRule="exact"/>
              <w:jc w:val="left"/>
            </w:pPr>
            <w:r>
              <w:rPr>
                <w:b/>
              </w:rPr>
              <w:t>¥230,000</w:t>
            </w:r>
          </w:p>
        </w:tc>
        <w:tc>
          <w:tcPr>
            <w:tcW w:w="1659" w:type="dxa"/>
          </w:tcPr>
          <w:p w14:paraId="05260A75">
            <w:pPr>
              <w:spacing w:after="400" w:line="400" w:lineRule="exact"/>
              <w:jc w:val="left"/>
            </w:pPr>
            <w:r>
              <w:rPr>
                <w:b/>
              </w:rPr>
              <w:t>-11.5%</w:t>
            </w:r>
          </w:p>
        </w:tc>
      </w:tr>
    </w:tbl>
    <w:p w14:paraId="29D8239F">
      <w:pPr>
        <w:spacing w:before="400" w:after="400" w:line="400" w:lineRule="atLeast"/>
      </w:pPr>
      <w:r>
        <w:rPr>
          <w:i/>
        </w:rPr>
        <w:t>Source: Author's stylized representation based on trends identified in the Family Income and Expenditure Survey (FIES) data [</w:t>
      </w:r>
      <w:r>
        <w:t>[58]</w:t>
      </w:r>
      <w:r>
        <w:rPr>
          <w:i/>
        </w:rPr>
        <w:t>][</w:t>
      </w:r>
      <w:r>
        <w:t>[59]</w:t>
      </w:r>
      <w:r>
        <w:rPr>
          <w:i/>
        </w:rPr>
        <w:t>][</w:t>
      </w:r>
      <w:r>
        <w:t>[60]</w:t>
      </w:r>
      <w:r>
        <w:rPr>
          <w:i/>
        </w:rPr>
        <w:t>]. Figures are illustrative and intended to show proportional shifts rather than precise survey values.</w:t>
      </w:r>
    </w:p>
    <w:p w14:paraId="093C8F1E">
      <w:pPr>
        <w:spacing w:after="400" w:line="400" w:lineRule="atLeast"/>
      </w:pPr>
      <w:r>
        <w:t>This table powerfully illustrates the pivot from discretionary to non-discretionary spending as individuals advance into deeper old age. The explosive growth in the "Medical &amp; Care Services" category for the 85+ cohort is the most salient feature.</w:t>
      </w:r>
    </w:p>
    <w:p w14:paraId="3CFB54CB">
      <w:pPr>
        <w:spacing w:after="400" w:line="400" w:lineRule="atLeast"/>
      </w:pPr>
      <w:r>
        <w:rPr>
          <w:b/>
          <w:sz w:val="26"/>
        </w:rPr>
        <w:t>C. Consumption Elasticity Analysis</w:t>
      </w:r>
    </w:p>
    <w:p w14:paraId="405D8ED7">
      <w:pPr>
        <w:spacing w:after="400" w:line="400" w:lineRule="atLeast"/>
      </w:pPr>
      <w:r>
        <w:rPr>
          <w:b/>
        </w:rPr>
        <w:t>1. Conceptual Framework: Income and Price Elasticity of Demand</w:t>
      </w:r>
    </w:p>
    <w:p w14:paraId="796D4601">
      <w:pPr>
        <w:spacing w:after="400" w:line="400" w:lineRule="atLeast"/>
      </w:pPr>
      <w:r>
        <w:rPr>
          <w:b/>
        </w:rPr>
        <w:t>Income elasticity of demand</w:t>
      </w:r>
      <w:r>
        <w:t xml:space="preserve"> measures how the quantity demanded of a good responds to a change in consumer income. Goods with high income elasticity (greater than 1) are considered "luxury" or "discretionary" items, while those with low income elasticity (less than 1) are "necessities." </w:t>
      </w:r>
      <w:r>
        <w:rPr>
          <w:b/>
        </w:rPr>
        <w:t>Price elasticity</w:t>
      </w:r>
      <w:r>
        <w:t xml:space="preserve"> measures responsiveness to price changes. Understanding these concepts is crucial for businesses to forecast demand and set pricing strategies for the elderly market.</w:t>
      </w:r>
    </w:p>
    <w:p w14:paraId="309B4063">
      <w:pPr>
        <w:spacing w:after="400" w:line="400" w:lineRule="atLeast"/>
      </w:pPr>
      <w:r>
        <w:rPr>
          <w:b/>
        </w:rPr>
        <w:t>2. Inferred Elasticity for Key Sectors (Healthcare vs. Non-Essentials)</w:t>
      </w:r>
    </w:p>
    <w:p w14:paraId="0123095C">
      <w:pPr>
        <w:spacing w:after="400" w:line="400" w:lineRule="atLeast"/>
      </w:pPr>
      <w:r>
        <w:t>While detailed microdata studies on elasticity for Japanese seniors are scarce, general economic principles and the expenditure patterns observed in household surveys allow for robust inferences.</w:t>
      </w:r>
    </w:p>
    <w:p w14:paraId="4C2004FF">
      <w:pPr>
        <w:numPr>
          <w:ilvl w:val="-1"/>
          <w:numId w:val="2"/>
        </w:numPr>
        <w:spacing w:after="400" w:line="400" w:lineRule="atLeast"/>
      </w:pPr>
      <w:r>
        <w:rPr>
          <w:b/>
        </w:rPr>
        <w:t>Healthcare Services:</w:t>
      </w:r>
      <w:r>
        <w:t xml:space="preserve"> The demand for most healthcare and long-term care services among the elderly is highly </w:t>
      </w:r>
      <w:r>
        <w:rPr>
          <w:b/>
        </w:rPr>
        <w:t>income inelastic</w:t>
      </w:r>
      <w:r>
        <w:t xml:space="preserve"> and </w:t>
      </w:r>
      <w:r>
        <w:rPr>
          <w:b/>
        </w:rPr>
        <w:t>price inelastic</w:t>
      </w:r>
      <w:r>
        <w:t>. This is because such services are necessities, often critical for maintaining life or quality of life. Demand is driven by need, not by income fluctuations or price changes (especially given Japan's comprehensive public health insurance). Research confirms that healthcare utilization among the elderly is not highly sensitive to copayment rates [[61]].</w:t>
      </w:r>
    </w:p>
    <w:p w14:paraId="073788D7">
      <w:pPr>
        <w:numPr>
          <w:ilvl w:val="-1"/>
          <w:numId w:val="2"/>
        </w:numPr>
        <w:spacing w:after="400" w:line="400" w:lineRule="atLeast"/>
      </w:pPr>
      <w:r>
        <w:rPr>
          <w:b/>
        </w:rPr>
        <w:t>Non-Essential Goods &amp; Services:</w:t>
      </w:r>
      <w:r>
        <w:t xml:space="preserve"> In contrast, demand for categories like leisure travel, high-end dining, cultural activities, and durable goods is significantly more </w:t>
      </w:r>
      <w:r>
        <w:rPr>
          <w:b/>
        </w:rPr>
        <w:t>income elastic</w:t>
      </w:r>
      <w:r>
        <w:t xml:space="preserve"> and </w:t>
      </w:r>
      <w:r>
        <w:rPr>
          <w:b/>
        </w:rPr>
        <w:t>price elastic</w:t>
      </w:r>
      <w:r>
        <w:t>. During economic downturns or if a household experiences a negative income shock (e.g., due to a health event), these are the first areas where spending is curtailed [[62]].</w:t>
      </w:r>
    </w:p>
    <w:p w14:paraId="65F8E56E">
      <w:pPr>
        <w:spacing w:after="400" w:line="400" w:lineRule="atLeast"/>
      </w:pPr>
      <w:r>
        <w:rPr>
          <w:b/>
        </w:rPr>
        <w:t>3. Methodological Challenges in Empirical Estimation</w:t>
      </w:r>
    </w:p>
    <w:p w14:paraId="1249E2CA">
      <w:pPr>
        <w:spacing w:after="400" w:line="400" w:lineRule="atLeast"/>
      </w:pPr>
      <w:r>
        <w:t>Empirically calculating precise elasticity coefficients for finely-grained age cohorts is challenging. It requires access to longitudinal microdata from household surveys, and controlling for a wide range of confounding variables (e.g., health status, household composition, geographic location). The lack of publicly available, granular studies in this specific area represents a knowledge gap and an opportunity for future academic research.</w:t>
      </w:r>
    </w:p>
    <w:p w14:paraId="583694C7">
      <w:pPr>
        <w:spacing w:after="400" w:line="400" w:lineRule="atLeast"/>
      </w:pPr>
      <w:r>
        <w:rPr>
          <w:b/>
          <w:sz w:val="30"/>
        </w:rPr>
        <w:t>V. Strategic Implications and National Policy Alignment</w:t>
      </w:r>
    </w:p>
    <w:p w14:paraId="25F08320">
      <w:pPr>
        <w:spacing w:after="400" w:line="400" w:lineRule="atLeast"/>
      </w:pPr>
      <w:r>
        <w:t>The demographic and economic realities detailed in this report are not merely market trends; they are defining features of Japan's 21st-century national identity and strategy. This final section evaluates the broader implications for stakeholders and aligns the growth of the Silver Economy with Japan's overarching national vision.</w:t>
      </w:r>
    </w:p>
    <w:p w14:paraId="520E801B">
      <w:pPr>
        <w:spacing w:after="400" w:line="400" w:lineRule="atLeast"/>
      </w:pPr>
      <w:r>
        <w:rPr>
          <w:b/>
          <w:sz w:val="26"/>
        </w:rPr>
        <w:t>A. Opportunities and Challenges for Stakeholders</w:t>
      </w:r>
    </w:p>
    <w:p w14:paraId="6E622194">
      <w:pPr>
        <w:spacing w:after="400" w:line="400" w:lineRule="atLeast"/>
      </w:pPr>
      <w:r>
        <w:t>A balanced, dialectical assessment is necessary to appreciate the full scope of Japan's super-aging phenomenon.</w:t>
      </w:r>
    </w:p>
    <w:p w14:paraId="36626D6E">
      <w:pPr>
        <w:spacing w:after="400" w:line="400" w:lineRule="atLeast"/>
      </w:pPr>
      <w:r>
        <w:rPr>
          <w:b/>
        </w:rPr>
        <w:t>1. Potential Advantages: Innovation, New Market Creation, "Longevity Dividend" Realization</w:t>
      </w:r>
    </w:p>
    <w:p w14:paraId="02CFE6A1">
      <w:pPr>
        <w:numPr>
          <w:ilvl w:val="-1"/>
          <w:numId w:val="2"/>
        </w:numPr>
        <w:spacing w:after="400" w:line="400" w:lineRule="atLeast"/>
      </w:pPr>
      <w:r>
        <w:rPr>
          <w:b/>
        </w:rPr>
        <w:t>Innovation Catalyst:</w:t>
      </w:r>
      <w:r>
        <w:t xml:space="preserve"> The pressing need to care for millions of elderly citizens with a shrinking workforce acts as a powerful catalyst for innovation. Japan is becoming a global laboratory for gerontechnology, with advancements in robotics and AI having applications far beyond its borders [[63]].</w:t>
      </w:r>
    </w:p>
    <w:p w14:paraId="701E6CC9">
      <w:pPr>
        <w:numPr>
          <w:ilvl w:val="-1"/>
          <w:numId w:val="2"/>
        </w:numPr>
        <w:spacing w:after="400" w:line="400" w:lineRule="atLeast"/>
      </w:pPr>
      <w:r>
        <w:rPr>
          <w:b/>
        </w:rPr>
        <w:t>New Market Creation:</w:t>
      </w:r>
      <w:r>
        <w:t xml:space="preserve"> The Silver Economy is creating entirely new markets and business models, from senior-focused fitness centers and specialized financial products to "aging in place" home renovation services and curated travel experiences [[64]].</w:t>
      </w:r>
    </w:p>
    <w:p w14:paraId="64416C30">
      <w:pPr>
        <w:numPr>
          <w:ilvl w:val="-1"/>
          <w:numId w:val="2"/>
        </w:numPr>
        <w:spacing w:after="400" w:line="400" w:lineRule="atLeast"/>
      </w:pPr>
      <w:r>
        <w:rPr>
          <w:b/>
        </w:rPr>
        <w:t>"Longevity Dividend" Realization:</w:t>
      </w:r>
      <w:r>
        <w:t xml:space="preserve"> By focusing on preventative health and wellness, Japan has the potential to realize a true longevity dividend. A healthier, more active elderly population can contribute to society through continued work, volunteering, and robust consumption, turning a perceived demographic burden into a source of stable domestic demand and social capital [[65]].</w:t>
      </w:r>
    </w:p>
    <w:p w14:paraId="376AD0B5">
      <w:pPr>
        <w:spacing w:after="400" w:line="400" w:lineRule="atLeast"/>
      </w:pPr>
      <w:r>
        <w:rPr>
          <w:b/>
        </w:rPr>
        <w:t>2. Inherent Limitations/Constraints: Fiscal Pressures, Labor Shortages, Ethical Dilemmas</w:t>
      </w:r>
    </w:p>
    <w:p w14:paraId="7980AEDF">
      <w:pPr>
        <w:numPr>
          <w:ilvl w:val="-1"/>
          <w:numId w:val="2"/>
        </w:numPr>
        <w:spacing w:after="400" w:line="400" w:lineRule="atLeast"/>
      </w:pPr>
      <w:r>
        <w:rPr>
          <w:b/>
        </w:rPr>
        <w:t>Fiscal Pressures:</w:t>
      </w:r>
      <w:r>
        <w:t xml:space="preserve"> The rising costs of pensions, healthcare, and long-term care place immense and growing pressure on public finances. The shrinking tax base from the working-age population exacerbates this challenge, creating a structural fiscal deficit that requires ongoing and often politically difficult reforms.</w:t>
      </w:r>
    </w:p>
    <w:p w14:paraId="284F126A">
      <w:pPr>
        <w:numPr>
          <w:ilvl w:val="-1"/>
          <w:numId w:val="2"/>
        </w:numPr>
        <w:spacing w:after="400" w:line="400" w:lineRule="atLeast"/>
      </w:pPr>
      <w:r>
        <w:rPr>
          <w:b/>
        </w:rPr>
        <w:t>Pervasive Labor Shortages:</w:t>
      </w:r>
      <w:r>
        <w:t xml:space="preserve"> The most acute constraint on the Silver Economy, particularly in high-touch sectors like nursing and home care, is the severe shortage of labor. This shortage drives up wages, threatens the quality of care, and makes the adoption of labor-saving technology an absolute necessity rather than a choice [[66]].</w:t>
      </w:r>
    </w:p>
    <w:p w14:paraId="0BA3EA43">
      <w:pPr>
        <w:numPr>
          <w:ilvl w:val="-1"/>
          <w:numId w:val="2"/>
        </w:numPr>
        <w:spacing w:after="400" w:line="400" w:lineRule="atLeast"/>
      </w:pPr>
      <w:r>
        <w:rPr>
          <w:b/>
        </w:rPr>
        <w:t>Ethical Dilemmas:</w:t>
      </w:r>
      <w:r>
        <w:t xml:space="preserve"> The increasing use of technology in care raises complex ethical questions. Issues of data privacy with monitoring systems, the potential for social isolation if robots replace human contact, and ensuring equitable access to expensive technologies are challenges that society and policymakers must navigate carefully [[67]].</w:t>
      </w:r>
    </w:p>
    <w:p w14:paraId="3F77F97D">
      <w:pPr>
        <w:spacing w:after="400" w:line="400" w:lineRule="atLeast"/>
      </w:pPr>
      <w:r>
        <w:rPr>
          <w:b/>
          <w:sz w:val="26"/>
        </w:rPr>
        <w:t>B. Alignment with National and Global Strategic Frameworks</w:t>
      </w:r>
    </w:p>
    <w:p w14:paraId="3998D0A1">
      <w:pPr>
        <w:spacing w:after="400" w:line="400" w:lineRule="atLeast"/>
      </w:pPr>
      <w:r>
        <w:t>The development of the Silver Economy is not occurring in a policy vacuum. It is deeply integrated with Japan's most ambitious national and international commitments.</w:t>
      </w:r>
    </w:p>
    <w:p w14:paraId="0FFD0956">
      <w:pPr>
        <w:spacing w:after="400" w:line="400" w:lineRule="atLeast"/>
      </w:pPr>
      <w:r>
        <w:rPr>
          <w:b/>
        </w:rPr>
        <w:t>1. Integration with Japan's "Society 5.0" Vision</w:t>
      </w:r>
    </w:p>
    <w:p w14:paraId="3119FEA3">
      <w:pPr>
        <w:spacing w:after="400" w:line="400" w:lineRule="atLeast"/>
      </w:pPr>
      <w:r>
        <w:t>"Society 5.0" is the Japanese government's flagship vision for the future, representing a fifth stage of societal development after the hunter-gatherer, agrarian, industrial, and information societies. Its core aim is to create a "super-smart society" that leverages AI, IoT, and big data to solve social challenges and enhance human life. The Silver Economy is a central pillar of this vision.</w:t>
      </w:r>
    </w:p>
    <w:p w14:paraId="51C04D48">
      <w:pPr>
        <w:numPr>
          <w:ilvl w:val="-1"/>
          <w:numId w:val="2"/>
        </w:numPr>
        <w:spacing w:after="400" w:line="400" w:lineRule="atLeast"/>
      </w:pPr>
      <w:r>
        <w:rPr>
          <w:b/>
        </w:rPr>
        <w:t>AI and IoT for Healthcare:</w:t>
      </w:r>
      <w:r>
        <w:t xml:space="preserve"> Society 5.0 envisions a future where AI analyzes real-time health data from wearables to provide personalized, preventative healthcare advice, and where remote monitoring allows elderly individuals to live independently for longer.</w:t>
      </w:r>
    </w:p>
    <w:p w14:paraId="49083E19">
      <w:pPr>
        <w:numPr>
          <w:ilvl w:val="-1"/>
          <w:numId w:val="2"/>
        </w:numPr>
        <w:spacing w:after="400" w:line="400" w:lineRule="atLeast"/>
      </w:pPr>
      <w:r>
        <w:rPr>
          <w:b/>
        </w:rPr>
        <w:t>Robotics for Care and Mobility:</w:t>
      </w:r>
      <w:r>
        <w:t xml:space="preserve"> The vision includes the widespread deployment of care robots in homes and facilities to assist with physical tasks, alleviating the burden on human caregivers. It also includes autonomous mobility solutions to ensure the elderly can remain active in their communities.</w:t>
      </w:r>
    </w:p>
    <w:p w14:paraId="0596F243">
      <w:pPr>
        <w:numPr>
          <w:ilvl w:val="-1"/>
          <w:numId w:val="2"/>
        </w:numPr>
        <w:spacing w:after="400" w:line="400" w:lineRule="atLeast"/>
      </w:pPr>
      <w:r>
        <w:t>By tackling the challenges of aging through technology, the Silver Economy becomes the primary testing ground and implementation arena for the Society 5.0 concept.</w:t>
      </w:r>
    </w:p>
    <w:p w14:paraId="1DE590A1">
      <w:pPr>
        <w:spacing w:after="400" w:line="400" w:lineRule="atLeast"/>
      </w:pPr>
      <w:r>
        <w:rPr>
          <w:b/>
        </w:rPr>
        <w:t>2. Contribution to Sustainable Aging and the UN Sustainable Development Goals (SDGs)</w:t>
      </w:r>
    </w:p>
    <w:p w14:paraId="4EEB767C">
      <w:pPr>
        <w:spacing w:after="400" w:line="400" w:lineRule="atLeast"/>
      </w:pPr>
      <w:r>
        <w:t>A well-managed Silver Economy can contribute directly to several of the United Nations' 17 Sustainable Development Goals.</w:t>
      </w:r>
    </w:p>
    <w:p w14:paraId="5D9D8393">
      <w:pPr>
        <w:numPr>
          <w:ilvl w:val="-1"/>
          <w:numId w:val="2"/>
        </w:numPr>
        <w:spacing w:after="400" w:line="400" w:lineRule="atLeast"/>
      </w:pPr>
      <w:r>
        <w:rPr>
          <w:b/>
        </w:rPr>
        <w:t>SDG 3 (Good Health and Well-being):</w:t>
      </w:r>
      <w:r>
        <w:t xml:space="preserve"> Investments in preventative health, accessible long-term care, and mental health support (e.g., companionship robots) directly advance this goal.</w:t>
      </w:r>
    </w:p>
    <w:p w14:paraId="16490FAF">
      <w:pPr>
        <w:numPr>
          <w:ilvl w:val="-1"/>
          <w:numId w:val="2"/>
        </w:numPr>
        <w:spacing w:after="400" w:line="400" w:lineRule="atLeast"/>
      </w:pPr>
      <w:r>
        <w:rPr>
          <w:b/>
        </w:rPr>
        <w:t>SDG 8 (Decent Work and Economic Growth):</w:t>
      </w:r>
      <w:r>
        <w:t xml:space="preserve"> The Silver Economy is a major source of new jobs and economic growth. Furthermore, policies that enable flexible, later-life employment contribute to this goal.</w:t>
      </w:r>
    </w:p>
    <w:p w14:paraId="31085A05">
      <w:pPr>
        <w:numPr>
          <w:ilvl w:val="-1"/>
          <w:numId w:val="2"/>
        </w:numPr>
        <w:spacing w:after="400" w:line="400" w:lineRule="atLeast"/>
      </w:pPr>
      <w:r>
        <w:rPr>
          <w:b/>
        </w:rPr>
        <w:t>SDG 11 (Sustainable Cities and Communities):</w:t>
      </w:r>
      <w:r>
        <w:t xml:space="preserve"> The development of age-friendly housing, accessible public transportation, and community services that combat social isolation are critical components of making cities inclusive and sustainable for all ages.</w:t>
      </w:r>
    </w:p>
    <w:p w14:paraId="3BDE45F0">
      <w:pPr>
        <w:spacing w:after="400" w:line="400" w:lineRule="atLeast"/>
      </w:pPr>
      <w:r>
        <w:t>By framing the Silver Economy within these broader strategic contexts, it becomes clear that its successful development is not just a commercial opportunity but a national and global imperative.</w:t>
      </w:r>
    </w:p>
    <w:p w14:paraId="10F2E1AD">
      <w:pPr>
        <w:spacing w:after="400" w:line="400" w:lineRule="atLeast"/>
      </w:pPr>
      <w:r>
        <w:rPr>
          <w:b/>
          <w:sz w:val="30"/>
        </w:rPr>
        <w:t>VI. Conclusion and Forward-Looking Recommendations</w:t>
      </w:r>
    </w:p>
    <w:p w14:paraId="0B827E02">
      <w:pPr>
        <w:spacing w:after="400" w:line="400" w:lineRule="atLeast"/>
      </w:pPr>
      <w:r>
        <w:rPr>
          <w:b/>
          <w:sz w:val="26"/>
        </w:rPr>
        <w:t>A. Synthesis of Key Findings</w:t>
      </w:r>
    </w:p>
    <w:p w14:paraId="346433B2">
      <w:pPr>
        <w:spacing w:after="400" w:line="400" w:lineRule="atLeast"/>
      </w:pPr>
      <w:r>
        <w:t>This report has established that Japan's super-aging demographic structure has catalyzed the formation of a vast, complex, and dynamic Silver Economy, projected to be a cornerstone of the nation's economic landscape through 2050 and beyond. The analysis confirms a demographic trajectory defined by an increasing proportion of elderly citizens, with the most rapid growth occurring in the 85+ cohort—a trend that will profoundly shape market demand.</w:t>
      </w:r>
    </w:p>
    <w:p w14:paraId="32A0E4D8">
      <w:pPr>
        <w:spacing w:after="400" w:line="400" w:lineRule="atLeast"/>
      </w:pPr>
      <w:r>
        <w:t>Our sectoral analysis identifies a stark divergence in growth potential. The Gerontechnology sector, propelled by acute social need and robust government support, is positioned for exponential growth. Healthcare and wellness will remain the largest and most stable pillar of the Silver Economy. In parallel, the consumption behavior of elderly households is evolving, characterized by a preference for services and experiences and a decisive spending pivot towards health-related necessities in advanced old age. Strategically, the Silver Economy is not merely a reactive market but a proactive instrument for achieving Japan's "Society 5.0" vision and contributing to global sustainability goals.</w:t>
      </w:r>
    </w:p>
    <w:p w14:paraId="5B5422AD">
      <w:pPr>
        <w:spacing w:after="400" w:line="400" w:lineRule="atLeast"/>
      </w:pPr>
      <w:r>
        <w:rPr>
          <w:b/>
          <w:sz w:val="26"/>
        </w:rPr>
        <w:t>B. Strategic Recommendations for Industry and Government</w:t>
      </w:r>
    </w:p>
    <w:p w14:paraId="0F27985C">
      <w:pPr>
        <w:spacing w:after="400" w:line="400" w:lineRule="atLeast"/>
      </w:pPr>
      <w:r>
        <w:t>Based on the findings of this report, we propose the following strategic recommendations:</w:t>
      </w:r>
    </w:p>
    <w:p w14:paraId="70F0DC63">
      <w:pPr>
        <w:spacing w:after="400" w:line="400" w:lineRule="atLeast"/>
      </w:pPr>
      <w:r>
        <w:rPr>
          <w:b/>
        </w:rPr>
        <w:t>For Industry Stakeholders (Corporations and Investors):</w:t>
      </w:r>
    </w:p>
    <w:p w14:paraId="0215158E">
      <w:pPr>
        <w:numPr>
          <w:ilvl w:val="0"/>
          <w:numId w:val="3"/>
        </w:numPr>
        <w:spacing w:after="400" w:line="400" w:lineRule="atLeast"/>
      </w:pPr>
      <w:r>
        <w:rPr>
          <w:b/>
        </w:rPr>
        <w:t>Adopt a Granular, Cohort-Based Strategy:</w:t>
      </w:r>
      <w:r>
        <w:t xml:space="preserve"> Avoid treating the "elderly" as a monolithic market. Develop distinct products, services, and marketing strategies for the "young-old" (65-74) versus the "oldest-old" (85+), recognizing their vastly different needs, health statuses, and consumption priorities.</w:t>
      </w:r>
    </w:p>
    <w:p w14:paraId="369D6DC3">
      <w:pPr>
        <w:numPr>
          <w:ilvl w:val="0"/>
          <w:numId w:val="3"/>
        </w:numPr>
        <w:spacing w:after="400" w:line="400" w:lineRule="atLeast"/>
      </w:pPr>
      <w:r>
        <w:rPr>
          <w:b/>
        </w:rPr>
        <w:t>Prioritize Human-Centric Technology:</w:t>
      </w:r>
      <w:r>
        <w:t xml:space="preserve"> In the Age-Tech sector, success will not be determined by technological sophistication alone, but by user-centric design that is intuitive, reliable, and addresses genuine needs like safety, independence, and social connection. Co-creation with elderly users should be standard practice.</w:t>
      </w:r>
    </w:p>
    <w:p w14:paraId="018A388D">
      <w:pPr>
        <w:numPr>
          <w:ilvl w:val="0"/>
          <w:numId w:val="3"/>
        </w:numPr>
        <w:spacing w:after="400" w:line="400" w:lineRule="atLeast"/>
      </w:pPr>
      <w:r>
        <w:rPr>
          <w:b/>
        </w:rPr>
        <w:t>Invest in "Services-as-a-Product":</w:t>
      </w:r>
      <w:r>
        <w:t xml:space="preserve"> The future of the Silver Economy lies in integrated service models. This means moving beyond selling standalone devices (e.g., a monitoring sensor) to offering subscription-based services that combine technology with human support (e.g., a 24/7 monitoring and response service).</w:t>
      </w:r>
    </w:p>
    <w:p w14:paraId="004DCD21">
      <w:pPr>
        <w:numPr>
          <w:ilvl w:val="0"/>
          <w:numId w:val="3"/>
        </w:numPr>
        <w:spacing w:after="400" w:line="400" w:lineRule="atLeast"/>
      </w:pPr>
      <w:r>
        <w:rPr>
          <w:b/>
        </w:rPr>
        <w:t>Explore Public-Private Partnerships (PPPs):</w:t>
      </w:r>
      <w:r>
        <w:t xml:space="preserve"> Given the heavy government influence in sectors like healthcare, long-term care, and technology R&amp;D, companies should actively seek PPPs to align their offerings with public insurance schemes and national strategic objectives, thereby de-risking investment and scaling solutions more effectively.</w:t>
      </w:r>
    </w:p>
    <w:p w14:paraId="05E06A05">
      <w:pPr>
        <w:spacing w:after="400" w:line="400" w:lineRule="atLeast"/>
      </w:pPr>
      <w:r>
        <w:rPr>
          <w:b/>
        </w:rPr>
        <w:t>For Government and Policymakers:</w:t>
      </w:r>
    </w:p>
    <w:p w14:paraId="19A1EA3B">
      <w:pPr>
        <w:numPr>
          <w:ilvl w:val="0"/>
          <w:numId w:val="4"/>
        </w:numPr>
        <w:spacing w:after="400" w:line="400" w:lineRule="atLeast"/>
      </w:pPr>
      <w:r>
        <w:rPr>
          <w:b/>
        </w:rPr>
        <w:t>Redouble Efforts in Labor Market Reform:</w:t>
      </w:r>
      <w:r>
        <w:t xml:space="preserve"> The single greatest constraint to the Silver Economy is the labor shortage in care services. Policy must focus on a multi-pronged approach: raising wages and improving working conditions for caregivers, streamlining the immigration process for qualified care workers, and providing stronger incentives for the adoption of labor-saving technologies.</w:t>
      </w:r>
    </w:p>
    <w:p w14:paraId="55F33B79">
      <w:pPr>
        <w:numPr>
          <w:ilvl w:val="0"/>
          <w:numId w:val="4"/>
        </w:numPr>
        <w:spacing w:after="400" w:line="400" w:lineRule="atLeast"/>
      </w:pPr>
      <w:r>
        <w:rPr>
          <w:b/>
        </w:rPr>
        <w:t>Foster a Data-Driven Regulatory Environment:</w:t>
      </w:r>
      <w:r>
        <w:t xml:space="preserve"> To accelerate innovation in digital health and AI, regulators must create clear, agile frameworks for data sharing, privacy protection, and the approval of new technologies. A "regulatory sandbox" approach for promising gerontechnologies could be expanded.</w:t>
      </w:r>
    </w:p>
    <w:p w14:paraId="0EEF9325">
      <w:pPr>
        <w:numPr>
          <w:ilvl w:val="0"/>
          <w:numId w:val="4"/>
        </w:numPr>
        <w:spacing w:after="400" w:line="400" w:lineRule="atLeast"/>
      </w:pPr>
      <w:r>
        <w:rPr>
          <w:b/>
        </w:rPr>
        <w:t>Promote Financial Literacy and New Financial Products:</w:t>
      </w:r>
      <w:r>
        <w:t xml:space="preserve"> To unlock the vast pool of elderly savings, the government should partner with the financial industry to promote financial literacy and encourage the development of new products, such as reverse mortgages and specialized annuities, that allow seniors to safely convert their assets into consumption.</w:t>
      </w:r>
    </w:p>
    <w:p w14:paraId="39EDC6FA">
      <w:pPr>
        <w:numPr>
          <w:ilvl w:val="0"/>
          <w:numId w:val="4"/>
        </w:numPr>
        <w:spacing w:after="400" w:line="400" w:lineRule="atLeast"/>
      </w:pPr>
      <w:r>
        <w:rPr>
          <w:b/>
        </w:rPr>
        <w:t>Champion Age-Inclusive Urban Planning:</w:t>
      </w:r>
      <w:r>
        <w:t xml:space="preserve"> National and municipal governments must mandate and subsidize "universal design" principles in public infrastructure, transportation, and housing to create environments where seniors can remain active, mobile, and socially engaged.</w:t>
      </w:r>
    </w:p>
    <w:p w14:paraId="2F3DEF47">
      <w:pPr>
        <w:spacing w:after="400" w:line="400" w:lineRule="atLeast"/>
      </w:pPr>
      <w:r>
        <w:rPr>
          <w:b/>
          <w:sz w:val="26"/>
        </w:rPr>
        <w:t>C. Future Research Directions</w:t>
      </w:r>
    </w:p>
    <w:p w14:paraId="3BCC0017">
      <w:pPr>
        <w:spacing w:after="400" w:line="400" w:lineRule="atLeast"/>
      </w:pPr>
      <w:r>
        <w:t>While this report provides a comprehensive overview, the rapid evolution of the Silver Economy necessitates continuous research. Future studies should focus on:</w:t>
      </w:r>
    </w:p>
    <w:p w14:paraId="42835E10">
      <w:pPr>
        <w:numPr>
          <w:ilvl w:val="-1"/>
          <w:numId w:val="2"/>
        </w:numPr>
        <w:spacing w:after="400" w:line="400" w:lineRule="atLeast"/>
      </w:pPr>
      <w:r>
        <w:t>Conducting longitudinal studies on the adoption rates and real-world impact of gerontechnologies on the quality of life and healthcare costs.</w:t>
      </w:r>
    </w:p>
    <w:p w14:paraId="02F8D405">
      <w:pPr>
        <w:numPr>
          <w:ilvl w:val="-1"/>
          <w:numId w:val="2"/>
        </w:numPr>
        <w:spacing w:after="400" w:line="400" w:lineRule="atLeast"/>
      </w:pPr>
      <w:r>
        <w:t>Developing more sophisticated economic models to empirically measure the consumption elasticity of different elderly sub-cohorts.</w:t>
      </w:r>
    </w:p>
    <w:p w14:paraId="30384649">
      <w:pPr>
        <w:numPr>
          <w:ilvl w:val="-1"/>
          <w:numId w:val="2"/>
        </w:numPr>
        <w:spacing w:after="400" w:line="400" w:lineRule="atLeast"/>
      </w:pPr>
      <w:r>
        <w:t>Performing cross-cultural analyses to understand how the Japanese model of the Silver Economy can be adapted to other aging societies in Asia, Europe, and North America.</w:t>
      </w:r>
    </w:p>
    <w:p w14:paraId="056E47DB">
      <w:pPr>
        <w:spacing w:after="400" w:line="400" w:lineRule="atLeast"/>
      </w:pPr>
      <w:r>
        <w:t>Japan's journey as a super-aging society is a live experiment of global significance. The challenges are formidable, but the proactive and integrated approach to building a robust Silver Economy offers a potential roadmap for turning a demographic inevitability into an opportunity for economic vitality and social innovation.</w:t>
      </w:r>
    </w:p>
    <w:p w14:paraId="3408A30B">
      <w:pPr>
        <w:pStyle w:val="3"/>
        <w:spacing w:after="400" w:line="400" w:lineRule="atLeast"/>
      </w:pPr>
      <w:r>
        <w:t>文献来源</w:t>
      </w:r>
    </w:p>
    <w:p w14:paraId="74F9C822">
      <w:pPr>
        <w:spacing w:after="400" w:line="400" w:lineRule="atLeast"/>
      </w:pPr>
      <w:r>
        <w:rPr>
          <w:i/>
        </w:rPr>
        <w:t>以下来源未被直接引用</w:t>
      </w:r>
    </w:p>
    <w:p w14:paraId="28E249D0">
      <w:pPr>
        <w:spacing w:after="200" w:line="400" w:lineRule="atLeast"/>
      </w:pPr>
      <w:r>
        <w:fldChar w:fldCharType="begin"/>
      </w:r>
      <w:r>
        <w:instrText xml:space="preserve"> HYPERLINK "https://doi.org/10.1093/0199247757.001.0001" \h </w:instrText>
      </w:r>
      <w:r>
        <w:fldChar w:fldCharType="separate"/>
      </w:r>
      <w:r>
        <w:rPr>
          <w:rStyle w:val="13"/>
          <w:color w:val="0563C1"/>
        </w:rPr>
        <w:t>Varieties of Capitalism</w:t>
      </w:r>
      <w:r>
        <w:rPr>
          <w:rStyle w:val="13"/>
          <w:color w:val="0563C1"/>
        </w:rPr>
        <w:fldChar w:fldCharType="end"/>
      </w:r>
    </w:p>
    <w:p w14:paraId="3107407D">
      <w:pPr>
        <w:spacing w:after="200" w:line="400" w:lineRule="atLeast"/>
      </w:pPr>
      <w:r>
        <w:fldChar w:fldCharType="begin"/>
      </w:r>
      <w:r>
        <w:instrText xml:space="preserve"> HYPERLINK "https://doi.org/10.1093/GERONA/56.3.M146" \h </w:instrText>
      </w:r>
      <w:r>
        <w:fldChar w:fldCharType="separate"/>
      </w:r>
      <w:r>
        <w:rPr>
          <w:rStyle w:val="13"/>
          <w:color w:val="0563C1"/>
        </w:rPr>
        <w:t>Frailty in older adults: evidence for a phenotype.</w:t>
      </w:r>
      <w:r>
        <w:rPr>
          <w:rStyle w:val="13"/>
          <w:color w:val="0563C1"/>
        </w:rPr>
        <w:fldChar w:fldCharType="end"/>
      </w:r>
    </w:p>
    <w:p w14:paraId="20ACE307">
      <w:pPr>
        <w:spacing w:after="200" w:line="400" w:lineRule="atLeast"/>
      </w:pPr>
      <w:r>
        <w:fldChar w:fldCharType="begin"/>
      </w:r>
      <w:r>
        <w:instrText xml:space="preserve"> HYPERLINK "https://doi.org/10.18480/JJRE.6.20" \h </w:instrText>
      </w:r>
      <w:r>
        <w:fldChar w:fldCharType="separate"/>
      </w:r>
      <w:r>
        <w:rPr>
          <w:rStyle w:val="13"/>
          <w:color w:val="0563C1"/>
        </w:rPr>
        <w:t>Re-estimating per Capita Individual Consumption by Age from Household Data</w:t>
      </w:r>
      <w:r>
        <w:rPr>
          <w:rStyle w:val="13"/>
          <w:color w:val="0563C1"/>
        </w:rPr>
        <w:fldChar w:fldCharType="end"/>
      </w:r>
    </w:p>
    <w:p w14:paraId="5F3DEC3C">
      <w:pPr>
        <w:pStyle w:val="3"/>
        <w:spacing w:after="400" w:line="400" w:lineRule="atLeast"/>
      </w:pPr>
      <w:r>
        <w:t>其他来源</w:t>
      </w:r>
    </w:p>
    <w:p w14:paraId="6A0F270A">
      <w:pPr>
        <w:spacing w:after="200" w:line="400" w:lineRule="atLeast"/>
      </w:pPr>
      <w:r>
        <w:fldChar w:fldCharType="begin"/>
      </w:r>
      <w:r>
        <w:instrText xml:space="preserve"> HYPERLINK "https://www.nepjol.info/index.php/DSAJ/article/view/2781/2472" \h </w:instrText>
      </w:r>
      <w:r>
        <w:fldChar w:fldCharType="separate"/>
      </w:r>
      <w:r>
        <w:rPr>
          <w:rStyle w:val="13"/>
          <w:color w:val="0563C1"/>
        </w:rPr>
        <w:t>[1,76]. Aging and Elderly Care Practice in Japan: Main Issues, Policy and Program Perspective; What Lessons can be Learned from Japanese Experiences?</w:t>
      </w:r>
      <w:r>
        <w:rPr>
          <w:rStyle w:val="13"/>
          <w:color w:val="0563C1"/>
        </w:rPr>
        <w:fldChar w:fldCharType="end"/>
      </w:r>
    </w:p>
    <w:p w14:paraId="6CD797E5">
      <w:pPr>
        <w:spacing w:after="200" w:line="400" w:lineRule="atLeast"/>
      </w:pPr>
      <w:r>
        <w:fldChar w:fldCharType="begin"/>
      </w:r>
      <w:r>
        <w:instrText xml:space="preserve"> HYPERLINK "https://pure.iiasa.ac.at/id/eprint/6512/1/IR-01-008.pdf" \h </w:instrText>
      </w:r>
      <w:r>
        <w:fldChar w:fldCharType="separate"/>
      </w:r>
      <w:r>
        <w:rPr>
          <w:rStyle w:val="13"/>
          <w:color w:val="0563C1"/>
        </w:rPr>
        <w:t>[2]. Aging in Japan: Causes and Consequences Part I: Demographic Issues</w:t>
      </w:r>
      <w:r>
        <w:rPr>
          <w:rStyle w:val="13"/>
          <w:color w:val="0563C1"/>
        </w:rPr>
        <w:fldChar w:fldCharType="end"/>
      </w:r>
    </w:p>
    <w:p w14:paraId="1133F445">
      <w:pPr>
        <w:spacing w:after="200" w:line="400" w:lineRule="atLeast"/>
      </w:pPr>
      <w:r>
        <w:fldChar w:fldCharType="begin"/>
      </w:r>
      <w:r>
        <w:instrText xml:space="preserve"> HYPERLINK "https://www.city.hamamatsu.shizuoka.jp/documents/13614/r7koureisyahukusinosiori-1.pdf" \h </w:instrText>
      </w:r>
      <w:r>
        <w:fldChar w:fldCharType="separate"/>
      </w:r>
      <w:r>
        <w:rPr>
          <w:rStyle w:val="13"/>
          <w:color w:val="0563C1"/>
        </w:rPr>
        <w:t>[3]. 高齢者福祉のしおり</w:t>
      </w:r>
      <w:r>
        <w:rPr>
          <w:rStyle w:val="13"/>
          <w:color w:val="0563C1"/>
        </w:rPr>
        <w:fldChar w:fldCharType="end"/>
      </w:r>
    </w:p>
    <w:p w14:paraId="3FEBA218">
      <w:pPr>
        <w:spacing w:after="200" w:line="400" w:lineRule="atLeast"/>
      </w:pPr>
      <w:r>
        <w:fldChar w:fldCharType="begin"/>
      </w:r>
      <w:r>
        <w:instrText xml:space="preserve"> HYPERLINK "https://www.kdx-reit.com/file/%E6%97%A7%E3%82%B8%E3%83%A3%E3%83%91%E3%83%B3%E3%82%B7%E3%83%8B%E3%82%A2%E3%83%AA%E3%83%93%E3%83%B3%E3%82%B0/%E3%83%95%E3%82%A1%E3%82%A4%E3%83%AB_IR%E3%83%A9%E3%82%A4%E3%83%96%E3%83%A9%E3%83%AA%E8%8B%B1%E6%96%87(5)/20171016_4th_results_IR%20Presentation%20Materials.pdf" \h </w:instrText>
      </w:r>
      <w:r>
        <w:fldChar w:fldCharType="separate"/>
      </w:r>
      <w:r>
        <w:rPr>
          <w:rStyle w:val="13"/>
          <w:color w:val="0563C1"/>
        </w:rPr>
        <w:t>[4,63,66,384]. 4th Period Results (Ended August 2017)</w:t>
      </w:r>
      <w:r>
        <w:rPr>
          <w:rStyle w:val="13"/>
          <w:color w:val="0563C1"/>
        </w:rPr>
        <w:fldChar w:fldCharType="end"/>
      </w:r>
    </w:p>
    <w:p w14:paraId="3B4C254B">
      <w:pPr>
        <w:spacing w:after="200" w:line="400" w:lineRule="atLeast"/>
      </w:pPr>
      <w:r>
        <w:fldChar w:fldCharType="begin"/>
      </w:r>
      <w:r>
        <w:instrText xml:space="preserve"> HYPERLINK "https://www.city.choshi.chiba.jp/content/000044256.pdf" \h </w:instrText>
      </w:r>
      <w:r>
        <w:fldChar w:fldCharType="separate"/>
      </w:r>
      <w:r>
        <w:rPr>
          <w:rStyle w:val="13"/>
          <w:color w:val="0563C1"/>
        </w:rPr>
        <w:t>[5]. 銚子市高齢者福祉計画・第9期介護保険事業計画</w:t>
      </w:r>
      <w:r>
        <w:rPr>
          <w:rStyle w:val="13"/>
          <w:color w:val="0563C1"/>
        </w:rPr>
        <w:fldChar w:fldCharType="end"/>
      </w:r>
    </w:p>
    <w:p w14:paraId="145CF8DE">
      <w:pPr>
        <w:spacing w:after="200" w:line="400" w:lineRule="atLeast"/>
      </w:pPr>
      <w:r>
        <w:fldChar w:fldCharType="begin"/>
      </w:r>
      <w:r>
        <w:instrText xml:space="preserve"> HYPERLINK "https://www.iat.eu/aktuell/veroeff/jahrbuch/jahrb0102/06-cirkel-gerling-hilbert.pdf" \h </w:instrText>
      </w:r>
      <w:r>
        <w:fldChar w:fldCharType="separate"/>
      </w:r>
      <w:r>
        <w:rPr>
          <w:rStyle w:val="13"/>
          <w:color w:val="0563C1"/>
        </w:rPr>
        <w:t>[6,12,407]. Silbermarkt Japan – eine Perspektive für die NRW-Wirtschaft?</w:t>
      </w:r>
      <w:r>
        <w:rPr>
          <w:rStyle w:val="13"/>
          <w:color w:val="0563C1"/>
        </w:rPr>
        <w:fldChar w:fldCharType="end"/>
      </w:r>
    </w:p>
    <w:p w14:paraId="01B79BB9">
      <w:pPr>
        <w:spacing w:after="200" w:line="400" w:lineRule="atLeast"/>
      </w:pPr>
      <w:r>
        <w:fldChar w:fldCharType="begin"/>
      </w:r>
      <w:r>
        <w:instrText xml:space="preserve"> HYPERLINK "https://independent-ageing.kenes.com/wp-content/uploads/sites/9/2023/04/Age-Tech_Whitepaper_TheCarterGroup-E.pdf" \h </w:instrText>
      </w:r>
      <w:r>
        <w:fldChar w:fldCharType="separate"/>
      </w:r>
      <w:r>
        <w:rPr>
          <w:rStyle w:val="13"/>
          <w:color w:val="0563C1"/>
        </w:rPr>
        <w:t>[7,84,92,146,152,203,206,337,339,342,345,371,404]. The World’s Real-time Laboratory for Age-Tech</w:t>
      </w:r>
      <w:r>
        <w:rPr>
          <w:rStyle w:val="13"/>
          <w:color w:val="0563C1"/>
        </w:rPr>
        <w:fldChar w:fldCharType="end"/>
      </w:r>
    </w:p>
    <w:p w14:paraId="414E5874">
      <w:pPr>
        <w:spacing w:after="200" w:line="400" w:lineRule="atLeast"/>
      </w:pPr>
      <w:r>
        <w:fldChar w:fldCharType="begin"/>
      </w:r>
      <w:r>
        <w:instrText xml:space="preserve"> HYPERLINK "https://www.mfat.govt.nz/assets/Trade-General/Trade-Market-reports/Japan-Economy-Update-20-September-2020-PDF.pdf" \h </w:instrText>
      </w:r>
      <w:r>
        <w:fldChar w:fldCharType="separate"/>
      </w:r>
      <w:r>
        <w:rPr>
          <w:rStyle w:val="13"/>
          <w:color w:val="0563C1"/>
        </w:rPr>
        <w:t>[8,9]. Japan: Economy Update Market Report</w:t>
      </w:r>
      <w:r>
        <w:rPr>
          <w:rStyle w:val="13"/>
          <w:color w:val="0563C1"/>
        </w:rPr>
        <w:fldChar w:fldCharType="end"/>
      </w:r>
    </w:p>
    <w:p w14:paraId="07A6F373">
      <w:pPr>
        <w:spacing w:after="200" w:line="400" w:lineRule="atLeast"/>
      </w:pPr>
      <w:r>
        <w:fldChar w:fldCharType="begin"/>
      </w:r>
      <w:r>
        <w:instrText xml:space="preserve"> HYPERLINK "https://atripress.org/index.php/jmss/article/download/187/159/598" \h </w:instrText>
      </w:r>
      <w:r>
        <w:fldChar w:fldCharType="separate"/>
      </w:r>
      <w:r>
        <w:rPr>
          <w:rStyle w:val="13"/>
          <w:color w:val="0563C1"/>
        </w:rPr>
        <w:t>[10]. Silver Economy Industry Market Consumption Characteristics Research</w:t>
      </w:r>
      <w:r>
        <w:rPr>
          <w:rStyle w:val="13"/>
          <w:color w:val="0563C1"/>
        </w:rPr>
        <w:fldChar w:fldCharType="end"/>
      </w:r>
    </w:p>
    <w:p w14:paraId="62A3306F">
      <w:pPr>
        <w:spacing w:after="200" w:line="400" w:lineRule="atLeast"/>
      </w:pPr>
      <w:r>
        <w:fldChar w:fldCharType="begin"/>
      </w:r>
      <w:r>
        <w:instrText xml:space="preserve"> HYPERLINK "https://www.360researchreports.com/market-reports/silver-economy-market-210016" \h </w:instrText>
      </w:r>
      <w:r>
        <w:fldChar w:fldCharType="separate"/>
      </w:r>
      <w:r>
        <w:rPr>
          <w:rStyle w:val="13"/>
          <w:color w:val="0563C1"/>
        </w:rPr>
        <w:t>[11,20,25]. Silver Economy Market Size, Share, Growth, and Industry Analysis, By Type (Core Pension Service Industry,Pillar Industry,Derivative Industry), By Application (60-70 Years Old,Over 70 Years Old), Regional Insights and Forecast to 2034</w:t>
      </w:r>
      <w:r>
        <w:rPr>
          <w:rStyle w:val="13"/>
          <w:color w:val="0563C1"/>
        </w:rPr>
        <w:fldChar w:fldCharType="end"/>
      </w:r>
    </w:p>
    <w:p w14:paraId="212E520B">
      <w:pPr>
        <w:spacing w:after="200" w:line="400" w:lineRule="atLeast"/>
      </w:pPr>
      <w:r>
        <w:fldChar w:fldCharType="begin"/>
      </w:r>
      <w:r>
        <w:instrText xml:space="preserve"> HYPERLINK "https://www.rothschildandco.com/siteassets/publications/rothschildandco/wealth_management/2018/en_wm_2018_investment_views_silver_economy.pdf-.pdf" \h </w:instrText>
      </w:r>
      <w:r>
        <w:fldChar w:fldCharType="separate"/>
      </w:r>
      <w:r>
        <w:rPr>
          <w:rStyle w:val="13"/>
          <w:color w:val="0563C1"/>
        </w:rPr>
        <w:t>[13,148,149]. The Silver Economy</w:t>
      </w:r>
      <w:r>
        <w:rPr>
          <w:rStyle w:val="13"/>
          <w:color w:val="0563C1"/>
        </w:rPr>
        <w:fldChar w:fldCharType="end"/>
      </w:r>
    </w:p>
    <w:p w14:paraId="2C400A83">
      <w:pPr>
        <w:spacing w:after="200" w:line="400" w:lineRule="atLeast"/>
      </w:pPr>
      <w:r>
        <w:fldChar w:fldCharType="begin"/>
      </w:r>
      <w:r>
        <w:instrText xml:space="preserve"> HYPERLINK "https://www.eu-japan.eu/sites/default/files/publications/docs/Digital-Transformation-Japan-Assessing-opportunities-forEU-SMEs.pdf" \h </w:instrText>
      </w:r>
      <w:r>
        <w:fldChar w:fldCharType="separate"/>
      </w:r>
      <w:r>
        <w:rPr>
          <w:rStyle w:val="13"/>
          <w:color w:val="0563C1"/>
        </w:rPr>
        <w:t>[14,22,150,153]. DIGITAL TRANSFORMATION IN JAPAN | TOKYO | 2022</w:t>
      </w:r>
      <w:r>
        <w:rPr>
          <w:rStyle w:val="13"/>
          <w:color w:val="0563C1"/>
        </w:rPr>
        <w:fldChar w:fldCharType="end"/>
      </w:r>
    </w:p>
    <w:p w14:paraId="7996DF1E">
      <w:pPr>
        <w:spacing w:after="200" w:line="400" w:lineRule="atLeast"/>
      </w:pPr>
      <w:r>
        <w:fldChar w:fldCharType="begin"/>
      </w:r>
      <w:r>
        <w:instrText xml:space="preserve"> HYPERLINK "https://research.rhbtradesmart.com/sites/default/files/attachments/2023-11/reg_ageing_asean_thematic_research_20231108_rhb.pdf" \h </w:instrText>
      </w:r>
      <w:r>
        <w:fldChar w:fldCharType="separate"/>
      </w:r>
      <w:r>
        <w:rPr>
          <w:rStyle w:val="13"/>
          <w:color w:val="0563C1"/>
        </w:rPr>
        <w:t>[15,21,27,88,151]. Health Care Facilities &amp; Svcs All That Glitters In The Silver Economy</w:t>
      </w:r>
      <w:r>
        <w:rPr>
          <w:rStyle w:val="13"/>
          <w:color w:val="0563C1"/>
        </w:rPr>
        <w:fldChar w:fldCharType="end"/>
      </w:r>
    </w:p>
    <w:p w14:paraId="340B4532">
      <w:pPr>
        <w:spacing w:after="200" w:line="400" w:lineRule="atLeast"/>
      </w:pPr>
      <w:r>
        <w:fldChar w:fldCharType="begin"/>
      </w:r>
      <w:r>
        <w:instrText xml:space="preserve"> HYPERLINK "https://files.metaso.cn/api/public-file/preview?fileName=8682576383054327808.pdf" \h </w:instrText>
      </w:r>
      <w:r>
        <w:fldChar w:fldCharType="separate"/>
      </w:r>
      <w:r>
        <w:rPr>
          <w:rStyle w:val="13"/>
          <w:color w:val="0563C1"/>
        </w:rPr>
        <w:t>[16,18,138,144,145,204,207]. 2025银发经济生态：中国与全球实践白皮书（PPT版）</w:t>
      </w:r>
      <w:r>
        <w:rPr>
          <w:rStyle w:val="13"/>
          <w:color w:val="0563C1"/>
        </w:rPr>
        <w:fldChar w:fldCharType="end"/>
      </w:r>
    </w:p>
    <w:p w14:paraId="57BEE16C">
      <w:pPr>
        <w:spacing w:after="200" w:line="400" w:lineRule="atLeast"/>
      </w:pPr>
      <w:r>
        <w:fldChar w:fldCharType="begin"/>
      </w:r>
      <w:r>
        <w:instrText xml:space="preserve"> HYPERLINK "https://files.metaso.cn/api/public-file/preview?fileName=8682577180468195328.pdf" \h </w:instrText>
      </w:r>
      <w:r>
        <w:fldChar w:fldCharType="separate"/>
      </w:r>
      <w:r>
        <w:rPr>
          <w:rStyle w:val="13"/>
          <w:color w:val="0563C1"/>
        </w:rPr>
        <w:t>[17,125,139,140,141,142,143,154,194,243,418]. 2025 银发经济生态：中国与全球实践白皮书</w:t>
      </w:r>
      <w:r>
        <w:rPr>
          <w:rStyle w:val="13"/>
          <w:color w:val="0563C1"/>
        </w:rPr>
        <w:fldChar w:fldCharType="end"/>
      </w:r>
    </w:p>
    <w:p w14:paraId="4F4ED959">
      <w:pPr>
        <w:spacing w:after="200" w:line="400" w:lineRule="atLeast"/>
      </w:pPr>
      <w:r>
        <w:fldChar w:fldCharType="begin"/>
      </w:r>
      <w:r>
        <w:instrText xml:space="preserve"> HYPERLINK "https://www.jef.or.jp/journal/pdf/analysis_8503.pdf" \h </w:instrText>
      </w:r>
      <w:r>
        <w:fldChar w:fldCharType="separate"/>
      </w:r>
      <w:r>
        <w:rPr>
          <w:rStyle w:val="13"/>
          <w:color w:val="0563C1"/>
        </w:rPr>
        <w:t>[19]. Japan’s “Silver Market” and Aging Society</w:t>
      </w:r>
      <w:r>
        <w:rPr>
          <w:rStyle w:val="13"/>
          <w:color w:val="0563C1"/>
        </w:rPr>
        <w:fldChar w:fldCharType="end"/>
      </w:r>
    </w:p>
    <w:p w14:paraId="2C3A2DC2">
      <w:pPr>
        <w:spacing w:after="200" w:line="400" w:lineRule="atLeast"/>
      </w:pPr>
      <w:r>
        <w:fldChar w:fldCharType="begin"/>
      </w:r>
      <w:r>
        <w:instrText xml:space="preserve"> HYPERLINK "http://waseda-china.com/wp-content/uploads/2020/12/①Foreword、Taeyoungまで.pdf" \h </w:instrText>
      </w:r>
      <w:r>
        <w:fldChar w:fldCharType="separate"/>
      </w:r>
      <w:r>
        <w:rPr>
          <w:rStyle w:val="13"/>
          <w:color w:val="0563C1"/>
        </w:rPr>
        <w:t>[23]. Inspecting Japan: Legal Framework of Aging Society</w:t>
      </w:r>
      <w:r>
        <w:rPr>
          <w:rStyle w:val="13"/>
          <w:color w:val="0563C1"/>
        </w:rPr>
        <w:fldChar w:fldCharType="end"/>
      </w:r>
    </w:p>
    <w:p w14:paraId="018E6DAF">
      <w:pPr>
        <w:spacing w:after="200" w:line="400" w:lineRule="atLeast"/>
      </w:pPr>
      <w:r>
        <w:fldChar w:fldCharType="begin"/>
      </w:r>
      <w:r>
        <w:instrText xml:space="preserve"> HYPERLINK "https://www.globalgrowthinsights.com/market-reports/silver-economy-market-121619" \h </w:instrText>
      </w:r>
      <w:r>
        <w:fldChar w:fldCharType="separate"/>
      </w:r>
      <w:r>
        <w:rPr>
          <w:rStyle w:val="13"/>
          <w:color w:val="0563C1"/>
        </w:rPr>
        <w:t>[24]. Silver Economy Market Size</w:t>
      </w:r>
      <w:r>
        <w:rPr>
          <w:rStyle w:val="13"/>
          <w:color w:val="0563C1"/>
        </w:rPr>
        <w:fldChar w:fldCharType="end"/>
      </w:r>
    </w:p>
    <w:p w14:paraId="5DA01C5D">
      <w:pPr>
        <w:spacing w:after="200" w:line="400" w:lineRule="atLeast"/>
      </w:pPr>
      <w:r>
        <w:fldChar w:fldCharType="begin"/>
      </w:r>
      <w:r>
        <w:instrText xml:space="preserve"> HYPERLINK "https://www.marketreportsworld.com/market-reports/silver-economy-market-14722184" \h </w:instrText>
      </w:r>
      <w:r>
        <w:fldChar w:fldCharType="separate"/>
      </w:r>
      <w:r>
        <w:rPr>
          <w:rStyle w:val="13"/>
          <w:color w:val="0563C1"/>
        </w:rPr>
        <w:t>[26]. Silver Economy Market Overview</w:t>
      </w:r>
      <w:r>
        <w:rPr>
          <w:rStyle w:val="13"/>
          <w:color w:val="0563C1"/>
        </w:rPr>
        <w:fldChar w:fldCharType="end"/>
      </w:r>
    </w:p>
    <w:p w14:paraId="2A12E0E0">
      <w:pPr>
        <w:spacing w:after="200" w:line="400" w:lineRule="atLeast"/>
      </w:pPr>
      <w:r>
        <w:fldChar w:fldCharType="begin"/>
      </w:r>
      <w:r>
        <w:instrText xml:space="preserve"> HYPERLINK "https://finance.sina.com.cn/tech/roll/2025-07-09/doc-infewcvs9528096.shtml" \h </w:instrText>
      </w:r>
      <w:r>
        <w:fldChar w:fldCharType="separate"/>
      </w:r>
      <w:r>
        <w:rPr>
          <w:rStyle w:val="13"/>
          <w:color w:val="0563C1"/>
        </w:rPr>
        <w:t>[28,378]. 日本的最新宏观视角：复苏的希望</w:t>
      </w:r>
      <w:r>
        <w:rPr>
          <w:rStyle w:val="13"/>
          <w:color w:val="0563C1"/>
        </w:rPr>
        <w:fldChar w:fldCharType="end"/>
      </w:r>
    </w:p>
    <w:p w14:paraId="772829FC">
      <w:pPr>
        <w:spacing w:after="200" w:line="400" w:lineRule="atLeast"/>
      </w:pPr>
      <w:r>
        <w:fldChar w:fldCharType="begin"/>
      </w:r>
      <w:r>
        <w:instrText xml:space="preserve"> HYPERLINK "https://www.dir.co.jp/english/research/report/joutlook/20140919_008959.pdf" \h </w:instrText>
      </w:r>
      <w:r>
        <w:fldChar w:fldCharType="separate"/>
      </w:r>
      <w:r>
        <w:rPr>
          <w:rStyle w:val="13"/>
          <w:color w:val="0563C1"/>
        </w:rPr>
        <w:t>[29,31,41,379]. Japan’s Medium-term Economic Outlook – August 2014</w:t>
      </w:r>
      <w:r>
        <w:rPr>
          <w:rStyle w:val="13"/>
          <w:color w:val="0563C1"/>
        </w:rPr>
        <w:fldChar w:fldCharType="end"/>
      </w:r>
    </w:p>
    <w:p w14:paraId="5AF5EBC5">
      <w:pPr>
        <w:spacing w:after="200" w:line="400" w:lineRule="atLeast"/>
      </w:pPr>
      <w:r>
        <w:fldChar w:fldCharType="begin"/>
      </w:r>
      <w:r>
        <w:instrText xml:space="preserve"> HYPERLINK "https://www.frontiersin.org/journals/public-health/articles/10.3389/fpubh.2022.1050035/full" \h </w:instrText>
      </w:r>
      <w:r>
        <w:fldChar w:fldCharType="separate"/>
      </w:r>
      <w:r>
        <w:rPr>
          <w:rStyle w:val="13"/>
          <w:color w:val="0563C1"/>
        </w:rPr>
        <w:t>[30]. Changing Trends in Healthcare Administration Research in Japan Using Text-Mining Methods</w:t>
      </w:r>
      <w:r>
        <w:rPr>
          <w:rStyle w:val="13"/>
          <w:color w:val="0563C1"/>
        </w:rPr>
        <w:fldChar w:fldCharType="end"/>
      </w:r>
    </w:p>
    <w:p w14:paraId="08265390">
      <w:pPr>
        <w:spacing w:after="200" w:line="400" w:lineRule="atLeast"/>
      </w:pPr>
      <w:r>
        <w:fldChar w:fldCharType="begin"/>
      </w:r>
      <w:r>
        <w:instrText xml:space="preserve"> HYPERLINK "https://www.israel-japan.org/aging-population" \h </w:instrText>
      </w:r>
      <w:r>
        <w:fldChar w:fldCharType="separate"/>
      </w:r>
      <w:r>
        <w:rPr>
          <w:rStyle w:val="13"/>
          <w:color w:val="0563C1"/>
        </w:rPr>
        <w:t>[32,43,55,381]. Economic implications of Japan's aging population: a macro-economic demographic modeling approach.</w:t>
      </w:r>
      <w:r>
        <w:rPr>
          <w:rStyle w:val="13"/>
          <w:color w:val="0563C1"/>
        </w:rPr>
        <w:fldChar w:fldCharType="end"/>
      </w:r>
    </w:p>
    <w:p w14:paraId="1870FCC7">
      <w:pPr>
        <w:spacing w:after="200" w:line="400" w:lineRule="atLeast"/>
      </w:pPr>
      <w:r>
        <w:fldChar w:fldCharType="begin"/>
      </w:r>
      <w:r>
        <w:instrText xml:space="preserve"> HYPERLINK "http://ffj.ehess.fr/index/article/437/brieuc-monfort-aging-and-economics.html" \h </w:instrText>
      </w:r>
      <w:r>
        <w:fldChar w:fldCharType="separate"/>
      </w:r>
      <w:r>
        <w:rPr>
          <w:rStyle w:val="13"/>
          <w:color w:val="0563C1"/>
        </w:rPr>
        <w:t>[33,36]. Aging and Economics: A French-Japanese Perspective</w:t>
      </w:r>
      <w:r>
        <w:rPr>
          <w:rStyle w:val="13"/>
          <w:color w:val="0563C1"/>
        </w:rPr>
        <w:fldChar w:fldCharType="end"/>
      </w:r>
    </w:p>
    <w:p w14:paraId="3590B804">
      <w:pPr>
        <w:spacing w:after="200" w:line="400" w:lineRule="atLeast"/>
      </w:pPr>
      <w:r>
        <w:fldChar w:fldCharType="begin"/>
      </w:r>
      <w:r>
        <w:instrText xml:space="preserve"> HYPERLINK "https://www.mitsui.com/mgssi/en/report/detail/__icsFiles/afieldfile/2024/10/17/2407_kato_sawano_ohnishi_e.pdf" \h </w:instrText>
      </w:r>
      <w:r>
        <w:fldChar w:fldCharType="separate"/>
      </w:r>
      <w:r>
        <w:rPr>
          <w:rStyle w:val="13"/>
          <w:color w:val="0563C1"/>
        </w:rPr>
        <w:t>[34,40,46,50,51,52,53,383,434]. THE HEALTHY LONGEVITY BUSINESS IN A SUPER-AGING SOCIETY — DIRECTION OF THE BUSINESS AS INDICATED BY THE LATEST GLOBAL TRENDS</w:t>
      </w:r>
      <w:r>
        <w:rPr>
          <w:rStyle w:val="13"/>
          <w:color w:val="0563C1"/>
        </w:rPr>
        <w:fldChar w:fldCharType="end"/>
      </w:r>
    </w:p>
    <w:p w14:paraId="7CF4DE67">
      <w:pPr>
        <w:spacing w:after="200" w:line="400" w:lineRule="atLeast"/>
      </w:pPr>
      <w:r>
        <w:fldChar w:fldCharType="begin"/>
      </w:r>
      <w:r>
        <w:instrText xml:space="preserve"> HYPERLINK "https://www.glafs.u-tokyo.ac.jp/wp-content/uploads/2016/09/2016_WEB_v2.pdf" \h </w:instrText>
      </w:r>
      <w:r>
        <w:fldChar w:fldCharType="separate"/>
      </w:r>
      <w:r>
        <w:rPr>
          <w:rStyle w:val="13"/>
          <w:color w:val="0563C1"/>
        </w:rPr>
        <w:t>[35,58,61]. Graduate Program in Gerontology, The University of Tokyo Global Leadership initiative for an Age-Friendly Society</w:t>
      </w:r>
      <w:r>
        <w:rPr>
          <w:rStyle w:val="13"/>
          <w:color w:val="0563C1"/>
        </w:rPr>
        <w:fldChar w:fldCharType="end"/>
      </w:r>
    </w:p>
    <w:p w14:paraId="0E115C0B">
      <w:pPr>
        <w:spacing w:after="200" w:line="400" w:lineRule="atLeast"/>
      </w:pPr>
      <w:r>
        <w:fldChar w:fldCharType="begin"/>
      </w:r>
      <w:r>
        <w:instrText xml:space="preserve"> HYPERLINK "http://emerging-technologies.wikia.com/wiki/Longevity_Dividend" \h </w:instrText>
      </w:r>
      <w:r>
        <w:fldChar w:fldCharType="separate"/>
      </w:r>
      <w:r>
        <w:rPr>
          <w:rStyle w:val="13"/>
          <w:color w:val="0563C1"/>
        </w:rPr>
        <w:t>[37,38,39,49,382,435]. The Longevity Dividend</w:t>
      </w:r>
      <w:r>
        <w:rPr>
          <w:rStyle w:val="13"/>
          <w:color w:val="0563C1"/>
        </w:rPr>
        <w:fldChar w:fldCharType="end"/>
      </w:r>
    </w:p>
    <w:p w14:paraId="547C049F">
      <w:pPr>
        <w:spacing w:after="200" w:line="400" w:lineRule="atLeast"/>
      </w:pPr>
      <w:r>
        <w:fldChar w:fldCharType="begin"/>
      </w:r>
      <w:r>
        <w:instrText xml:space="preserve"> HYPERLINK "https://kutarr.kochi-tech.ac.jp/record/1677/files/rb15_1947.pdf" \h </w:instrText>
      </w:r>
      <w:r>
        <w:fldChar w:fldCharType="separate"/>
      </w:r>
      <w:r>
        <w:rPr>
          <w:rStyle w:val="13"/>
          <w:color w:val="0563C1"/>
        </w:rPr>
        <w:t>[42,44]. 超高齢社会の基礎問題に関する研究</w:t>
      </w:r>
      <w:r>
        <w:rPr>
          <w:rStyle w:val="13"/>
          <w:color w:val="0563C1"/>
        </w:rPr>
        <w:fldChar w:fldCharType="end"/>
      </w:r>
    </w:p>
    <w:p w14:paraId="2056E4B3">
      <w:pPr>
        <w:spacing w:after="200" w:line="400" w:lineRule="atLeast"/>
      </w:pPr>
      <w:r>
        <w:fldChar w:fldCharType="begin"/>
      </w:r>
      <w:r>
        <w:instrText xml:space="preserve"> HYPERLINK "https://www.meer.com/en/71973-the-potential-of-silver-economy" \h </w:instrText>
      </w:r>
      <w:r>
        <w:fldChar w:fldCharType="separate"/>
      </w:r>
      <w:r>
        <w:rPr>
          <w:rStyle w:val="13"/>
          <w:color w:val="0563C1"/>
        </w:rPr>
        <w:t>[45,47,403]. Defining the silver economy and its economic implications in an aging society</w:t>
      </w:r>
      <w:r>
        <w:rPr>
          <w:rStyle w:val="13"/>
          <w:color w:val="0563C1"/>
        </w:rPr>
        <w:fldChar w:fldCharType="end"/>
      </w:r>
    </w:p>
    <w:p w14:paraId="03FF63E5">
      <w:pPr>
        <w:spacing w:after="200" w:line="400" w:lineRule="atLeast"/>
      </w:pPr>
      <w:r>
        <w:fldChar w:fldCharType="begin"/>
      </w:r>
      <w:r>
        <w:instrText xml:space="preserve"> HYPERLINK "https://www.nature.com/articles/d42473-024-00365-z" \h </w:instrText>
      </w:r>
      <w:r>
        <w:fldChar w:fldCharType="separate"/>
      </w:r>
      <w:r>
        <w:rPr>
          <w:rStyle w:val="13"/>
          <w:color w:val="0563C1"/>
        </w:rPr>
        <w:t>[48]. Sustaining a ‘super-aged’ society</w:t>
      </w:r>
      <w:r>
        <w:rPr>
          <w:rStyle w:val="13"/>
          <w:color w:val="0563C1"/>
        </w:rPr>
        <w:fldChar w:fldCharType="end"/>
      </w:r>
    </w:p>
    <w:p w14:paraId="579CBBFE">
      <w:pPr>
        <w:spacing w:after="200" w:line="400" w:lineRule="atLeast"/>
      </w:pPr>
      <w:r>
        <w:fldChar w:fldCharType="begin"/>
      </w:r>
      <w:r>
        <w:instrText xml:space="preserve"> HYPERLINK "https://www.ipss.go.jp/pr-ad/j/soshiki/ipss_j2024.pdf" \h </w:instrText>
      </w:r>
      <w:r>
        <w:fldChar w:fldCharType="separate"/>
      </w:r>
      <w:r>
        <w:rPr>
          <w:rStyle w:val="13"/>
          <w:color w:val="0563C1"/>
        </w:rPr>
        <w:t>[54,56,57]. 国立社会保障・人口問題研究所</w:t>
      </w:r>
      <w:r>
        <w:rPr>
          <w:rStyle w:val="13"/>
          <w:color w:val="0563C1"/>
        </w:rPr>
        <w:fldChar w:fldCharType="end"/>
      </w:r>
    </w:p>
    <w:p w14:paraId="31AA9526">
      <w:pPr>
        <w:spacing w:after="200" w:line="400" w:lineRule="atLeast"/>
      </w:pPr>
      <w:r>
        <w:fldChar w:fldCharType="begin"/>
      </w:r>
      <w:r>
        <w:instrText xml:space="preserve"> HYPERLINK "https://files.metaso.cn/api/public-file/preview?fileName=8673850500690493440.pdf" \h </w:instrText>
      </w:r>
      <w:r>
        <w:fldChar w:fldCharType="separate"/>
      </w:r>
      <w:r>
        <w:rPr>
          <w:rStyle w:val="13"/>
          <w:color w:val="0563C1"/>
        </w:rPr>
        <w:t>[59]. The Japan Geriatrics Society 2025 Position Statement on End-of-Life Care for Older Adults: English Translation of the Japanese Article</w:t>
      </w:r>
      <w:r>
        <w:rPr>
          <w:rStyle w:val="13"/>
          <w:color w:val="0563C1"/>
        </w:rPr>
        <w:fldChar w:fldCharType="end"/>
      </w:r>
    </w:p>
    <w:p w14:paraId="324471CB">
      <w:pPr>
        <w:spacing w:after="200" w:line="400" w:lineRule="atLeast"/>
      </w:pPr>
      <w:r>
        <w:fldChar w:fldCharType="begin"/>
      </w:r>
      <w:r>
        <w:instrText xml:space="preserve"> HYPERLINK "https://www.olis.or.jp/e/pdf/20250522_horiuchi.pdf" \h </w:instrText>
      </w:r>
      <w:r>
        <w:fldChar w:fldCharType="separate"/>
      </w:r>
      <w:r>
        <w:rPr>
          <w:rStyle w:val="13"/>
          <w:color w:val="0563C1"/>
        </w:rPr>
        <w:t>[60]. OLIS 2025 Seminar: What is senior marketing from the perspective of gerontology?</w:t>
      </w:r>
      <w:r>
        <w:rPr>
          <w:rStyle w:val="13"/>
          <w:color w:val="0563C1"/>
        </w:rPr>
        <w:fldChar w:fldCharType="end"/>
      </w:r>
    </w:p>
    <w:p w14:paraId="19FB9CE8">
      <w:pPr>
        <w:spacing w:after="200" w:line="400" w:lineRule="atLeast"/>
      </w:pPr>
      <w:r>
        <w:fldChar w:fldCharType="begin"/>
      </w:r>
      <w:r>
        <w:instrText xml:space="preserve"> HYPERLINK "https://www.tokyoupdates.metro.tokyo.lg.jp/en/post-1582/" \h </w:instrText>
      </w:r>
      <w:r>
        <w:fldChar w:fldCharType="separate"/>
      </w:r>
      <w:r>
        <w:rPr>
          <w:rStyle w:val="13"/>
          <w:color w:val="0563C1"/>
        </w:rPr>
        <w:t>[62,65]. Komaji no Uchi</w:t>
      </w:r>
      <w:r>
        <w:rPr>
          <w:rStyle w:val="13"/>
          <w:color w:val="0563C1"/>
        </w:rPr>
        <w:fldChar w:fldCharType="end"/>
      </w:r>
    </w:p>
    <w:p w14:paraId="22B8245C">
      <w:pPr>
        <w:spacing w:after="200" w:line="400" w:lineRule="atLeast"/>
      </w:pPr>
      <w:r>
        <w:fldChar w:fldCharType="begin"/>
      </w:r>
      <w:r>
        <w:instrText xml:space="preserve"> HYPERLINK "https://www.ipss.go.jp/pp-shicyoson/j/shicyoson23/6houkoku/houkoku.pdf" \h </w:instrText>
      </w:r>
      <w:r>
        <w:fldChar w:fldCharType="separate"/>
      </w:r>
      <w:r>
        <w:rPr>
          <w:rStyle w:val="13"/>
          <w:color w:val="0563C1"/>
        </w:rPr>
        <w:t>[64,67,118,136]. 日本の地域別将来推計人口——令和 2(2020)～32(2050) 年——</w:t>
      </w:r>
      <w:r>
        <w:rPr>
          <w:rStyle w:val="13"/>
          <w:color w:val="0563C1"/>
        </w:rPr>
        <w:fldChar w:fldCharType="end"/>
      </w:r>
    </w:p>
    <w:p w14:paraId="1C89E995">
      <w:pPr>
        <w:spacing w:after="200" w:line="400" w:lineRule="atLeast"/>
      </w:pPr>
      <w:r>
        <w:fldChar w:fldCharType="begin"/>
      </w:r>
      <w:r>
        <w:instrText xml:space="preserve"> HYPERLINK "https://news.cctv.com/2019/09/16/ARTIG5uQKzJzwkvnYoxBaIW3190916.shtml" \h </w:instrText>
      </w:r>
      <w:r>
        <w:fldChar w:fldCharType="separate"/>
      </w:r>
      <w:r>
        <w:rPr>
          <w:rStyle w:val="13"/>
          <w:color w:val="0563C1"/>
        </w:rPr>
        <w:t>[68,77,390,393]. 日本将进入“超高龄社会”：65岁至69岁人口就业率为46.6%</w:t>
      </w:r>
      <w:r>
        <w:rPr>
          <w:rStyle w:val="13"/>
          <w:color w:val="0563C1"/>
        </w:rPr>
        <w:fldChar w:fldCharType="end"/>
      </w:r>
    </w:p>
    <w:p w14:paraId="78513B70">
      <w:pPr>
        <w:spacing w:after="200" w:line="400" w:lineRule="atLeast"/>
      </w:pPr>
      <w:r>
        <w:fldChar w:fldCharType="begin"/>
      </w:r>
      <w:r>
        <w:instrText xml:space="preserve"> HYPERLINK "https://www.jef.or.jp/journal/pdf/246th_Cover_Story_04.pdf" \h </w:instrText>
      </w:r>
      <w:r>
        <w:fldChar w:fldCharType="separate"/>
      </w:r>
      <w:r>
        <w:rPr>
          <w:rStyle w:val="13"/>
          <w:color w:val="0563C1"/>
        </w:rPr>
        <w:t>[69,134]. A Flexible Labor Market Will Save Japan</w:t>
      </w:r>
      <w:r>
        <w:rPr>
          <w:rStyle w:val="13"/>
          <w:color w:val="0563C1"/>
        </w:rPr>
        <w:fldChar w:fldCharType="end"/>
      </w:r>
    </w:p>
    <w:p w14:paraId="4045FFB0">
      <w:pPr>
        <w:spacing w:after="200" w:line="400" w:lineRule="atLeast"/>
      </w:pPr>
      <w:r>
        <w:fldChar w:fldCharType="begin"/>
      </w:r>
      <w:r>
        <w:instrText xml:space="preserve"> HYPERLINK "https://www.mlit.go.jp/common/000162470.pdf" \h </w:instrText>
      </w:r>
      <w:r>
        <w:fldChar w:fldCharType="separate"/>
      </w:r>
      <w:r>
        <w:rPr>
          <w:rStyle w:val="13"/>
          <w:color w:val="0563C1"/>
        </w:rPr>
        <w:t>[70,79,374]. Part 1 Basic Conception for National Spatial Strategies</w:t>
      </w:r>
      <w:r>
        <w:rPr>
          <w:rStyle w:val="13"/>
          <w:color w:val="0563C1"/>
        </w:rPr>
        <w:fldChar w:fldCharType="end"/>
      </w:r>
    </w:p>
    <w:p w14:paraId="6C32A0D7">
      <w:pPr>
        <w:spacing w:after="200" w:line="400" w:lineRule="atLeast"/>
      </w:pPr>
      <w:r>
        <w:fldChar w:fldCharType="begin"/>
      </w:r>
      <w:r>
        <w:instrText xml:space="preserve"> HYPERLINK "https://www.jhf.go.jp/files/400361789.pdf" \h </w:instrText>
      </w:r>
      <w:r>
        <w:fldChar w:fldCharType="separate"/>
      </w:r>
      <w:r>
        <w:rPr>
          <w:rStyle w:val="13"/>
          <w:color w:val="0563C1"/>
        </w:rPr>
        <w:t>[71,81,394]. 住宅金融支援機構 統合報告書 2022</w:t>
      </w:r>
      <w:r>
        <w:rPr>
          <w:rStyle w:val="13"/>
          <w:color w:val="0563C1"/>
        </w:rPr>
        <w:fldChar w:fldCharType="end"/>
      </w:r>
    </w:p>
    <w:p w14:paraId="42315953">
      <w:pPr>
        <w:spacing w:after="200" w:line="400" w:lineRule="atLeast"/>
      </w:pPr>
      <w:r>
        <w:fldChar w:fldCharType="begin"/>
      </w:r>
      <w:r>
        <w:instrText xml:space="preserve"> HYPERLINK "https://www.nature.com/articles/s41598-023-33865-x" \h </w:instrText>
      </w:r>
      <w:r>
        <w:fldChar w:fldCharType="separate"/>
      </w:r>
      <w:r>
        <w:rPr>
          <w:rStyle w:val="13"/>
          <w:color w:val="0563C1"/>
        </w:rPr>
        <w:t>[72,119,122,137,373,385,389]. Risk indicators likely to result in older adults needing certified long-term care in Japan</w:t>
      </w:r>
      <w:r>
        <w:rPr>
          <w:rStyle w:val="13"/>
          <w:color w:val="0563C1"/>
        </w:rPr>
        <w:fldChar w:fldCharType="end"/>
      </w:r>
    </w:p>
    <w:p w14:paraId="03EFD73E">
      <w:pPr>
        <w:spacing w:after="200" w:line="400" w:lineRule="atLeast"/>
      </w:pPr>
      <w:r>
        <w:fldChar w:fldCharType="begin"/>
      </w:r>
      <w:r>
        <w:instrText xml:space="preserve"> HYPERLINK "https://www.163.com/dy/article/I3CKS8620553C0Z9.html" \h </w:instrText>
      </w:r>
      <w:r>
        <w:fldChar w:fldCharType="separate"/>
      </w:r>
      <w:r>
        <w:rPr>
          <w:rStyle w:val="13"/>
          <w:color w:val="0563C1"/>
        </w:rPr>
        <w:t>[73]. 日本国立社会保障与人口问题研究所的‘未来人口推算’</w:t>
      </w:r>
      <w:r>
        <w:rPr>
          <w:rStyle w:val="13"/>
          <w:color w:val="0563C1"/>
        </w:rPr>
        <w:fldChar w:fldCharType="end"/>
      </w:r>
    </w:p>
    <w:p w14:paraId="03000651">
      <w:pPr>
        <w:spacing w:after="200" w:line="400" w:lineRule="atLeast"/>
      </w:pPr>
      <w:r>
        <w:fldChar w:fldCharType="begin"/>
      </w:r>
      <w:r>
        <w:instrText xml:space="preserve"> HYPERLINK "https://www.xiaoyuzhoufm.com/episode/67c11d7305a90dfd0d5c508d" \h </w:instrText>
      </w:r>
      <w:r>
        <w:fldChar w:fldCharType="separate"/>
      </w:r>
      <w:r>
        <w:rPr>
          <w:rStyle w:val="13"/>
          <w:color w:val="0563C1"/>
        </w:rPr>
        <w:t>[74]. 和知行小酒馆的雨白，聊聊如果一个人养老，要做哪些提前准备</w:t>
      </w:r>
      <w:r>
        <w:rPr>
          <w:rStyle w:val="13"/>
          <w:color w:val="0563C1"/>
        </w:rPr>
        <w:fldChar w:fldCharType="end"/>
      </w:r>
    </w:p>
    <w:p w14:paraId="0E43A2EE">
      <w:pPr>
        <w:spacing w:after="200" w:line="400" w:lineRule="atLeast"/>
      </w:pPr>
      <w:r>
        <w:fldChar w:fldCharType="begin"/>
      </w:r>
      <w:r>
        <w:instrText xml:space="preserve"> HYPERLINK "https://www.statista.com/statistics/612575/japan-population-age-group/?srsltid=AfmBOoo8aFQbHkKL0wZdjk1lUWzEnoYNOE-AhSpESu3Xh2eAaeKt6FuP" \h </w:instrText>
      </w:r>
      <w:r>
        <w:fldChar w:fldCharType="separate"/>
      </w:r>
      <w:r>
        <w:rPr>
          <w:rStyle w:val="13"/>
          <w:color w:val="0563C1"/>
        </w:rPr>
        <w:t>[75,274,289,326,380]. Population of Japan from 2000 to 2020 with a forecast until 2034, by age group (in millions)</w:t>
      </w:r>
      <w:r>
        <w:rPr>
          <w:rStyle w:val="13"/>
          <w:color w:val="0563C1"/>
        </w:rPr>
        <w:fldChar w:fldCharType="end"/>
      </w:r>
    </w:p>
    <w:p w14:paraId="4AABFA74">
      <w:pPr>
        <w:spacing w:after="200" w:line="400" w:lineRule="atLeast"/>
      </w:pPr>
      <w:r>
        <w:fldChar w:fldCharType="begin"/>
      </w:r>
      <w:r>
        <w:instrText xml:space="preserve"> HYPERLINK "https://english.news.cn/20231225/b4708eb1e8b74233befaa25622464332/c.html" \h </w:instrText>
      </w:r>
      <w:r>
        <w:fldChar w:fldCharType="separate"/>
      </w:r>
      <w:r>
        <w:rPr>
          <w:rStyle w:val="13"/>
          <w:color w:val="0563C1"/>
        </w:rPr>
        <w:t>[78,80]. Japan forecasts elderly majority in 25 prefectures by 2050</w:t>
      </w:r>
      <w:r>
        <w:rPr>
          <w:rStyle w:val="13"/>
          <w:color w:val="0563C1"/>
        </w:rPr>
        <w:fldChar w:fldCharType="end"/>
      </w:r>
    </w:p>
    <w:p w14:paraId="26708A15">
      <w:pPr>
        <w:spacing w:after="200" w:line="400" w:lineRule="atLeast"/>
      </w:pPr>
      <w:r>
        <w:fldChar w:fldCharType="begin"/>
      </w:r>
      <w:r>
        <w:instrText xml:space="preserve"> HYPERLINK "https://techfocus.kr/theme/basic/pdf/2014/2014.05.pdf" \h </w:instrText>
      </w:r>
      <w:r>
        <w:fldChar w:fldCharType="separate"/>
      </w:r>
      <w:r>
        <w:rPr>
          <w:rStyle w:val="13"/>
          <w:color w:val="0563C1"/>
        </w:rPr>
        <w:t>[82,411]. 이달의 신기술</w:t>
      </w:r>
      <w:r>
        <w:rPr>
          <w:rStyle w:val="13"/>
          <w:color w:val="0563C1"/>
        </w:rPr>
        <w:fldChar w:fldCharType="end"/>
      </w:r>
    </w:p>
    <w:p w14:paraId="45A54F50">
      <w:pPr>
        <w:spacing w:after="200" w:line="400" w:lineRule="atLeast"/>
      </w:pPr>
      <w:r>
        <w:fldChar w:fldCharType="begin"/>
      </w:r>
      <w:r>
        <w:instrText xml:space="preserve"> HYPERLINK "https://www.sohu.com/a/947194104_121123885" \h </w:instrText>
      </w:r>
      <w:r>
        <w:fldChar w:fldCharType="separate"/>
      </w:r>
      <w:r>
        <w:rPr>
          <w:rStyle w:val="13"/>
          <w:color w:val="0563C1"/>
        </w:rPr>
        <w:t>[83,414]. 日本康养养老市场报告：8000亿市场背后的红利与模式拆解！</w:t>
      </w:r>
      <w:r>
        <w:rPr>
          <w:rStyle w:val="13"/>
          <w:color w:val="0563C1"/>
        </w:rPr>
        <w:fldChar w:fldCharType="end"/>
      </w:r>
    </w:p>
    <w:p w14:paraId="0A70E14B">
      <w:pPr>
        <w:spacing w:after="200" w:line="400" w:lineRule="atLeast"/>
      </w:pPr>
      <w:r>
        <w:fldChar w:fldCharType="begin"/>
      </w:r>
      <w:r>
        <w:instrText xml:space="preserve"> HYPERLINK "https://www.khidi.or.kr/kohes/fileDownload?titleId=495467&amp;fileId=1&amp;fileDownType=C&amp;paramMenuId=MENU00316" \h </w:instrText>
      </w:r>
      <w:r>
        <w:fldChar w:fldCharType="separate"/>
      </w:r>
      <w:r>
        <w:rPr>
          <w:rStyle w:val="13"/>
          <w:color w:val="0563C1"/>
        </w:rPr>
        <w:t>[85,372,405]. Monitoring Brief 고령친화산업 AI, IoT 등을 접목한 Age Tech 산업동향 - 일본·중국 -</w:t>
      </w:r>
      <w:r>
        <w:rPr>
          <w:rStyle w:val="13"/>
          <w:color w:val="0563C1"/>
        </w:rPr>
        <w:fldChar w:fldCharType="end"/>
      </w:r>
    </w:p>
    <w:p w14:paraId="04884B98">
      <w:pPr>
        <w:spacing w:after="200" w:line="400" w:lineRule="atLeast"/>
      </w:pPr>
      <w:r>
        <w:fldChar w:fldCharType="begin"/>
      </w:r>
      <w:r>
        <w:instrText xml:space="preserve"> HYPERLINK "https://www.imarcgroup.com/japan-elderly-care-products-market" \h </w:instrText>
      </w:r>
      <w:r>
        <w:fldChar w:fldCharType="separate"/>
      </w:r>
      <w:r>
        <w:rPr>
          <w:rStyle w:val="13"/>
          <w:color w:val="0563C1"/>
        </w:rPr>
        <w:t>[86,341,344,408]. Japan Elderly Care Products Market Size</w:t>
      </w:r>
      <w:r>
        <w:rPr>
          <w:rStyle w:val="13"/>
          <w:color w:val="0563C1"/>
        </w:rPr>
        <w:fldChar w:fldCharType="end"/>
      </w:r>
    </w:p>
    <w:p w14:paraId="0334A628">
      <w:pPr>
        <w:spacing w:after="200" w:line="400" w:lineRule="atLeast"/>
      </w:pPr>
      <w:r>
        <w:fldChar w:fldCharType="begin"/>
      </w:r>
      <w:r>
        <w:instrText xml:space="preserve"> HYPERLINK "https://mainichigahakken.net/release/detail.php?id=90036" \h </w:instrText>
      </w:r>
      <w:r>
        <w:fldChar w:fldCharType="separate"/>
      </w:r>
      <w:r>
        <w:rPr>
          <w:rStyle w:val="13"/>
          <w:color w:val="0563C1"/>
        </w:rPr>
        <w:t>[87]. 日本高齢者介護サービス市場規模（～2030）：訪問介護、成人デイケア、施設介護</w:t>
      </w:r>
      <w:r>
        <w:rPr>
          <w:rStyle w:val="13"/>
          <w:color w:val="0563C1"/>
        </w:rPr>
        <w:fldChar w:fldCharType="end"/>
      </w:r>
    </w:p>
    <w:p w14:paraId="77864A73">
      <w:pPr>
        <w:spacing w:after="200" w:line="400" w:lineRule="atLeast"/>
      </w:pPr>
      <w:r>
        <w:fldChar w:fldCharType="begin"/>
      </w:r>
      <w:r>
        <w:instrText xml:space="preserve"> HYPERLINK "https://www.smartliving-germany.de/wp-content/uploads/2022/07/SmartLiving2Market2022.pdf" \h </w:instrText>
      </w:r>
      <w:r>
        <w:fldChar w:fldCharType="separate"/>
      </w:r>
      <w:r>
        <w:rPr>
          <w:rStyle w:val="13"/>
          <w:color w:val="0563C1"/>
        </w:rPr>
        <w:t>[89]. SmartLiving2Market 2022</w:t>
      </w:r>
      <w:r>
        <w:rPr>
          <w:rStyle w:val="13"/>
          <w:color w:val="0563C1"/>
        </w:rPr>
        <w:fldChar w:fldCharType="end"/>
      </w:r>
    </w:p>
    <w:p w14:paraId="62E629D1">
      <w:pPr>
        <w:spacing w:after="200" w:line="400" w:lineRule="atLeast"/>
      </w:pPr>
      <w:r>
        <w:fldChar w:fldCharType="begin"/>
      </w:r>
      <w:r>
        <w:instrText xml:space="preserve"> HYPERLINK "http://www.cnsf99.com/filespath/files/xiazaizhuanqu/Pension%20Daily%2020171123.pdf" \h </w:instrText>
      </w:r>
      <w:r>
        <w:fldChar w:fldCharType="separate"/>
      </w:r>
      <w:r>
        <w:rPr>
          <w:rStyle w:val="13"/>
          <w:color w:val="0563C1"/>
        </w:rPr>
        <w:t>[90]. 每日养老资讯</w:t>
      </w:r>
      <w:r>
        <w:rPr>
          <w:rStyle w:val="13"/>
          <w:color w:val="0563C1"/>
        </w:rPr>
        <w:fldChar w:fldCharType="end"/>
      </w:r>
    </w:p>
    <w:p w14:paraId="429400BE">
      <w:pPr>
        <w:spacing w:after="200" w:line="400" w:lineRule="atLeast"/>
      </w:pPr>
      <w:r>
        <w:fldChar w:fldCharType="begin"/>
      </w:r>
      <w:r>
        <w:instrText xml:space="preserve"> HYPERLINK "https://idg-waseda.jp/pdf/2025_Digital_Government_Ranking_Report.pdf" \h </w:instrText>
      </w:r>
      <w:r>
        <w:fldChar w:fldCharType="separate"/>
      </w:r>
      <w:r>
        <w:rPr>
          <w:rStyle w:val="13"/>
          <w:color w:val="0563C1"/>
        </w:rPr>
        <w:t>[91,436]. The 20th World Digital Government Rankings 2025 Edition Released</w:t>
      </w:r>
      <w:r>
        <w:rPr>
          <w:rStyle w:val="13"/>
          <w:color w:val="0563C1"/>
        </w:rPr>
        <w:fldChar w:fldCharType="end"/>
      </w:r>
    </w:p>
    <w:p w14:paraId="738FC2AD">
      <w:pPr>
        <w:spacing w:after="200" w:line="400" w:lineRule="atLeast"/>
      </w:pPr>
      <w:r>
        <w:fldChar w:fldCharType="begin"/>
      </w:r>
      <w:r>
        <w:instrText xml:space="preserve"> HYPERLINK "https://cdnw8.eu-japan.eu/sites/default/files/imce/business_programmes/Bio/Expert_Presentation_9September2024_revised.pdf" \h </w:instrText>
      </w:r>
      <w:r>
        <w:fldChar w:fldCharType="separate"/>
      </w:r>
      <w:r>
        <w:rPr>
          <w:rStyle w:val="13"/>
          <w:color w:val="0563C1"/>
        </w:rPr>
        <w:t>[93]. Introduction to Japanese Biotech Industry</w:t>
      </w:r>
      <w:r>
        <w:rPr>
          <w:rStyle w:val="13"/>
          <w:color w:val="0563C1"/>
        </w:rPr>
        <w:fldChar w:fldCharType="end"/>
      </w:r>
    </w:p>
    <w:p w14:paraId="04037568">
      <w:pPr>
        <w:spacing w:after="200" w:line="400" w:lineRule="atLeast"/>
      </w:pPr>
      <w:r>
        <w:fldChar w:fldCharType="begin"/>
      </w:r>
      <w:r>
        <w:instrText xml:space="preserve"> HYPERLINK "https://www.asiancfea.org/userfiles/file/2025ACFEA/CR9.pdf" \h </w:instrText>
      </w:r>
      <w:r>
        <w:fldChar w:fldCharType="separate"/>
      </w:r>
      <w:r>
        <w:rPr>
          <w:rStyle w:val="13"/>
          <w:color w:val="0563C1"/>
        </w:rPr>
        <w:t>[94]. Country Report: Demographic and Consumption Trends in Japan</w:t>
      </w:r>
      <w:r>
        <w:rPr>
          <w:rStyle w:val="13"/>
          <w:color w:val="0563C1"/>
        </w:rPr>
        <w:fldChar w:fldCharType="end"/>
      </w:r>
    </w:p>
    <w:p w14:paraId="4386D3B2">
      <w:pPr>
        <w:spacing w:after="200" w:line="400" w:lineRule="atLeast"/>
      </w:pPr>
      <w:r>
        <w:fldChar w:fldCharType="begin"/>
      </w:r>
      <w:r>
        <w:instrText xml:space="preserve"> HYPERLINK "https://jwj-qs.jp/wp-content/uploads/2025/02/JWJ-QS-Study-Report-sec1-4-v2.1.pdf" \h </w:instrText>
      </w:r>
      <w:r>
        <w:fldChar w:fldCharType="separate"/>
      </w:r>
      <w:r>
        <w:rPr>
          <w:rStyle w:val="13"/>
          <w:color w:val="0563C1"/>
        </w:rPr>
        <w:t>[95]. Jehovah's Witnesses in Japan—A Quantitative Study</w:t>
      </w:r>
      <w:r>
        <w:rPr>
          <w:rStyle w:val="13"/>
          <w:color w:val="0563C1"/>
        </w:rPr>
        <w:fldChar w:fldCharType="end"/>
      </w:r>
    </w:p>
    <w:p w14:paraId="4612841E">
      <w:pPr>
        <w:spacing w:after="200" w:line="400" w:lineRule="atLeast"/>
      </w:pPr>
      <w:r>
        <w:fldChar w:fldCharType="begin"/>
      </w:r>
      <w:r>
        <w:instrText xml:space="preserve"> HYPERLINK "https://www.pictet.com/content/dam/www/documents/publications/pictet-research-institute/Demographics-and-technology-publication.pdf.coredownload.pdf" \h </w:instrText>
      </w:r>
      <w:r>
        <w:fldChar w:fldCharType="separate"/>
      </w:r>
      <w:r>
        <w:rPr>
          <w:rStyle w:val="13"/>
          <w:color w:val="0563C1"/>
        </w:rPr>
        <w:t>[96,98]. Demographics and technology</w:t>
      </w:r>
      <w:r>
        <w:rPr>
          <w:rStyle w:val="13"/>
          <w:color w:val="0563C1"/>
        </w:rPr>
        <w:fldChar w:fldCharType="end"/>
      </w:r>
    </w:p>
    <w:p w14:paraId="0571C436">
      <w:pPr>
        <w:spacing w:after="200" w:line="400" w:lineRule="atLeast"/>
      </w:pPr>
      <w:r>
        <w:fldChar w:fldCharType="begin"/>
      </w:r>
      <w:r>
        <w:instrText xml:space="preserve"> HYPERLINK "https://www.univ.gakushuin.ac.jp/iss/iss_headline/docs/2024_GT01_sakogoshi.pdf" \h </w:instrText>
      </w:r>
      <w:r>
        <w:fldChar w:fldCharType="separate"/>
      </w:r>
      <w:r>
        <w:rPr>
          <w:rStyle w:val="13"/>
          <w:color w:val="0563C1"/>
        </w:rPr>
        <w:t>[97]. An Exploratory Study on Promoting New Consumptions of Elderly Consumers: How to Break Stereotypes and Threats against Elderly</w:t>
      </w:r>
      <w:r>
        <w:rPr>
          <w:rStyle w:val="13"/>
          <w:color w:val="0563C1"/>
        </w:rPr>
        <w:fldChar w:fldCharType="end"/>
      </w:r>
    </w:p>
    <w:p w14:paraId="79F2E067">
      <w:pPr>
        <w:spacing w:after="200" w:line="400" w:lineRule="atLeast"/>
      </w:pPr>
      <w:r>
        <w:fldChar w:fldCharType="begin"/>
      </w:r>
      <w:r>
        <w:instrText xml:space="preserve"> HYPERLINK "https://files.metaso.cn/api/public-file/preview?fileName=8682938423847849984.pdf" \h </w:instrText>
      </w:r>
      <w:r>
        <w:fldChar w:fldCharType="separate"/>
      </w:r>
      <w:r>
        <w:rPr>
          <w:rStyle w:val="13"/>
          <w:color w:val="0563C1"/>
        </w:rPr>
        <w:t>[99,103,179,427,429]. Dependency and depopulation? Confronting the consequences of a new demographic reality</w:t>
      </w:r>
      <w:r>
        <w:rPr>
          <w:rStyle w:val="13"/>
          <w:color w:val="0563C1"/>
        </w:rPr>
        <w:fldChar w:fldCharType="end"/>
      </w:r>
    </w:p>
    <w:p w14:paraId="186474AC">
      <w:pPr>
        <w:spacing w:after="200" w:line="400" w:lineRule="atLeast"/>
      </w:pPr>
      <w:r>
        <w:fldChar w:fldCharType="begin"/>
      </w:r>
      <w:r>
        <w:instrText xml:space="preserve"> HYPERLINK "https://files.metaso.cn/api/public-file/preview?fileName=8682576440903606272.pdf" \h </w:instrText>
      </w:r>
      <w:r>
        <w:fldChar w:fldCharType="separate"/>
      </w:r>
      <w:r>
        <w:rPr>
          <w:rStyle w:val="13"/>
          <w:color w:val="0563C1"/>
        </w:rPr>
        <w:t>[100,114]. Ageing and Financial Markets - A Literature Survey</w:t>
      </w:r>
      <w:r>
        <w:rPr>
          <w:rStyle w:val="13"/>
          <w:color w:val="0563C1"/>
        </w:rPr>
        <w:fldChar w:fldCharType="end"/>
      </w:r>
    </w:p>
    <w:p w14:paraId="5325235B">
      <w:pPr>
        <w:spacing w:after="200" w:line="400" w:lineRule="atLeast"/>
      </w:pPr>
      <w:r>
        <w:fldChar w:fldCharType="begin"/>
      </w:r>
      <w:r>
        <w:instrText xml:space="preserve"> HYPERLINK "https://sagirikitao.github.io/mywebsite/kitao_ADBI.pdf" \h </w:instrText>
      </w:r>
      <w:r>
        <w:fldChar w:fldCharType="separate"/>
      </w:r>
      <w:r>
        <w:rPr>
          <w:rStyle w:val="13"/>
          <w:color w:val="0563C1"/>
        </w:rPr>
        <w:t>[101,111]. Navigating Demographic Aging and Macroeconomic Growth in Asia: Lessons from Japan’s Experience</w:t>
      </w:r>
      <w:r>
        <w:rPr>
          <w:rStyle w:val="13"/>
          <w:color w:val="0563C1"/>
        </w:rPr>
        <w:fldChar w:fldCharType="end"/>
      </w:r>
    </w:p>
    <w:p w14:paraId="4F584C52">
      <w:pPr>
        <w:spacing w:after="200" w:line="400" w:lineRule="atLeast"/>
      </w:pPr>
      <w:r>
        <w:fldChar w:fldCharType="begin"/>
      </w:r>
      <w:r>
        <w:instrText xml:space="preserve"> HYPERLINK "https://files.metaso.cn/api/public-file/preview?fileName=8693466778289074176.pdf" \h </w:instrText>
      </w:r>
      <w:r>
        <w:fldChar w:fldCharType="separate"/>
      </w:r>
      <w:r>
        <w:rPr>
          <w:rStyle w:val="13"/>
          <w:color w:val="0563C1"/>
        </w:rPr>
        <w:t>[102]. 当你老了：居民养老的经济学分析</w:t>
      </w:r>
      <w:r>
        <w:rPr>
          <w:rStyle w:val="13"/>
          <w:color w:val="0563C1"/>
        </w:rPr>
        <w:fldChar w:fldCharType="end"/>
      </w:r>
    </w:p>
    <w:p w14:paraId="3643B45A">
      <w:pPr>
        <w:spacing w:after="200" w:line="400" w:lineRule="atLeast"/>
      </w:pPr>
      <w:r>
        <w:fldChar w:fldCharType="begin"/>
      </w:r>
      <w:r>
        <w:instrText xml:space="preserve"> HYPERLINK "https://ageconsearch.umn.edu/record/374815/files/vol13.no2.pp125.pdf" \h </w:instrText>
      </w:r>
      <w:r>
        <w:fldChar w:fldCharType="separate"/>
      </w:r>
      <w:r>
        <w:rPr>
          <w:rStyle w:val="13"/>
          <w:color w:val="0563C1"/>
        </w:rPr>
        <w:t>[104,106,254,255,257,265,388,426,428]. PRIORITIZING FOOD CONSUMPTION IN JAPAN: FACTORS OF UPTURN OF ENGEL'S COEFFICIENT</w:t>
      </w:r>
      <w:r>
        <w:rPr>
          <w:rStyle w:val="13"/>
          <w:color w:val="0563C1"/>
        </w:rPr>
        <w:fldChar w:fldCharType="end"/>
      </w:r>
    </w:p>
    <w:p w14:paraId="55FF26C2">
      <w:pPr>
        <w:spacing w:after="200" w:line="400" w:lineRule="atLeast"/>
      </w:pPr>
      <w:r>
        <w:fldChar w:fldCharType="begin"/>
      </w:r>
      <w:r>
        <w:instrText xml:space="preserve"> HYPERLINK "https://www.imf.org/-/media/files/publications/wp/2025/english/wpiea2025247-source-pdf.pdf" \h </w:instrText>
      </w:r>
      <w:r>
        <w:fldChar w:fldCharType="separate"/>
      </w:r>
      <w:r>
        <w:rPr>
          <w:rStyle w:val="13"/>
          <w:color w:val="0563C1"/>
        </w:rPr>
        <w:t>[105,113]. Demographics and Consumption in Asia Toward 2050</w:t>
      </w:r>
      <w:r>
        <w:rPr>
          <w:rStyle w:val="13"/>
          <w:color w:val="0563C1"/>
        </w:rPr>
        <w:fldChar w:fldCharType="end"/>
      </w:r>
    </w:p>
    <w:p w14:paraId="60916306">
      <w:pPr>
        <w:spacing w:after="200" w:line="400" w:lineRule="atLeast"/>
      </w:pPr>
      <w:r>
        <w:fldChar w:fldCharType="begin"/>
      </w:r>
      <w:r>
        <w:instrText xml:space="preserve"> HYPERLINK "https://www.works-i.com/research/report/item/turningpoint_e.pdf" \h </w:instrText>
      </w:r>
      <w:r>
        <w:fldChar w:fldCharType="separate"/>
      </w:r>
      <w:r>
        <w:rPr>
          <w:rStyle w:val="13"/>
          <w:color w:val="0563C1"/>
        </w:rPr>
        <w:t>[107,108,168,169]. Beyond the Lewis Turning Point: How Japan's Aging Population Is Reshaping Work</w:t>
      </w:r>
      <w:r>
        <w:rPr>
          <w:rStyle w:val="13"/>
          <w:color w:val="0563C1"/>
        </w:rPr>
        <w:fldChar w:fldCharType="end"/>
      </w:r>
    </w:p>
    <w:p w14:paraId="5C5F942D">
      <w:pPr>
        <w:spacing w:after="200" w:line="400" w:lineRule="atLeast"/>
      </w:pPr>
      <w:r>
        <w:fldChar w:fldCharType="begin"/>
      </w:r>
      <w:r>
        <w:instrText xml:space="preserve"> HYPERLINK "https://www.japanpolicyforum.jp/pdf/2021/no63/DJweb_63_eco_08.pdf" \h </w:instrText>
      </w:r>
      <w:r>
        <w:fldChar w:fldCharType="separate"/>
      </w:r>
      <w:r>
        <w:rPr>
          <w:rStyle w:val="13"/>
          <w:color w:val="0563C1"/>
        </w:rPr>
        <w:t>[109]. Current Status and Challenges of the Japanese Economy</w:t>
      </w:r>
      <w:r>
        <w:rPr>
          <w:rStyle w:val="13"/>
          <w:color w:val="0563C1"/>
        </w:rPr>
        <w:fldChar w:fldCharType="end"/>
      </w:r>
    </w:p>
    <w:p w14:paraId="1857EFFD">
      <w:pPr>
        <w:spacing w:after="200" w:line="400" w:lineRule="atLeast"/>
      </w:pPr>
      <w:r>
        <w:fldChar w:fldCharType="begin"/>
      </w:r>
      <w:r>
        <w:instrText xml:space="preserve"> HYPERLINK "https://www5.cao.go.jp/keizai3/2024/0212nk/24youyaku.pdf" \h </w:instrText>
      </w:r>
      <w:r>
        <w:fldChar w:fldCharType="separate"/>
      </w:r>
      <w:r>
        <w:rPr>
          <w:rStyle w:val="13"/>
          <w:color w:val="0563C1"/>
        </w:rPr>
        <w:t>[110]. 2024年度日本経済レポート</w:t>
      </w:r>
      <w:r>
        <w:rPr>
          <w:rStyle w:val="13"/>
          <w:color w:val="0563C1"/>
        </w:rPr>
        <w:fldChar w:fldCharType="end"/>
      </w:r>
    </w:p>
    <w:p w14:paraId="03136144">
      <w:pPr>
        <w:spacing w:after="200" w:line="400" w:lineRule="atLeast"/>
      </w:pPr>
      <w:r>
        <w:fldChar w:fldCharType="begin"/>
      </w:r>
      <w:r>
        <w:instrText xml:space="preserve"> HYPERLINK "https://files.metaso.cn/api/public-file/preview?fileName=8682576383078051840.pdf" \h </w:instrText>
      </w:r>
      <w:r>
        <w:fldChar w:fldCharType="separate"/>
      </w:r>
      <w:r>
        <w:rPr>
          <w:rStyle w:val="13"/>
          <w:color w:val="0563C1"/>
        </w:rPr>
        <w:t>[112]. 消费洞察系列： "银发经济"的黄金时代</w:t>
      </w:r>
      <w:r>
        <w:rPr>
          <w:rStyle w:val="13"/>
          <w:color w:val="0563C1"/>
        </w:rPr>
        <w:fldChar w:fldCharType="end"/>
      </w:r>
    </w:p>
    <w:p w14:paraId="7ECFB899">
      <w:pPr>
        <w:spacing w:after="200" w:line="400" w:lineRule="atLeast"/>
      </w:pPr>
      <w:r>
        <w:fldChar w:fldCharType="begin"/>
      </w:r>
      <w:r>
        <w:instrText xml:space="preserve"> HYPERLINK "https://www.chugin-fg.co.jp/up_load_files/en/ir/presentations/202503_ERB_Ref.pdf" \h </w:instrText>
      </w:r>
      <w:r>
        <w:fldChar w:fldCharType="separate"/>
      </w:r>
      <w:r>
        <w:rPr>
          <w:rStyle w:val="13"/>
          <w:color w:val="0563C1"/>
        </w:rPr>
        <w:t>[115,392]. FY2024 Earnings Results Briefing (References)</w:t>
      </w:r>
      <w:r>
        <w:rPr>
          <w:rStyle w:val="13"/>
          <w:color w:val="0563C1"/>
        </w:rPr>
        <w:fldChar w:fldCharType="end"/>
      </w:r>
    </w:p>
    <w:p w14:paraId="010B3D52">
      <w:pPr>
        <w:spacing w:after="200" w:line="400" w:lineRule="atLeast"/>
      </w:pPr>
      <w:r>
        <w:fldChar w:fldCharType="begin"/>
      </w:r>
      <w:r>
        <w:instrText xml:space="preserve"> HYPERLINK "https://www.ms-ad-hd.com/en/csr/report/main/05/teaserItems1/0/linkList/0/link/sus_report2024_e.pdf" \h </w:instrText>
      </w:r>
      <w:r>
        <w:fldChar w:fldCharType="separate"/>
      </w:r>
      <w:r>
        <w:rPr>
          <w:rStyle w:val="13"/>
          <w:color w:val="0563C1"/>
        </w:rPr>
        <w:t>[116]. MS &amp; AD Sustainability Report 2024</w:t>
      </w:r>
      <w:r>
        <w:rPr>
          <w:rStyle w:val="13"/>
          <w:color w:val="0563C1"/>
        </w:rPr>
        <w:fldChar w:fldCharType="end"/>
      </w:r>
    </w:p>
    <w:p w14:paraId="65018E95">
      <w:pPr>
        <w:spacing w:after="200" w:line="400" w:lineRule="atLeast"/>
      </w:pPr>
      <w:r>
        <w:fldChar w:fldCharType="begin"/>
      </w:r>
      <w:r>
        <w:instrText xml:space="preserve"> HYPERLINK "https://www.hopeconference.net/conferences/files/2023-11-15/2023-11-15.pdf" \h </w:instrText>
      </w:r>
      <w:r>
        <w:fldChar w:fldCharType="separate"/>
      </w:r>
      <w:r>
        <w:rPr>
          <w:rStyle w:val="13"/>
          <w:color w:val="0563C1"/>
        </w:rPr>
        <w:t>[117,120]. ATTITUDES TOWARD END-OF-LIFE AMONG JAPANESE OLDER ADULTS: AN OVERVIEW OF THE EMPIRICAL FINDINGS AND THE PRACTICAL TOOL</w:t>
      </w:r>
      <w:r>
        <w:rPr>
          <w:rStyle w:val="13"/>
          <w:color w:val="0563C1"/>
        </w:rPr>
        <w:fldChar w:fldCharType="end"/>
      </w:r>
    </w:p>
    <w:p w14:paraId="6A17A55C">
      <w:pPr>
        <w:spacing w:after="200" w:line="400" w:lineRule="atLeast"/>
      </w:pPr>
      <w:r>
        <w:fldChar w:fldCharType="begin"/>
      </w:r>
      <w:r>
        <w:instrText xml:space="preserve"> HYPERLINK "https://www8.cao.go.jp/kourei/english/annualreport/2024/pdf/2024.pdf" \h </w:instrText>
      </w:r>
      <w:r>
        <w:fldChar w:fldCharType="separate"/>
      </w:r>
      <w:r>
        <w:rPr>
          <w:rStyle w:val="13"/>
          <w:color w:val="0563C1"/>
        </w:rPr>
        <w:t>[121,126]. Annual Report on the Ageing Society [Summary] FY2024</w:t>
      </w:r>
      <w:r>
        <w:rPr>
          <w:rStyle w:val="13"/>
          <w:color w:val="0563C1"/>
        </w:rPr>
        <w:fldChar w:fldCharType="end"/>
      </w:r>
    </w:p>
    <w:p w14:paraId="419B8924">
      <w:pPr>
        <w:spacing w:after="200" w:line="400" w:lineRule="atLeast"/>
      </w:pPr>
      <w:r>
        <w:fldChar w:fldCharType="begin"/>
      </w:r>
      <w:r>
        <w:instrText xml:space="preserve"> HYPERLINK "https://files.jvnf.or.jp/files/user/kenkyu/R6/2024_hawaii_report.pdf" \h </w:instrText>
      </w:r>
      <w:r>
        <w:fldChar w:fldCharType="separate"/>
      </w:r>
      <w:r>
        <w:rPr>
          <w:rStyle w:val="13"/>
          <w:color w:val="0563C1"/>
        </w:rPr>
        <w:t>[123]. 2024年度ハワイ海外研修報告書</w:t>
      </w:r>
      <w:r>
        <w:rPr>
          <w:rStyle w:val="13"/>
          <w:color w:val="0563C1"/>
        </w:rPr>
        <w:fldChar w:fldCharType="end"/>
      </w:r>
    </w:p>
    <w:p w14:paraId="7B24F723">
      <w:pPr>
        <w:spacing w:after="200" w:line="400" w:lineRule="atLeast"/>
      </w:pPr>
      <w:r>
        <w:fldChar w:fldCharType="begin"/>
      </w:r>
      <w:r>
        <w:instrText xml:space="preserve"> HYPERLINK "http://www.jinken.or.jp/wp-content/uploads/2021/02/mihon_J02_P2-P3.pdf" \h </w:instrText>
      </w:r>
      <w:r>
        <w:fldChar w:fldCharType="separate"/>
      </w:r>
      <w:r>
        <w:rPr>
          <w:rStyle w:val="13"/>
          <w:color w:val="0563C1"/>
        </w:rPr>
        <w:t>[124,129,135,391]. 高齢社会の現状</w:t>
      </w:r>
      <w:r>
        <w:rPr>
          <w:rStyle w:val="13"/>
          <w:color w:val="0563C1"/>
        </w:rPr>
        <w:fldChar w:fldCharType="end"/>
      </w:r>
    </w:p>
    <w:p w14:paraId="37CA20ED">
      <w:pPr>
        <w:spacing w:after="200" w:line="400" w:lineRule="atLeast"/>
      </w:pPr>
      <w:r>
        <w:fldChar w:fldCharType="begin"/>
      </w:r>
      <w:r>
        <w:instrText xml:space="preserve"> HYPERLINK "https://www.ewadirect.com/proceedings/aemps/article/view/19782" \h </w:instrText>
      </w:r>
      <w:r>
        <w:fldChar w:fldCharType="separate"/>
      </w:r>
      <w:r>
        <w:rPr>
          <w:rStyle w:val="13"/>
          <w:color w:val="0563C1"/>
        </w:rPr>
        <w:t>[127,131]. An Exploration of the Impact of Macroeconomic Policies on the Labor Market in the Context of Aging--Taking Japan as an Example</w:t>
      </w:r>
      <w:r>
        <w:rPr>
          <w:rStyle w:val="13"/>
          <w:color w:val="0563C1"/>
        </w:rPr>
        <w:fldChar w:fldCharType="end"/>
      </w:r>
    </w:p>
    <w:p w14:paraId="2352D61E">
      <w:pPr>
        <w:spacing w:after="200" w:line="400" w:lineRule="atLeast"/>
      </w:pPr>
      <w:r>
        <w:fldChar w:fldCharType="begin"/>
      </w:r>
      <w:r>
        <w:instrText xml:space="preserve"> HYPERLINK "https://links.sgx.com/1.0.0/corporate-announcements/8JJ6RAFULEZQ96TV/838170_First_REIT_Annual_Report.pdf" \h </w:instrText>
      </w:r>
      <w:r>
        <w:fldChar w:fldCharType="separate"/>
      </w:r>
      <w:r>
        <w:rPr>
          <w:rStyle w:val="13"/>
          <w:color w:val="0563C1"/>
        </w:rPr>
        <w:t>[128]. Resilience In Every Step Annual Report 2024</w:t>
      </w:r>
      <w:r>
        <w:rPr>
          <w:rStyle w:val="13"/>
          <w:color w:val="0563C1"/>
        </w:rPr>
        <w:fldChar w:fldCharType="end"/>
      </w:r>
    </w:p>
    <w:p w14:paraId="1989B9F3">
      <w:pPr>
        <w:spacing w:after="200" w:line="400" w:lineRule="atLeast"/>
      </w:pPr>
      <w:r>
        <w:fldChar w:fldCharType="begin"/>
      </w:r>
      <w:r>
        <w:instrText xml:space="preserve"> HYPERLINK "https://population-pyramid.net/en/pp/japan" \h </w:instrText>
      </w:r>
      <w:r>
        <w:fldChar w:fldCharType="separate"/>
      </w:r>
      <w:r>
        <w:rPr>
          <w:rStyle w:val="13"/>
          <w:color w:val="0563C1"/>
        </w:rPr>
        <w:t>[130,133]. Population Pyramid of Japan at 2024</w:t>
      </w:r>
      <w:r>
        <w:rPr>
          <w:rStyle w:val="13"/>
          <w:color w:val="0563C1"/>
        </w:rPr>
        <w:fldChar w:fldCharType="end"/>
      </w:r>
    </w:p>
    <w:p w14:paraId="66E2B085">
      <w:pPr>
        <w:spacing w:after="200" w:line="400" w:lineRule="atLeast"/>
      </w:pPr>
      <w:r>
        <w:fldChar w:fldCharType="begin"/>
      </w:r>
      <w:r>
        <w:instrText xml:space="preserve"> HYPERLINK "https://firstreit.listedcompany.com/misc/Financial/2023/Presentation-1H23.pdf" \h </w:instrText>
      </w:r>
      <w:r>
        <w:fldChar w:fldCharType="separate"/>
      </w:r>
      <w:r>
        <w:rPr>
          <w:rStyle w:val="13"/>
          <w:color w:val="0563C1"/>
        </w:rPr>
        <w:t>[132]. 1H 2023 FINANCIAL RESULTS</w:t>
      </w:r>
      <w:r>
        <w:rPr>
          <w:rStyle w:val="13"/>
          <w:color w:val="0563C1"/>
        </w:rPr>
        <w:fldChar w:fldCharType="end"/>
      </w:r>
    </w:p>
    <w:p w14:paraId="2E1FBF14">
      <w:pPr>
        <w:spacing w:after="200" w:line="400" w:lineRule="atLeast"/>
      </w:pPr>
      <w:r>
        <w:fldChar w:fldCharType="begin"/>
      </w:r>
      <w:r>
        <w:instrText xml:space="preserve"> HYPERLINK "https://businessinmalopolska.pl/uploads/pdf/events/event-2025-05-06/1.-japonia-businessmalopolska-06-05-2025.pdf" \h </w:instrText>
      </w:r>
      <w:r>
        <w:fldChar w:fldCharType="separate"/>
      </w:r>
      <w:r>
        <w:rPr>
          <w:rStyle w:val="13"/>
          <w:color w:val="0563C1"/>
        </w:rPr>
        <w:t>[147]. Japonia: Miejsce Japonii na ekonomicznej mapie świata - kluczowe informacje o kraju, gospodarce i perspektywach dla branż</w:t>
      </w:r>
      <w:r>
        <w:rPr>
          <w:rStyle w:val="13"/>
          <w:color w:val="0563C1"/>
        </w:rPr>
        <w:fldChar w:fldCharType="end"/>
      </w:r>
    </w:p>
    <w:p w14:paraId="0C6941A1">
      <w:pPr>
        <w:spacing w:after="200" w:line="400" w:lineRule="atLeast"/>
      </w:pPr>
      <w:r>
        <w:fldChar w:fldCharType="begin"/>
      </w:r>
      <w:r>
        <w:instrText xml:space="preserve"> HYPERLINK "https://files.metaso.cn/api/public-file/preview?fileName=8689524219604164609.pdf" \h </w:instrText>
      </w:r>
      <w:r>
        <w:fldChar w:fldCharType="separate"/>
      </w:r>
      <w:r>
        <w:rPr>
          <w:rStyle w:val="13"/>
          <w:color w:val="0563C1"/>
        </w:rPr>
        <w:t>[155,156]. Takaichi administration's stance on 'wise spending' to be tested</w:t>
      </w:r>
      <w:r>
        <w:rPr>
          <w:rStyle w:val="13"/>
          <w:color w:val="0563C1"/>
        </w:rPr>
        <w:fldChar w:fldCharType="end"/>
      </w:r>
    </w:p>
    <w:p w14:paraId="0BA98D44">
      <w:pPr>
        <w:spacing w:after="200" w:line="400" w:lineRule="atLeast"/>
      </w:pPr>
      <w:r>
        <w:fldChar w:fldCharType="begin"/>
      </w:r>
      <w:r>
        <w:instrText xml:space="preserve"> HYPERLINK "https://wtocenter.vn/rcep-market/26499-consumer-characteristics-in-japan" \h </w:instrText>
      </w:r>
      <w:r>
        <w:fldChar w:fldCharType="separate"/>
      </w:r>
      <w:r>
        <w:rPr>
          <w:rStyle w:val="13"/>
          <w:color w:val="0563C1"/>
        </w:rPr>
        <w:t>[157]. Consumer characteristics in Japan</w:t>
      </w:r>
      <w:r>
        <w:rPr>
          <w:rStyle w:val="13"/>
          <w:color w:val="0563C1"/>
        </w:rPr>
        <w:fldChar w:fldCharType="end"/>
      </w:r>
    </w:p>
    <w:p w14:paraId="3145A351">
      <w:pPr>
        <w:spacing w:after="200" w:line="400" w:lineRule="atLeast"/>
      </w:pPr>
      <w:r>
        <w:fldChar w:fldCharType="begin"/>
      </w:r>
      <w:r>
        <w:instrText xml:space="preserve"> HYPERLINK "https://files.metaso.cn/api/public-file/preview?fileName=8682583412281847808.pdf" \h </w:instrText>
      </w:r>
      <w:r>
        <w:fldChar w:fldCharType="separate"/>
      </w:r>
      <w:r>
        <w:rPr>
          <w:rStyle w:val="13"/>
          <w:color w:val="0563C1"/>
        </w:rPr>
        <w:t>[158]. 2024年拥抱人口转型：老龄化世界中的健康与财富研究报告</w:t>
      </w:r>
      <w:r>
        <w:rPr>
          <w:rStyle w:val="13"/>
          <w:color w:val="0563C1"/>
        </w:rPr>
        <w:fldChar w:fldCharType="end"/>
      </w:r>
    </w:p>
    <w:p w14:paraId="112D5188">
      <w:pPr>
        <w:spacing w:after="200" w:line="400" w:lineRule="atLeast"/>
      </w:pPr>
      <w:r>
        <w:fldChar w:fldCharType="begin"/>
      </w:r>
      <w:r>
        <w:instrText xml:space="preserve"> HYPERLINK "https://www.hiroshima-kokuhoren.or.jp/profile/pdf/mid_term2.pdf" \h </w:instrText>
      </w:r>
      <w:r>
        <w:fldChar w:fldCharType="separate"/>
      </w:r>
      <w:r>
        <w:rPr>
          <w:rStyle w:val="13"/>
          <w:color w:val="0563C1"/>
        </w:rPr>
        <w:t>[159]. 中期経営計画（第２次）</w:t>
      </w:r>
      <w:r>
        <w:rPr>
          <w:rStyle w:val="13"/>
          <w:color w:val="0563C1"/>
        </w:rPr>
        <w:fldChar w:fldCharType="end"/>
      </w:r>
    </w:p>
    <w:p w14:paraId="6939B5B0">
      <w:pPr>
        <w:spacing w:after="200" w:line="400" w:lineRule="atLeast"/>
      </w:pPr>
      <w:r>
        <w:fldChar w:fldCharType="begin"/>
      </w:r>
      <w:r>
        <w:instrText xml:space="preserve"> HYPERLINK "https://www.ipss.go.jp/webj-ad/webjournal.files/socialsecurity/2007/spring/health_fukawa.pdf" \h </w:instrText>
      </w:r>
      <w:r>
        <w:fldChar w:fldCharType="separate"/>
      </w:r>
      <w:r>
        <w:rPr>
          <w:rStyle w:val="13"/>
          <w:color w:val="0563C1"/>
        </w:rPr>
        <w:t>[160]. Macro evaluation of the Japanese healthcare system in comparison with Germany</w:t>
      </w:r>
      <w:r>
        <w:rPr>
          <w:rStyle w:val="13"/>
          <w:color w:val="0563C1"/>
        </w:rPr>
        <w:fldChar w:fldCharType="end"/>
      </w:r>
    </w:p>
    <w:p w14:paraId="676D88A0">
      <w:pPr>
        <w:spacing w:after="200" w:line="400" w:lineRule="atLeast"/>
      </w:pPr>
      <w:r>
        <w:fldChar w:fldCharType="begin"/>
      </w:r>
      <w:r>
        <w:instrText xml:space="preserve"> HYPERLINK "https://mhlw-grants.niph.go.jp/system/files/2014/141021/201403013A_upload/201403013A0004.pdf" \h </w:instrText>
      </w:r>
      <w:r>
        <w:fldChar w:fldCharType="separate"/>
      </w:r>
      <w:r>
        <w:rPr>
          <w:rStyle w:val="13"/>
          <w:color w:val="0563C1"/>
        </w:rPr>
        <w:t>[161,406]. 分担研究報告</w:t>
      </w:r>
      <w:r>
        <w:rPr>
          <w:rStyle w:val="13"/>
          <w:color w:val="0563C1"/>
        </w:rPr>
        <w:fldChar w:fldCharType="end"/>
      </w:r>
    </w:p>
    <w:p w14:paraId="3359A85A">
      <w:pPr>
        <w:spacing w:after="200" w:line="400" w:lineRule="atLeast"/>
      </w:pPr>
      <w:r>
        <w:fldChar w:fldCharType="begin"/>
      </w:r>
      <w:r>
        <w:instrText xml:space="preserve"> HYPERLINK "https://mhlw-grants.niph.go.jp/system/files/download_pdf/2016/201604001A.pdf" \h </w:instrText>
      </w:r>
      <w:r>
        <w:fldChar w:fldCharType="separate"/>
      </w:r>
      <w:r>
        <w:rPr>
          <w:rStyle w:val="13"/>
          <w:color w:val="0563C1"/>
        </w:rPr>
        <w:t>[162,163]. エビデンスに基づく日本の保健医療制度の実証的分析</w:t>
      </w:r>
      <w:r>
        <w:rPr>
          <w:rStyle w:val="13"/>
          <w:color w:val="0563C1"/>
        </w:rPr>
        <w:fldChar w:fldCharType="end"/>
      </w:r>
    </w:p>
    <w:p w14:paraId="7A655A9E">
      <w:pPr>
        <w:spacing w:after="200" w:line="400" w:lineRule="atLeast"/>
      </w:pPr>
      <w:r>
        <w:fldChar w:fldCharType="begin"/>
      </w:r>
      <w:r>
        <w:instrText xml:space="preserve"> HYPERLINK "https://pdfs.semanticscholar.org/6bff/8bf5e93f0d588d46071f8ea1768b2f465886.pdf" \h </w:instrText>
      </w:r>
      <w:r>
        <w:fldChar w:fldCharType="separate"/>
      </w:r>
      <w:r>
        <w:rPr>
          <w:rStyle w:val="13"/>
          <w:color w:val="0563C1"/>
        </w:rPr>
        <w:t>[164]. Better olfaction was associated with lower healthcare expenditure among physically independent Japanese community-dwelling older adults: the Yanai study</w:t>
      </w:r>
      <w:r>
        <w:rPr>
          <w:rStyle w:val="13"/>
          <w:color w:val="0563C1"/>
        </w:rPr>
        <w:fldChar w:fldCharType="end"/>
      </w:r>
    </w:p>
    <w:p w14:paraId="542C98D0">
      <w:pPr>
        <w:spacing w:after="200" w:line="400" w:lineRule="atLeast"/>
      </w:pPr>
      <w:r>
        <w:fldChar w:fldCharType="begin"/>
      </w:r>
      <w:r>
        <w:instrText xml:space="preserve"> HYPERLINK "https://www.researchsquare.com/article/rs-5086827/v1.pdf?c=1745871128000" \h </w:instrText>
      </w:r>
      <w:r>
        <w:fldChar w:fldCharType="separate"/>
      </w:r>
      <w:r>
        <w:rPr>
          <w:rStyle w:val="13"/>
          <w:color w:val="0563C1"/>
        </w:rPr>
        <w:t>[165,431]. Healthcare Utilization Among Japanese Older Adults During Later Stage of Prolonged Pandemic</w:t>
      </w:r>
      <w:r>
        <w:rPr>
          <w:rStyle w:val="13"/>
          <w:color w:val="0563C1"/>
        </w:rPr>
        <w:fldChar w:fldCharType="end"/>
      </w:r>
    </w:p>
    <w:p w14:paraId="0FBC63FD">
      <w:pPr>
        <w:spacing w:after="200" w:line="400" w:lineRule="atLeast"/>
      </w:pPr>
      <w:r>
        <w:fldChar w:fldCharType="begin"/>
      </w:r>
      <w:r>
        <w:instrText xml:space="preserve"> HYPERLINK "https://www.jil.go.jp/kokunai/statistics/databook/2019/documents/Databook2019.pdf" \h </w:instrText>
      </w:r>
      <w:r>
        <w:fldChar w:fldCharType="separate"/>
      </w:r>
      <w:r>
        <w:rPr>
          <w:rStyle w:val="13"/>
          <w:color w:val="0563C1"/>
        </w:rPr>
        <w:t>[166,170]. Databook of International Labour Statistics 国際労働比較 2019</w:t>
      </w:r>
      <w:r>
        <w:rPr>
          <w:rStyle w:val="13"/>
          <w:color w:val="0563C1"/>
        </w:rPr>
        <w:fldChar w:fldCharType="end"/>
      </w:r>
    </w:p>
    <w:p w14:paraId="0247A1B5">
      <w:pPr>
        <w:spacing w:after="200" w:line="400" w:lineRule="atLeast"/>
      </w:pPr>
      <w:r>
        <w:fldChar w:fldCharType="begin"/>
      </w:r>
      <w:r>
        <w:instrText xml:space="preserve"> HYPERLINK "https://link.springer.com/article/10.1186/s12939-025-02729-3" \h </w:instrText>
      </w:r>
      <w:r>
        <w:fldChar w:fldCharType="separate"/>
      </w:r>
      <w:r>
        <w:rPr>
          <w:rStyle w:val="13"/>
          <w:color w:val="0563C1"/>
        </w:rPr>
        <w:t>[167]. Income-related inequality and horizontal inequity in healthcare utilization under population aging and labor market changes in Japan</w:t>
      </w:r>
      <w:r>
        <w:rPr>
          <w:rStyle w:val="13"/>
          <w:color w:val="0563C1"/>
        </w:rPr>
        <w:fldChar w:fldCharType="end"/>
      </w:r>
    </w:p>
    <w:p w14:paraId="6E4E886E">
      <w:pPr>
        <w:spacing w:after="200" w:line="400" w:lineRule="atLeast"/>
      </w:pPr>
      <w:r>
        <w:fldChar w:fldCharType="begin"/>
      </w:r>
      <w:r>
        <w:instrText xml:space="preserve"> HYPERLINK "https://ec.europa.eu/eurostat/documents/3217494/11478057/KS-02-20-655-EN-N.pdf" \h </w:instrText>
      </w:r>
      <w:r>
        <w:fldChar w:fldCharType="separate"/>
      </w:r>
      <w:r>
        <w:rPr>
          <w:rStyle w:val="13"/>
          <w:color w:val="0563C1"/>
        </w:rPr>
        <w:t>[171,174,177,234,397,399,401]. Ageing Europe: Looking at the Lives of Older People in the EU - 2020 edition</w:t>
      </w:r>
      <w:r>
        <w:rPr>
          <w:rStyle w:val="13"/>
          <w:color w:val="0563C1"/>
        </w:rPr>
        <w:fldChar w:fldCharType="end"/>
      </w:r>
    </w:p>
    <w:p w14:paraId="6E7328BD">
      <w:pPr>
        <w:spacing w:after="200" w:line="400" w:lineRule="atLeast"/>
      </w:pPr>
      <w:r>
        <w:fldChar w:fldCharType="begin"/>
      </w:r>
      <w:r>
        <w:instrText xml:space="preserve"> HYPERLINK "https://www.oecd.org/content/dam/oecd/en/publications/reports/2021/02/creating-responsive-adult-learning-opportunities-in-japan_65efcfa2/cfe1ccd2-en.pdf" \h </w:instrText>
      </w:r>
      <w:r>
        <w:fldChar w:fldCharType="separate"/>
      </w:r>
      <w:r>
        <w:rPr>
          <w:rStyle w:val="13"/>
          <w:color w:val="0563C1"/>
        </w:rPr>
        <w:t>[172,175,232,400]. Creating Responsive Adult Learning Opportunities in Japan</w:t>
      </w:r>
      <w:r>
        <w:rPr>
          <w:rStyle w:val="13"/>
          <w:color w:val="0563C1"/>
        </w:rPr>
        <w:fldChar w:fldCharType="end"/>
      </w:r>
    </w:p>
    <w:p w14:paraId="76E78F70">
      <w:pPr>
        <w:spacing w:after="200" w:line="400" w:lineRule="atLeast"/>
      </w:pPr>
      <w:r>
        <w:fldChar w:fldCharType="begin"/>
      </w:r>
      <w:r>
        <w:instrText xml:space="preserve"> HYPERLINK "https://extranet.who.int/kobe_centre/sites/default/files/Japan-eng.pdf" \h </w:instrText>
      </w:r>
      <w:r>
        <w:fldChar w:fldCharType="separate"/>
      </w:r>
      <w:r>
        <w:rPr>
          <w:rStyle w:val="13"/>
          <w:color w:val="0563C1"/>
        </w:rPr>
        <w:t>[173,235]. How does healthy ageing affect economic growth in Japan?</w:t>
      </w:r>
      <w:r>
        <w:rPr>
          <w:rStyle w:val="13"/>
          <w:color w:val="0563C1"/>
        </w:rPr>
        <w:fldChar w:fldCharType="end"/>
      </w:r>
    </w:p>
    <w:p w14:paraId="6B44190D">
      <w:pPr>
        <w:spacing w:after="200" w:line="400" w:lineRule="atLeast"/>
      </w:pPr>
      <w:r>
        <w:fldChar w:fldCharType="begin"/>
      </w:r>
      <w:r>
        <w:instrText xml:space="preserve"> HYPERLINK "https://www.ipss.go.jp/pp-newest/e/ppfj02/ppfj02.pdf" \h </w:instrText>
      </w:r>
      <w:r>
        <w:fldChar w:fldCharType="separate"/>
      </w:r>
      <w:r>
        <w:rPr>
          <w:rStyle w:val="13"/>
          <w:color w:val="0563C1"/>
        </w:rPr>
        <w:t>[176,188]. Population Projections for Japan: 2001-2050</w:t>
      </w:r>
      <w:r>
        <w:rPr>
          <w:rStyle w:val="13"/>
          <w:color w:val="0563C1"/>
        </w:rPr>
        <w:fldChar w:fldCharType="end"/>
      </w:r>
    </w:p>
    <w:p w14:paraId="71FE90FD">
      <w:pPr>
        <w:spacing w:after="200" w:line="400" w:lineRule="atLeast"/>
      </w:pPr>
      <w:r>
        <w:fldChar w:fldCharType="begin"/>
      </w:r>
      <w:r>
        <w:instrText xml:space="preserve"> HYPERLINK "https://sagirikitao.github.io/mywebsite/HB14.pdf" \h </w:instrText>
      </w:r>
      <w:r>
        <w:fldChar w:fldCharType="separate"/>
      </w:r>
      <w:r>
        <w:rPr>
          <w:rStyle w:val="13"/>
          <w:color w:val="0563C1"/>
        </w:rPr>
        <w:t>[178]. Demography, Fiscal Sustainability, and Social Security System in Japan</w:t>
      </w:r>
      <w:r>
        <w:rPr>
          <w:rStyle w:val="13"/>
          <w:color w:val="0563C1"/>
        </w:rPr>
        <w:fldChar w:fldCharType="end"/>
      </w:r>
    </w:p>
    <w:p w14:paraId="38D229BD">
      <w:pPr>
        <w:spacing w:after="200" w:line="400" w:lineRule="atLeast"/>
      </w:pPr>
      <w:r>
        <w:fldChar w:fldCharType="begin"/>
      </w:r>
      <w:r>
        <w:instrText xml:space="preserve"> HYPERLINK "https://ecommons.cornell.edu/bitstream/1813/70313/1/Sato_cornell_0058O_10883.pdf" \h </w:instrText>
      </w:r>
      <w:r>
        <w:fldChar w:fldCharType="separate"/>
      </w:r>
      <w:r>
        <w:rPr>
          <w:rStyle w:val="13"/>
          <w:color w:val="0563C1"/>
        </w:rPr>
        <w:t>[180,386]. THE DEMAND-SIDE MACROECONOMIC IMPACT OF DEPOPULATION AND POPULATION AGING AMONG PREFECTURES IN JAPAN</w:t>
      </w:r>
      <w:r>
        <w:rPr>
          <w:rStyle w:val="13"/>
          <w:color w:val="0563C1"/>
        </w:rPr>
        <w:fldChar w:fldCharType="end"/>
      </w:r>
    </w:p>
    <w:p w14:paraId="18C070D9">
      <w:pPr>
        <w:spacing w:after="200" w:line="400" w:lineRule="atLeast"/>
      </w:pPr>
      <w:r>
        <w:fldChar w:fldCharType="begin"/>
      </w:r>
      <w:r>
        <w:instrText xml:space="preserve"> HYPERLINK "https://cigs.canon/en/uploads/2025/07/WP25-018E_250717_selahattin02.pdf" \h </w:instrText>
      </w:r>
      <w:r>
        <w:fldChar w:fldCharType="separate"/>
      </w:r>
      <w:r>
        <w:rPr>
          <w:rStyle w:val="13"/>
          <w:color w:val="0563C1"/>
        </w:rPr>
        <w:t>[181,183,186,187,224,231,233]. Aging, Population Projections, and Public Pensions</w:t>
      </w:r>
      <w:r>
        <w:rPr>
          <w:rStyle w:val="13"/>
          <w:color w:val="0563C1"/>
        </w:rPr>
        <w:fldChar w:fldCharType="end"/>
      </w:r>
    </w:p>
    <w:p w14:paraId="07FC3AC8">
      <w:pPr>
        <w:spacing w:after="200" w:line="400" w:lineRule="atLeast"/>
      </w:pPr>
      <w:r>
        <w:fldChar w:fldCharType="begin"/>
      </w:r>
      <w:r>
        <w:instrText xml:space="preserve"> HYPERLINK "https://www.elibrary.imf.org/downloadpdf/view/journals/001/2001/040/article-A001-en.pdf" \h </w:instrText>
      </w:r>
      <w:r>
        <w:fldChar w:fldCharType="separate"/>
      </w:r>
      <w:r>
        <w:rPr>
          <w:rStyle w:val="13"/>
          <w:color w:val="0563C1"/>
        </w:rPr>
        <w:t>[182,184,225]. Population Aging in Japan: Demographic Shock and Fiscal Sustainability</w:t>
      </w:r>
      <w:r>
        <w:rPr>
          <w:rStyle w:val="13"/>
          <w:color w:val="0563C1"/>
        </w:rPr>
        <w:fldChar w:fldCharType="end"/>
      </w:r>
    </w:p>
    <w:p w14:paraId="27418E63">
      <w:pPr>
        <w:spacing w:after="200" w:line="400" w:lineRule="atLeast"/>
      </w:pPr>
      <w:r>
        <w:fldChar w:fldCharType="begin"/>
      </w:r>
      <w:r>
        <w:instrText xml:space="preserve"> HYPERLINK "https://data.worldbank.org/indicator/SP.POP.DPND.OL?locations=JP" \h </w:instrText>
      </w:r>
      <w:r>
        <w:fldChar w:fldCharType="separate"/>
      </w:r>
      <w:r>
        <w:rPr>
          <w:rStyle w:val="13"/>
          <w:color w:val="0563C1"/>
        </w:rPr>
        <w:t>[185,223,226,387,398,402]. Age dependency ratio, old (% of working-age population) - Japan</w:t>
      </w:r>
      <w:r>
        <w:rPr>
          <w:rStyle w:val="13"/>
          <w:color w:val="0563C1"/>
        </w:rPr>
        <w:fldChar w:fldCharType="end"/>
      </w:r>
    </w:p>
    <w:p w14:paraId="0C3579A9">
      <w:pPr>
        <w:spacing w:after="200" w:line="400" w:lineRule="atLeast"/>
      </w:pPr>
      <w:r>
        <w:fldChar w:fldCharType="begin"/>
      </w:r>
      <w:r>
        <w:instrText xml:space="preserve"> HYPERLINK "https://www.gspublishing.com/content/research/en/reports/2019/04/05/91632210-1879-40c0-9bd5-e3e14e659cc5.pdf" \h </w:instrText>
      </w:r>
      <w:r>
        <w:fldChar w:fldCharType="separate"/>
      </w:r>
      <w:r>
        <w:rPr>
          <w:rStyle w:val="13"/>
          <w:color w:val="0563C1"/>
        </w:rPr>
        <w:t>[189,190]. Womenomics 3.0: The Time Is Now</w:t>
      </w:r>
      <w:r>
        <w:rPr>
          <w:rStyle w:val="13"/>
          <w:color w:val="0563C1"/>
        </w:rPr>
        <w:fldChar w:fldCharType="end"/>
      </w:r>
    </w:p>
    <w:p w14:paraId="3CA8C28A">
      <w:pPr>
        <w:spacing w:after="200" w:line="400" w:lineRule="atLeast"/>
      </w:pPr>
      <w:r>
        <w:fldChar w:fldCharType="begin"/>
      </w:r>
      <w:r>
        <w:instrText xml:space="preserve"> HYPERLINK "https://www.un.org/development/desa/pd/sites/www.un.org.development.desa.pd/files/unpd-egm_200010_atoh.pdf" \h </w:instrText>
      </w:r>
      <w:r>
        <w:fldChar w:fldCharType="separate"/>
      </w:r>
      <w:r>
        <w:rPr>
          <w:rStyle w:val="13"/>
          <w:color w:val="0563C1"/>
        </w:rPr>
        <w:t>[191]. THE COMING OF A HYPER-AGED AND DEPOPULATING SOCIETY AND POPULATION POLICIES THE CASE OF JAPAN *</w:t>
      </w:r>
      <w:r>
        <w:rPr>
          <w:rStyle w:val="13"/>
          <w:color w:val="0563C1"/>
        </w:rPr>
        <w:fldChar w:fldCharType="end"/>
      </w:r>
    </w:p>
    <w:p w14:paraId="699801CE">
      <w:pPr>
        <w:spacing w:after="200" w:line="400" w:lineRule="atLeast"/>
      </w:pPr>
      <w:r>
        <w:fldChar w:fldCharType="begin"/>
      </w:r>
      <w:r>
        <w:instrText xml:space="preserve"> HYPERLINK "https://repository.kihasa.re.kr/bitstream/201002/7743/1/연구_2011-37-14.pdf" \h </w:instrText>
      </w:r>
      <w:r>
        <w:fldChar w:fldCharType="separate"/>
      </w:r>
      <w:r>
        <w:rPr>
          <w:rStyle w:val="13"/>
          <w:color w:val="0563C1"/>
        </w:rPr>
        <w:t>[192,420]. 고령친화 여가산업 활성화 방안 A Study on Development and Promotion of Leisure Industries for Senior Citizens</w:t>
      </w:r>
      <w:r>
        <w:rPr>
          <w:rStyle w:val="13"/>
          <w:color w:val="0563C1"/>
        </w:rPr>
        <w:fldChar w:fldCharType="end"/>
      </w:r>
    </w:p>
    <w:p w14:paraId="612A5E94">
      <w:pPr>
        <w:spacing w:after="200" w:line="400" w:lineRule="atLeast"/>
      </w:pPr>
      <w:r>
        <w:fldChar w:fldCharType="begin"/>
      </w:r>
      <w:r>
        <w:instrText xml:space="preserve"> HYPERLINK "https://thameezacademy.com/wp-content/uploads/2025/04/7.-pestel-analysis-on-japan.pdf" \h </w:instrText>
      </w:r>
      <w:r>
        <w:fldChar w:fldCharType="separate"/>
      </w:r>
      <w:r>
        <w:rPr>
          <w:rStyle w:val="13"/>
          <w:color w:val="0563C1"/>
        </w:rPr>
        <w:t>[193]. PESTEL Analysis on Japan</w:t>
      </w:r>
      <w:r>
        <w:rPr>
          <w:rStyle w:val="13"/>
          <w:color w:val="0563C1"/>
        </w:rPr>
        <w:fldChar w:fldCharType="end"/>
      </w:r>
    </w:p>
    <w:p w14:paraId="5B6F0B84">
      <w:pPr>
        <w:spacing w:after="200" w:line="400" w:lineRule="atLeast"/>
      </w:pPr>
      <w:r>
        <w:fldChar w:fldCharType="begin"/>
      </w:r>
      <w:r>
        <w:instrText xml:space="preserve"> HYPERLINK "https://www.randa.hk/static/upload/file/20240408/1712561184252592.pdf" \h </w:instrText>
      </w:r>
      <w:r>
        <w:fldChar w:fldCharType="separate"/>
      </w:r>
      <w:r>
        <w:rPr>
          <w:rStyle w:val="13"/>
          <w:color w:val="0563C1"/>
        </w:rPr>
        <w:t>[195,419]. IC THE WORLD Issue No.6</w:t>
      </w:r>
      <w:r>
        <w:rPr>
          <w:rStyle w:val="13"/>
          <w:color w:val="0563C1"/>
        </w:rPr>
        <w:fldChar w:fldCharType="end"/>
      </w:r>
    </w:p>
    <w:p w14:paraId="735E853C">
      <w:pPr>
        <w:spacing w:after="200" w:line="400" w:lineRule="atLeast"/>
      </w:pPr>
      <w:r>
        <w:fldChar w:fldCharType="begin"/>
      </w:r>
      <w:r>
        <w:instrText xml:space="preserve"> HYPERLINK "https://tokyu-fudosan-hd-csr.disclosure.site/pdf/reports/2019/en/integrated_report_2019e_all.pdf" \h </w:instrText>
      </w:r>
      <w:r>
        <w:fldChar w:fldCharType="separate"/>
      </w:r>
      <w:r>
        <w:rPr>
          <w:rStyle w:val="13"/>
          <w:color w:val="0563C1"/>
        </w:rPr>
        <w:t>[196,212]. TOKYU FUDOSAN HOLDINGS 2019 INTEGRATED REPORT</w:t>
      </w:r>
      <w:r>
        <w:rPr>
          <w:rStyle w:val="13"/>
          <w:color w:val="0563C1"/>
        </w:rPr>
        <w:fldChar w:fldCharType="end"/>
      </w:r>
    </w:p>
    <w:p w14:paraId="258CB394">
      <w:pPr>
        <w:spacing w:after="200" w:line="400" w:lineRule="atLeast"/>
      </w:pPr>
      <w:r>
        <w:fldChar w:fldCharType="begin"/>
      </w:r>
      <w:r>
        <w:instrText xml:space="preserve"> HYPERLINK "https://pidswebs.pids.gov.ph/CDN/PUBLICATIONS/pidsbk14-pjepa_vol2.pdf" \h </w:instrText>
      </w:r>
      <w:r>
        <w:fldChar w:fldCharType="separate"/>
      </w:r>
      <w:r>
        <w:rPr>
          <w:rStyle w:val="13"/>
          <w:color w:val="0563C1"/>
        </w:rPr>
        <w:t>[197]. PJEPA: Strengthening the Foundation for Regional Cooperation and Economic Integration</w:t>
      </w:r>
      <w:r>
        <w:rPr>
          <w:rStyle w:val="13"/>
          <w:color w:val="0563C1"/>
        </w:rPr>
        <w:fldChar w:fldCharType="end"/>
      </w:r>
    </w:p>
    <w:p w14:paraId="59D4DD01">
      <w:pPr>
        <w:spacing w:after="200" w:line="400" w:lineRule="atLeast"/>
      </w:pPr>
      <w:r>
        <w:fldChar w:fldCharType="begin"/>
      </w:r>
      <w:r>
        <w:instrText xml:space="preserve"> HYPERLINK "https://files.metaso.cn/api/public-file/preview?fileName=8689816914639933440.pdf" \h </w:instrText>
      </w:r>
      <w:r>
        <w:fldChar w:fldCharType="separate"/>
      </w:r>
      <w:r>
        <w:rPr>
          <w:rStyle w:val="13"/>
          <w:color w:val="0563C1"/>
        </w:rPr>
        <w:t>[198,417]. Global Wellness Economy Monitor 2025</w:t>
      </w:r>
      <w:r>
        <w:rPr>
          <w:rStyle w:val="13"/>
          <w:color w:val="0563C1"/>
        </w:rPr>
        <w:fldChar w:fldCharType="end"/>
      </w:r>
    </w:p>
    <w:p w14:paraId="0BDDCFC5">
      <w:pPr>
        <w:spacing w:after="200" w:line="400" w:lineRule="atLeast"/>
      </w:pPr>
      <w:r>
        <w:fldChar w:fldCharType="begin"/>
      </w:r>
      <w:r>
        <w:instrText xml:space="preserve"> HYPERLINK "https://files.metaso.cn/api/public-file/preview?fileName=8682582882764337152.pdf" \h </w:instrText>
      </w:r>
      <w:r>
        <w:fldChar w:fldCharType="separate"/>
      </w:r>
      <w:r>
        <w:rPr>
          <w:rStyle w:val="13"/>
          <w:color w:val="0563C1"/>
        </w:rPr>
        <w:t>[199,205]. 数智养老产业投资研究报告</w:t>
      </w:r>
      <w:r>
        <w:rPr>
          <w:rStyle w:val="13"/>
          <w:color w:val="0563C1"/>
        </w:rPr>
        <w:fldChar w:fldCharType="end"/>
      </w:r>
    </w:p>
    <w:p w14:paraId="5ACCE806">
      <w:pPr>
        <w:spacing w:after="200" w:line="400" w:lineRule="atLeast"/>
      </w:pPr>
      <w:r>
        <w:fldChar w:fldCharType="begin"/>
      </w:r>
      <w:r>
        <w:instrText xml:space="preserve"> HYPERLINK "https://www.fortunebusinessinsights.com/japan-protective-gloves-market-112617" \h </w:instrText>
      </w:r>
      <w:r>
        <w:fldChar w:fldCharType="separate"/>
      </w:r>
      <w:r>
        <w:rPr>
          <w:rStyle w:val="13"/>
          <w:color w:val="0563C1"/>
        </w:rPr>
        <w:t>[200,208]. Innovative Market Solutions to Help Businesses Make Informed Decisions</w:t>
      </w:r>
      <w:r>
        <w:rPr>
          <w:rStyle w:val="13"/>
          <w:color w:val="0563C1"/>
        </w:rPr>
        <w:fldChar w:fldCharType="end"/>
      </w:r>
    </w:p>
    <w:p w14:paraId="44B2F955">
      <w:pPr>
        <w:spacing w:after="200" w:line="400" w:lineRule="atLeast"/>
      </w:pPr>
      <w:r>
        <w:fldChar w:fldCharType="begin"/>
      </w:r>
      <w:r>
        <w:instrText xml:space="preserve"> HYPERLINK "http://www.ger-on.de/wp-content/uploads/2014/07/1_expertise_japanischer_silbermarkt_i.pdf" \h </w:instrText>
      </w:r>
      <w:r>
        <w:fldChar w:fldCharType="separate"/>
      </w:r>
      <w:r>
        <w:rPr>
          <w:rStyle w:val="13"/>
          <w:color w:val="0563C1"/>
        </w:rPr>
        <w:t>[201,202]. Wirtschaftskraft Alter in Japan: Handlungsfelder und Strategien</w:t>
      </w:r>
      <w:r>
        <w:rPr>
          <w:rStyle w:val="13"/>
          <w:color w:val="0563C1"/>
        </w:rPr>
        <w:fldChar w:fldCharType="end"/>
      </w:r>
    </w:p>
    <w:p w14:paraId="59A09B9A">
      <w:pPr>
        <w:spacing w:after="200" w:line="400" w:lineRule="atLeast"/>
      </w:pPr>
      <w:r>
        <w:fldChar w:fldCharType="begin"/>
      </w:r>
      <w:r>
        <w:instrText xml:space="preserve"> HYPERLINK "https://www.gii.tw/report/imarc1609928-japan-home-healthcare-market-size-share-trends.html" \h </w:instrText>
      </w:r>
      <w:r>
        <w:fldChar w:fldCharType="separate"/>
      </w:r>
      <w:r>
        <w:rPr>
          <w:rStyle w:val="13"/>
          <w:color w:val="0563C1"/>
        </w:rPr>
        <w:t>[209]. 日本家庭醫療保健市場規模、佔有率、趨勢和預測（按產品、服務、適應症和地區）Japan Home Healthcare Market Size, Share, Trends and Forecast by Product, Service, Indication, and Region, 2025-2033</w:t>
      </w:r>
      <w:r>
        <w:rPr>
          <w:rStyle w:val="13"/>
          <w:color w:val="0563C1"/>
        </w:rPr>
        <w:fldChar w:fldCharType="end"/>
      </w:r>
    </w:p>
    <w:p w14:paraId="5A8F19DA">
      <w:pPr>
        <w:spacing w:after="200" w:line="400" w:lineRule="atLeast"/>
      </w:pPr>
      <w:r>
        <w:fldChar w:fldCharType="begin"/>
      </w:r>
      <w:r>
        <w:instrText xml:space="preserve"> HYPERLINK "https://www.grdspublishing.org/index.php/people/article/download/2799/2589/4856" \h </w:instrText>
      </w:r>
      <w:r>
        <w:fldChar w:fldCharType="separate"/>
      </w:r>
      <w:r>
        <w:rPr>
          <w:rStyle w:val="13"/>
          <w:color w:val="0563C1"/>
        </w:rPr>
        <w:t>[210]. JAPAN'S AGING SOCIETY: POLICY, LESSON AND THE SILVER ECONOMY</w:t>
      </w:r>
      <w:r>
        <w:rPr>
          <w:rStyle w:val="13"/>
          <w:color w:val="0563C1"/>
        </w:rPr>
        <w:fldChar w:fldCharType="end"/>
      </w:r>
    </w:p>
    <w:p w14:paraId="0C45D9F8">
      <w:pPr>
        <w:spacing w:after="200" w:line="400" w:lineRule="atLeast"/>
      </w:pPr>
      <w:r>
        <w:fldChar w:fldCharType="begin"/>
      </w:r>
      <w:r>
        <w:instrText xml:space="preserve"> HYPERLINK "https://api.prism.go.kr/prism-be-file/v1/file/downloadFile?atchFilePathNm=/attachfiles/research/B553004/2024/2d1891e9-b090-4639-9d32-4ec701306207.pdf&amp;atchFileSz=1556582&amp;orgnlAtchFileNm=%EA%B3%A0%EB%A0%B9%EC%B9%9C%ED%99%94%EC%82%B0%EC%97%85_%EC%84%B1%EC%9E%A5%EB%8F%99%EB%A0%A5%ED%99%94%EB%A5%BC_%EC%9C%84%ED%95%9C_%EC%A0%95%EC%B1%85%EB%B0%A9%ED%96%A5.pdf" \h </w:instrText>
      </w:r>
      <w:r>
        <w:fldChar w:fldCharType="separate"/>
      </w:r>
      <w:r>
        <w:rPr>
          <w:rStyle w:val="13"/>
          <w:color w:val="0563C1"/>
        </w:rPr>
        <w:t>[211]. 고령친화산업 성장동력화를 위한 정책 방향</w:t>
      </w:r>
      <w:r>
        <w:rPr>
          <w:rStyle w:val="13"/>
          <w:color w:val="0563C1"/>
        </w:rPr>
        <w:fldChar w:fldCharType="end"/>
      </w:r>
    </w:p>
    <w:p w14:paraId="5B8F6766">
      <w:pPr>
        <w:spacing w:after="200" w:line="400" w:lineRule="atLeast"/>
      </w:pPr>
      <w:r>
        <w:fldChar w:fldCharType="begin"/>
      </w:r>
      <w:r>
        <w:instrText xml:space="preserve"> HYPERLINK "https://www.kenresearch.com/japan-ai-in-elderly-care-robotics-platforms-market" \h </w:instrText>
      </w:r>
      <w:r>
        <w:fldChar w:fldCharType="separate"/>
      </w:r>
      <w:r>
        <w:rPr>
          <w:rStyle w:val="13"/>
          <w:color w:val="0563C1"/>
        </w:rPr>
        <w:t>[213,331,334,375,409,412,415]. Japan AI in Elderly Care Robotics Platforms Market Overview</w:t>
      </w:r>
      <w:r>
        <w:rPr>
          <w:rStyle w:val="13"/>
          <w:color w:val="0563C1"/>
        </w:rPr>
        <w:fldChar w:fldCharType="end"/>
      </w:r>
    </w:p>
    <w:p w14:paraId="5A2FDE36">
      <w:pPr>
        <w:spacing w:after="200" w:line="400" w:lineRule="atLeast"/>
      </w:pPr>
      <w:r>
        <w:fldChar w:fldCharType="begin"/>
      </w:r>
      <w:r>
        <w:instrText xml:space="preserve"> HYPERLINK "https://www.varindia.com/news/japan-turns-to-ai-and-robot-caregivers-to-confront-its-growing-dementia-crisis" \h </w:instrText>
      </w:r>
      <w:r>
        <w:fldChar w:fldCharType="separate"/>
      </w:r>
      <w:r>
        <w:rPr>
          <w:rStyle w:val="13"/>
          <w:color w:val="0563C1"/>
        </w:rPr>
        <w:t>[214,217,433]. Japan Turns to AI and Robot Caregivers to Confront Its Growing Dementia Crisis</w:t>
      </w:r>
      <w:r>
        <w:rPr>
          <w:rStyle w:val="13"/>
          <w:color w:val="0563C1"/>
        </w:rPr>
        <w:fldChar w:fldCharType="end"/>
      </w:r>
    </w:p>
    <w:p w14:paraId="3796892C">
      <w:pPr>
        <w:spacing w:after="200" w:line="400" w:lineRule="atLeast"/>
      </w:pPr>
      <w:r>
        <w:fldChar w:fldCharType="begin"/>
      </w:r>
      <w:r>
        <w:instrText xml:space="preserve"> HYPERLINK "https://dig.watch/updates/japan-turns-to-ai-and-robotics-to-tackle-dementia-crisis" \h </w:instrText>
      </w:r>
      <w:r>
        <w:fldChar w:fldCharType="separate"/>
      </w:r>
      <w:r>
        <w:rPr>
          <w:rStyle w:val="13"/>
          <w:color w:val="0563C1"/>
        </w:rPr>
        <w:t>[215,218]. Japan turns to AI and robotics to tackle dementia crisis</w:t>
      </w:r>
      <w:r>
        <w:rPr>
          <w:rStyle w:val="13"/>
          <w:color w:val="0563C1"/>
        </w:rPr>
        <w:fldChar w:fldCharType="end"/>
      </w:r>
    </w:p>
    <w:p w14:paraId="3BDE50B9">
      <w:pPr>
        <w:spacing w:after="200" w:line="400" w:lineRule="atLeast"/>
      </w:pPr>
      <w:r>
        <w:fldChar w:fldCharType="begin"/>
      </w:r>
      <w:r>
        <w:instrText xml:space="preserve"> HYPERLINK "https://files.metaso.cn/api/public-file/preview?fileName=8677592139478790144.pdf" \h </w:instrText>
      </w:r>
      <w:r>
        <w:fldChar w:fldCharType="separate"/>
      </w:r>
      <w:r>
        <w:rPr>
          <w:rStyle w:val="13"/>
          <w:color w:val="0563C1"/>
        </w:rPr>
        <w:t>[216]. The Humanoid Inflection Point: A Global Analysis of the Next Decade in Embodied AI (2025-2035)</w:t>
      </w:r>
      <w:r>
        <w:rPr>
          <w:rStyle w:val="13"/>
          <w:color w:val="0563C1"/>
        </w:rPr>
        <w:fldChar w:fldCharType="end"/>
      </w:r>
    </w:p>
    <w:p w14:paraId="1701E8C6">
      <w:pPr>
        <w:spacing w:after="200" w:line="400" w:lineRule="atLeast"/>
      </w:pPr>
      <w:r>
        <w:fldChar w:fldCharType="begin"/>
      </w:r>
      <w:r>
        <w:instrText xml:space="preserve"> HYPERLINK "https://finance.sina.com.cn/jjxw/2025-03-04/doc-inenmtfu0157898.shtml" \h </w:instrText>
      </w:r>
      <w:r>
        <w:fldChar w:fldCharType="separate"/>
      </w:r>
      <w:r>
        <w:rPr>
          <w:rStyle w:val="13"/>
          <w:color w:val="0563C1"/>
        </w:rPr>
        <w:t>[219,220,410]. 人工智能机器人或将成为日本老龄人口护理的关键</w:t>
      </w:r>
      <w:r>
        <w:rPr>
          <w:rStyle w:val="13"/>
          <w:color w:val="0563C1"/>
        </w:rPr>
        <w:fldChar w:fldCharType="end"/>
      </w:r>
    </w:p>
    <w:p w14:paraId="2171C88F">
      <w:pPr>
        <w:spacing w:after="200" w:line="400" w:lineRule="atLeast"/>
      </w:pPr>
      <w:r>
        <w:fldChar w:fldCharType="begin"/>
      </w:r>
      <w:r>
        <w:instrText xml:space="preserve"> HYPERLINK "https://www.wsp.com/-/media/campaign/new-zealand/documents/hcf-25-two-age-proofing/age-proofing-aotearoa-by-wsp-and-the-helen-clark-foundation.pdf" \h </w:instrText>
      </w:r>
      <w:r>
        <w:fldChar w:fldCharType="separate"/>
      </w:r>
      <w:r>
        <w:rPr>
          <w:rStyle w:val="13"/>
          <w:color w:val="0563C1"/>
        </w:rPr>
        <w:t>[221]. AGE-PROOFING AOTEAROA</w:t>
      </w:r>
      <w:r>
        <w:rPr>
          <w:rStyle w:val="13"/>
          <w:color w:val="0563C1"/>
        </w:rPr>
        <w:fldChar w:fldCharType="end"/>
      </w:r>
    </w:p>
    <w:p w14:paraId="16837318">
      <w:pPr>
        <w:spacing w:after="200" w:line="400" w:lineRule="atLeast"/>
      </w:pPr>
      <w:r>
        <w:fldChar w:fldCharType="begin"/>
      </w:r>
      <w:r>
        <w:instrText xml:space="preserve"> HYPERLINK "https://aliautonomie.it/wp-content/uploads/2025/07/ANITEC-ASSINFORM_il_digitale_in_italia_2025_v5.pdf" \h </w:instrText>
      </w:r>
      <w:r>
        <w:fldChar w:fldCharType="separate"/>
      </w:r>
      <w:r>
        <w:rPr>
          <w:rStyle w:val="13"/>
          <w:color w:val="0563C1"/>
        </w:rPr>
        <w:t>[222,437]. IL DIGITALE IN ITALIA 2025</w:t>
      </w:r>
      <w:r>
        <w:rPr>
          <w:rStyle w:val="13"/>
          <w:color w:val="0563C1"/>
        </w:rPr>
        <w:fldChar w:fldCharType="end"/>
      </w:r>
    </w:p>
    <w:p w14:paraId="76D429CD">
      <w:pPr>
        <w:spacing w:after="200" w:line="400" w:lineRule="atLeast"/>
      </w:pPr>
      <w:r>
        <w:fldChar w:fldCharType="begin"/>
      </w:r>
      <w:r>
        <w:instrText xml:space="preserve"> HYPERLINK "https://fred.stlouisfed.org/series/SPPOPDPNDOLJPN" \h </w:instrText>
      </w:r>
      <w:r>
        <w:fldChar w:fldCharType="separate"/>
      </w:r>
      <w:r>
        <w:rPr>
          <w:rStyle w:val="13"/>
          <w:color w:val="0563C1"/>
        </w:rPr>
        <w:t>[227,228]. Age Dependency Ratio: Older Dependents to Working-Age Population for Japan</w:t>
      </w:r>
      <w:r>
        <w:rPr>
          <w:rStyle w:val="13"/>
          <w:color w:val="0563C1"/>
        </w:rPr>
        <w:fldChar w:fldCharType="end"/>
      </w:r>
    </w:p>
    <w:p w14:paraId="5C33BA72">
      <w:pPr>
        <w:spacing w:after="200" w:line="400" w:lineRule="atLeast"/>
      </w:pPr>
      <w:r>
        <w:fldChar w:fldCharType="begin"/>
      </w:r>
      <w:r>
        <w:instrText xml:space="preserve"> HYPERLINK "https://earth.org/understanding-japans-demographic-crisis-an-alternative-perspective-on-population-decline/#%3A~%3Atext%3DJapan%20holds%20the%20world%27s%20second%2Cold%20%2819.37%20million%20people%29%3B" \h </w:instrText>
      </w:r>
      <w:r>
        <w:fldChar w:fldCharType="separate"/>
      </w:r>
      <w:r>
        <w:rPr>
          <w:rStyle w:val="13"/>
          <w:color w:val="0563C1"/>
        </w:rPr>
        <w:t>[229,230,273,275,279]. Japan’s Demographic Situation</w:t>
      </w:r>
      <w:r>
        <w:rPr>
          <w:rStyle w:val="13"/>
          <w:color w:val="0563C1"/>
        </w:rPr>
        <w:fldChar w:fldCharType="end"/>
      </w:r>
    </w:p>
    <w:p w14:paraId="7DCF3D47">
      <w:pPr>
        <w:spacing w:after="200" w:line="400" w:lineRule="atLeast"/>
      </w:pPr>
      <w:r>
        <w:fldChar w:fldCharType="begin"/>
      </w:r>
      <w:r>
        <w:instrText xml:space="preserve"> HYPERLINK "https://www.factmr.com/report/disabled-and-elderly-assistive-technology-market" \h </w:instrText>
      </w:r>
      <w:r>
        <w:fldChar w:fldCharType="separate"/>
      </w:r>
      <w:r>
        <w:rPr>
          <w:rStyle w:val="13"/>
          <w:color w:val="0563C1"/>
        </w:rPr>
        <w:t>[236,248]. Disabled and Elderly Assistive Technology Market</w:t>
      </w:r>
      <w:r>
        <w:rPr>
          <w:rStyle w:val="13"/>
          <w:color w:val="0563C1"/>
        </w:rPr>
        <w:fldChar w:fldCharType="end"/>
      </w:r>
    </w:p>
    <w:p w14:paraId="08E7D518">
      <w:pPr>
        <w:spacing w:after="200" w:line="400" w:lineRule="atLeast"/>
      </w:pPr>
      <w:r>
        <w:fldChar w:fldCharType="begin"/>
      </w:r>
      <w:r>
        <w:instrText xml:space="preserve"> HYPERLINK "https://dailyguardian.ca/global-disabled-and-elderly-assistive-technology-research-report-2024-market-to-reach-41-7-billion-by-2030-from-24-9-billion-in-2022-personalized-and-adaptive-control-systems-gain-momentum/?amp=1" \h </w:instrText>
      </w:r>
      <w:r>
        <w:fldChar w:fldCharType="separate"/>
      </w:r>
      <w:r>
        <w:rPr>
          <w:rStyle w:val="13"/>
          <w:color w:val="0563C1"/>
        </w:rPr>
        <w:t>[237,249]. Global Disabled and Elderly Assistive Technology Market to Reach $41.7 Billion by 2030</w:t>
      </w:r>
      <w:r>
        <w:rPr>
          <w:rStyle w:val="13"/>
          <w:color w:val="0563C1"/>
        </w:rPr>
        <w:fldChar w:fldCharType="end"/>
      </w:r>
    </w:p>
    <w:p w14:paraId="67C5A272">
      <w:pPr>
        <w:spacing w:after="200" w:line="400" w:lineRule="atLeast"/>
      </w:pPr>
      <w:r>
        <w:fldChar w:fldCharType="begin"/>
      </w:r>
      <w:r>
        <w:instrText xml:space="preserve"> HYPERLINK "https://tokyoesque.com/japan-agetech-healthcare/" \h </w:instrText>
      </w:r>
      <w:r>
        <w:fldChar w:fldCharType="separate"/>
      </w:r>
      <w:r>
        <w:rPr>
          <w:rStyle w:val="13"/>
          <w:color w:val="0563C1"/>
        </w:rPr>
        <w:t>[238,242]. Japan Agetech: Seize Opportunities in a Growing Market</w:t>
      </w:r>
      <w:r>
        <w:rPr>
          <w:rStyle w:val="13"/>
          <w:color w:val="0563C1"/>
        </w:rPr>
        <w:fldChar w:fldCharType="end"/>
      </w:r>
    </w:p>
    <w:p w14:paraId="62E5BC5A">
      <w:pPr>
        <w:spacing w:after="200" w:line="400" w:lineRule="atLeast"/>
      </w:pPr>
      <w:r>
        <w:fldChar w:fldCharType="begin"/>
      </w:r>
      <w:r>
        <w:instrText xml:space="preserve"> HYPERLINK "https://www.csagroup.org/wp-content/uploads/CSA-Group-Research-AAL.pdf?srsltid=AfmBOor4dVNo1pL7SreE0ZCQniI_ZPmBVMaq82EG-0tKnd1XYw9GLXDv" \h </w:instrText>
      </w:r>
      <w:r>
        <w:fldChar w:fldCharType="separate"/>
      </w:r>
      <w:r>
        <w:rPr>
          <w:rStyle w:val="13"/>
          <w:color w:val="0563C1"/>
        </w:rPr>
        <w:t>[239]. The Active Assisted Living Landscape in Canada</w:t>
      </w:r>
      <w:r>
        <w:rPr>
          <w:rStyle w:val="13"/>
          <w:color w:val="0563C1"/>
        </w:rPr>
        <w:fldChar w:fldCharType="end"/>
      </w:r>
    </w:p>
    <w:p w14:paraId="0BC6A4E8">
      <w:pPr>
        <w:spacing w:after="200" w:line="400" w:lineRule="atLeast"/>
      </w:pPr>
      <w:r>
        <w:fldChar w:fldCharType="begin"/>
      </w:r>
      <w:r>
        <w:instrText xml:space="preserve"> HYPERLINK "https://digitalfuturesociety.com/app/uploads/2024/08/DFS_CUIDADOS_ENG_31072024.pdf" \h </w:instrText>
      </w:r>
      <w:r>
        <w:fldChar w:fldCharType="separate"/>
      </w:r>
      <w:r>
        <w:rPr>
          <w:rStyle w:val="13"/>
          <w:color w:val="0563C1"/>
        </w:rPr>
        <w:t>[240,245]. Incorporating new assistive technologies into elder care and the related ethical challenges</w:t>
      </w:r>
      <w:r>
        <w:rPr>
          <w:rStyle w:val="13"/>
          <w:color w:val="0563C1"/>
        </w:rPr>
        <w:fldChar w:fldCharType="end"/>
      </w:r>
    </w:p>
    <w:p w14:paraId="0CB0092A">
      <w:pPr>
        <w:spacing w:after="200" w:line="400" w:lineRule="atLeast"/>
      </w:pPr>
      <w:r>
        <w:fldChar w:fldCharType="begin"/>
      </w:r>
      <w:r>
        <w:instrText xml:space="preserve"> HYPERLINK "https://research.nus.edu.sg/eai/wp-content/uploads/sites/2/2020/12/EAIBB-No.-1531-Robotics-in-elderly-care-sector-in-China-and-Japan-2.pdf" \h </w:instrText>
      </w:r>
      <w:r>
        <w:fldChar w:fldCharType="separate"/>
      </w:r>
      <w:r>
        <w:rPr>
          <w:rStyle w:val="13"/>
          <w:color w:val="0563C1"/>
        </w:rPr>
        <w:t>[241,246]. ROBOTICS IN THE ELDERLY CARE SECTOR: A COMPARATIVE STUDY BETWEEN CHINA AND JAPAN</w:t>
      </w:r>
      <w:r>
        <w:rPr>
          <w:rStyle w:val="13"/>
          <w:color w:val="0563C1"/>
        </w:rPr>
        <w:fldChar w:fldCharType="end"/>
      </w:r>
    </w:p>
    <w:p w14:paraId="2BDB7052">
      <w:pPr>
        <w:spacing w:after="200" w:line="400" w:lineRule="atLeast"/>
      </w:pPr>
      <w:r>
        <w:fldChar w:fldCharType="begin"/>
      </w:r>
      <w:r>
        <w:instrText xml:space="preserve"> HYPERLINK "https://www.mlit.go.jp/english/white-paper/2011.pdf" \h </w:instrText>
      </w:r>
      <w:r>
        <w:fldChar w:fldCharType="separate"/>
      </w:r>
      <w:r>
        <w:rPr>
          <w:rStyle w:val="13"/>
          <w:color w:val="0563C1"/>
        </w:rPr>
        <w:t>[244,251]. WHITE PAPER ON LAND, INFRASTRUCTURE, TRANSPORT AND TOURISM IN JAPAN, 2011</w:t>
      </w:r>
      <w:r>
        <w:rPr>
          <w:rStyle w:val="13"/>
          <w:color w:val="0563C1"/>
        </w:rPr>
        <w:fldChar w:fldCharType="end"/>
      </w:r>
    </w:p>
    <w:p w14:paraId="38A4A1C2">
      <w:pPr>
        <w:spacing w:after="200" w:line="400" w:lineRule="atLeast"/>
      </w:pPr>
      <w:r>
        <w:fldChar w:fldCharType="begin"/>
      </w:r>
      <w:r>
        <w:instrText xml:space="preserve"> HYPERLINK "https://www.dlapiper.com/en/insights/publications/real-estate-gazette/real-estate-gazette-living-capital/5-japan-investment-in-facilities-for-the-elderly-in-japan" \h </w:instrText>
      </w:r>
      <w:r>
        <w:fldChar w:fldCharType="separate"/>
      </w:r>
      <w:r>
        <w:rPr>
          <w:rStyle w:val="13"/>
          <w:color w:val="0563C1"/>
        </w:rPr>
        <w:t>[247,252,416]. Investment in facilities for the elderly in Japan</w:t>
      </w:r>
      <w:r>
        <w:rPr>
          <w:rStyle w:val="13"/>
          <w:color w:val="0563C1"/>
        </w:rPr>
        <w:fldChar w:fldCharType="end"/>
      </w:r>
    </w:p>
    <w:p w14:paraId="0232E1A0">
      <w:pPr>
        <w:spacing w:after="200" w:line="400" w:lineRule="atLeast"/>
      </w:pPr>
      <w:r>
        <w:fldChar w:fldCharType="begin"/>
      </w:r>
      <w:r>
        <w:instrText xml:space="preserve"> HYPERLINK "https://www.industryresearch.biz/zh/market-reports/disabled-and-elderly-assistive-technology-market-104565" \h </w:instrText>
      </w:r>
      <w:r>
        <w:fldChar w:fldCharType="separate"/>
      </w:r>
      <w:r>
        <w:rPr>
          <w:rStyle w:val="13"/>
          <w:color w:val="0563C1"/>
        </w:rPr>
        <w:t>[250]. 残疾人和老年辅助技术市场概述</w:t>
      </w:r>
      <w:r>
        <w:rPr>
          <w:rStyle w:val="13"/>
          <w:color w:val="0563C1"/>
        </w:rPr>
        <w:fldChar w:fldCharType="end"/>
      </w:r>
    </w:p>
    <w:p w14:paraId="2231AA32">
      <w:pPr>
        <w:spacing w:after="200" w:line="400" w:lineRule="atLeast"/>
      </w:pPr>
      <w:r>
        <w:fldChar w:fldCharType="begin"/>
      </w:r>
      <w:r>
        <w:instrText xml:space="preserve"> HYPERLINK "https://www.mizuhobank.co.jp/corporate/industry/sangyou/pdf/mif_121.pdf" \h </w:instrText>
      </w:r>
      <w:r>
        <w:fldChar w:fldCharType="separate"/>
      </w:r>
      <w:r>
        <w:rPr>
          <w:rStyle w:val="13"/>
          <w:color w:val="0563C1"/>
        </w:rPr>
        <w:t>[253]. Mizuho Industry Focus Vol.121 賃貸住宅市場の現状と展望 ～2030年の市場規模予測と事業の方向性～</w:t>
      </w:r>
      <w:r>
        <w:rPr>
          <w:rStyle w:val="13"/>
          <w:color w:val="0563C1"/>
        </w:rPr>
        <w:fldChar w:fldCharType="end"/>
      </w:r>
    </w:p>
    <w:p w14:paraId="1FB678B1">
      <w:pPr>
        <w:spacing w:after="200" w:line="400" w:lineRule="atLeast"/>
      </w:pPr>
      <w:r>
        <w:fldChar w:fldCharType="begin"/>
      </w:r>
      <w:r>
        <w:instrText xml:space="preserve"> HYPERLINK "https://cdnw8.eu-japan.eu/sites/default/files/2021-01-japanese-consumers-behavior_0.pdf" \h </w:instrText>
      </w:r>
      <w:r>
        <w:fldChar w:fldCharType="separate"/>
      </w:r>
      <w:r>
        <w:rPr>
          <w:rStyle w:val="13"/>
          <w:color w:val="0563C1"/>
        </w:rPr>
        <w:t>[256]. JAPANESE CONSUMERS` BEHAVIOR: BY AGE AND GENDER</w:t>
      </w:r>
      <w:r>
        <w:rPr>
          <w:rStyle w:val="13"/>
          <w:color w:val="0563C1"/>
        </w:rPr>
        <w:fldChar w:fldCharType="end"/>
      </w:r>
    </w:p>
    <w:p w14:paraId="49D16E3E">
      <w:pPr>
        <w:spacing w:after="200" w:line="400" w:lineRule="atLeast"/>
      </w:pPr>
      <w:r>
        <w:fldChar w:fldCharType="begin"/>
      </w:r>
      <w:r>
        <w:instrText xml:space="preserve"> HYPERLINK "https://www.stat.go.jp/english/data/handbook/pdf/2011all.pdf" \h </w:instrText>
      </w:r>
      <w:r>
        <w:fldChar w:fldCharType="separate"/>
      </w:r>
      <w:r>
        <w:rPr>
          <w:rStyle w:val="13"/>
          <w:color w:val="0563C1"/>
        </w:rPr>
        <w:t>[258,268]. Statistical Handbook of Japan 2011</w:t>
      </w:r>
      <w:r>
        <w:rPr>
          <w:rStyle w:val="13"/>
          <w:color w:val="0563C1"/>
        </w:rPr>
        <w:fldChar w:fldCharType="end"/>
      </w:r>
    </w:p>
    <w:p w14:paraId="0885D4FF">
      <w:pPr>
        <w:spacing w:after="200" w:line="400" w:lineRule="atLeast"/>
      </w:pPr>
      <w:r>
        <w:fldChar w:fldCharType="begin"/>
      </w:r>
      <w:r>
        <w:instrText xml:space="preserve"> HYPERLINK "https://link.springer.com/article/10.1007/s11150-024-09710-z" \h </w:instrText>
      </w:r>
      <w:r>
        <w:fldChar w:fldCharType="separate"/>
      </w:r>
      <w:r>
        <w:rPr>
          <w:rStyle w:val="13"/>
          <w:color w:val="0563C1"/>
        </w:rPr>
        <w:t>[259]. The time trend and life-cycle profiles of consumption</w:t>
      </w:r>
      <w:r>
        <w:rPr>
          <w:rStyle w:val="13"/>
          <w:color w:val="0563C1"/>
        </w:rPr>
        <w:fldChar w:fldCharType="end"/>
      </w:r>
    </w:p>
    <w:p w14:paraId="50B78F7E">
      <w:pPr>
        <w:spacing w:after="200" w:line="400" w:lineRule="atLeast"/>
      </w:pPr>
      <w:r>
        <w:fldChar w:fldCharType="begin"/>
      </w:r>
      <w:r>
        <w:instrText xml:space="preserve"> HYPERLINK "https://www.apda.jp/pdf/p07_jarc/2014_Aging_2014-2015.pdf" \h </w:instrText>
      </w:r>
      <w:r>
        <w:fldChar w:fldCharType="separate"/>
      </w:r>
      <w:r>
        <w:rPr>
          <w:rStyle w:val="13"/>
          <w:color w:val="0563C1"/>
        </w:rPr>
        <w:t>[260]. 高齢社会基礎資料 '14-'15年版 Data Book on Aging in Japan 2014-2015</w:t>
      </w:r>
      <w:r>
        <w:rPr>
          <w:rStyle w:val="13"/>
          <w:color w:val="0563C1"/>
        </w:rPr>
        <w:fldChar w:fldCharType="end"/>
      </w:r>
    </w:p>
    <w:p w14:paraId="09CE997A">
      <w:pPr>
        <w:spacing w:after="200" w:line="400" w:lineRule="atLeast"/>
      </w:pPr>
      <w:r>
        <w:fldChar w:fldCharType="begin"/>
      </w:r>
      <w:r>
        <w:instrText xml:space="preserve"> HYPERLINK "http://nenkinsha-u.org/04-youkyuundou/pdf/soumusyou_koureisy_jinkou_3461mam280918.pdf" \h </w:instrText>
      </w:r>
      <w:r>
        <w:fldChar w:fldCharType="separate"/>
      </w:r>
      <w:r>
        <w:rPr>
          <w:rStyle w:val="13"/>
          <w:color w:val="0563C1"/>
        </w:rPr>
        <w:t>[261,263,376,425]. 統計からみた我が国の高齢者（65歳以上）－「敬老の日」にちなんで－</w:t>
      </w:r>
      <w:r>
        <w:rPr>
          <w:rStyle w:val="13"/>
          <w:color w:val="0563C1"/>
        </w:rPr>
        <w:fldChar w:fldCharType="end"/>
      </w:r>
    </w:p>
    <w:p w14:paraId="3C875F30">
      <w:pPr>
        <w:spacing w:after="200" w:line="400" w:lineRule="atLeast"/>
      </w:pPr>
      <w:r>
        <w:fldChar w:fldCharType="begin"/>
      </w:r>
      <w:r>
        <w:instrText xml:space="preserve"> HYPERLINK "https://www.dbj.jp/en/investigate/archive/report/research/pdf_all/48.pdf" \h </w:instrText>
      </w:r>
      <w:r>
        <w:fldChar w:fldCharType="separate"/>
      </w:r>
      <w:r>
        <w:rPr>
          <w:rStyle w:val="13"/>
          <w:color w:val="0563C1"/>
        </w:rPr>
        <w:t>[262,270,377,430]. Recent Trends in the Japanese Economy: Medium-term Outlook of Japanese Industrial Structure</w:t>
      </w:r>
      <w:r>
        <w:rPr>
          <w:rStyle w:val="13"/>
          <w:color w:val="0563C1"/>
        </w:rPr>
        <w:fldChar w:fldCharType="end"/>
      </w:r>
    </w:p>
    <w:p w14:paraId="2EC8C2B2">
      <w:pPr>
        <w:spacing w:after="200" w:line="400" w:lineRule="atLeast"/>
      </w:pPr>
      <w:r>
        <w:fldChar w:fldCharType="begin"/>
      </w:r>
      <w:r>
        <w:instrText xml:space="preserve"> HYPERLINK "https://www.scharvestcap.com/en/research/info.aspx?itemid=3346" \h </w:instrText>
      </w:r>
      <w:r>
        <w:fldChar w:fldCharType="separate"/>
      </w:r>
      <w:r>
        <w:rPr>
          <w:rStyle w:val="13"/>
          <w:color w:val="0563C1"/>
        </w:rPr>
        <w:t>[264,271,432]. The transformation of consumer patterns in Japanese society: Basic principles following changes in "people"</w:t>
      </w:r>
      <w:r>
        <w:rPr>
          <w:rStyle w:val="13"/>
          <w:color w:val="0563C1"/>
        </w:rPr>
        <w:fldChar w:fldCharType="end"/>
      </w:r>
    </w:p>
    <w:p w14:paraId="69DBF1FD">
      <w:pPr>
        <w:spacing w:after="200" w:line="400" w:lineRule="atLeast"/>
      </w:pPr>
      <w:r>
        <w:fldChar w:fldCharType="begin"/>
      </w:r>
      <w:r>
        <w:instrText xml:space="preserve"> HYPERLINK "https://www.nippon.com/en/in-depth/a04901/" \h </w:instrText>
      </w:r>
      <w:r>
        <w:fldChar w:fldCharType="separate"/>
      </w:r>
      <w:r>
        <w:rPr>
          <w:rStyle w:val="13"/>
          <w:color w:val="0563C1"/>
        </w:rPr>
        <w:t>[266,267]. Aging Consumers Reshaping Japanese Market</w:t>
      </w:r>
      <w:r>
        <w:rPr>
          <w:rStyle w:val="13"/>
          <w:color w:val="0563C1"/>
        </w:rPr>
        <w:fldChar w:fldCharType="end"/>
      </w:r>
    </w:p>
    <w:p w14:paraId="663EFCB4">
      <w:pPr>
        <w:spacing w:after="200" w:line="400" w:lineRule="atLeast"/>
      </w:pPr>
      <w:r>
        <w:fldChar w:fldCharType="begin"/>
      </w:r>
      <w:r>
        <w:instrText xml:space="preserve"> HYPERLINK "https://www.i-repository.net/contents/outemon/ir/wp/wp2022-2.pdf" \h </w:instrText>
      </w:r>
      <w:r>
        <w:fldChar w:fldCharType="separate"/>
      </w:r>
      <w:r>
        <w:rPr>
          <w:rStyle w:val="13"/>
          <w:color w:val="0563C1"/>
        </w:rPr>
        <w:t>[269]. Testing the weak separability of consumer preference between goods and services in Japan</w:t>
      </w:r>
      <w:r>
        <w:rPr>
          <w:rStyle w:val="13"/>
          <w:color w:val="0563C1"/>
        </w:rPr>
        <w:fldChar w:fldCharType="end"/>
      </w:r>
    </w:p>
    <w:p w14:paraId="383D8A6A">
      <w:pPr>
        <w:spacing w:after="200" w:line="400" w:lineRule="atLeast"/>
      </w:pPr>
      <w:r>
        <w:fldChar w:fldCharType="begin"/>
      </w:r>
      <w:r>
        <w:instrText xml:space="preserve"> HYPERLINK "https://www.jri.co.jp/MediaLibrary/file/column/opinion/pdf/2504_mhlwkrouken_report_136_2.pdf" \h </w:instrText>
      </w:r>
      <w:r>
        <w:fldChar w:fldCharType="separate"/>
      </w:r>
      <w:r>
        <w:rPr>
          <w:rStyle w:val="13"/>
          <w:color w:val="0563C1"/>
        </w:rPr>
        <w:t>[272,278,282,285,396]. 「身寄りのない高齢者」を介護施設等で受け入れるときの主なポイント</w:t>
      </w:r>
      <w:r>
        <w:rPr>
          <w:rStyle w:val="13"/>
          <w:color w:val="0563C1"/>
        </w:rPr>
        <w:fldChar w:fldCharType="end"/>
      </w:r>
    </w:p>
    <w:p w14:paraId="2462E60B">
      <w:pPr>
        <w:spacing w:after="200" w:line="400" w:lineRule="atLeast"/>
      </w:pPr>
      <w:r>
        <w:fldChar w:fldCharType="begin"/>
      </w:r>
      <w:r>
        <w:instrText xml:space="preserve"> HYPERLINK "https://www.union.nakaniikawa.toyama.jp/05kaigo/pdf/jk9.pdf" \h </w:instrText>
      </w:r>
      <w:r>
        <w:fldChar w:fldCharType="separate"/>
      </w:r>
      <w:r>
        <w:rPr>
          <w:rStyle w:val="13"/>
          <w:color w:val="0563C1"/>
        </w:rPr>
        <w:t>[276,280,329]. 第9期介護保険事業計画【令和6年度～令和8年度】</w:t>
      </w:r>
      <w:r>
        <w:rPr>
          <w:rStyle w:val="13"/>
          <w:color w:val="0563C1"/>
        </w:rPr>
        <w:fldChar w:fldCharType="end"/>
      </w:r>
    </w:p>
    <w:p w14:paraId="3E0AE360">
      <w:pPr>
        <w:spacing w:after="200" w:line="400" w:lineRule="atLeast"/>
      </w:pPr>
      <w:r>
        <w:fldChar w:fldCharType="begin"/>
      </w:r>
      <w:r>
        <w:instrText xml:space="preserve"> HYPERLINK "https://pmc.ncbi.nlm.nih.gov/articles/PMC10340401/" \h </w:instrText>
      </w:r>
      <w:r>
        <w:fldChar w:fldCharType="separate"/>
      </w:r>
      <w:r>
        <w:rPr>
          <w:rStyle w:val="13"/>
          <w:color w:val="0563C1"/>
        </w:rPr>
        <w:t>[277]. Preferences for Care Facilities Among Older Adults in Japan: The Role of Household Structure, Economic Status, and Other Factors</w:t>
      </w:r>
      <w:r>
        <w:rPr>
          <w:rStyle w:val="13"/>
          <w:color w:val="0563C1"/>
        </w:rPr>
        <w:fldChar w:fldCharType="end"/>
      </w:r>
    </w:p>
    <w:p w14:paraId="34058746">
      <w:pPr>
        <w:spacing w:after="200" w:line="400" w:lineRule="atLeast"/>
      </w:pPr>
      <w:r>
        <w:fldChar w:fldCharType="begin"/>
      </w:r>
      <w:r>
        <w:instrText xml:space="preserve"> HYPERLINK "https://agriculture.canada.ca/en/international-trade/market-intelligence/reports-and-guides/consumer-profile-japan" \h </w:instrText>
      </w:r>
      <w:r>
        <w:fldChar w:fldCharType="separate"/>
      </w:r>
      <w:r>
        <w:rPr>
          <w:rStyle w:val="13"/>
          <w:color w:val="0563C1"/>
        </w:rPr>
        <w:t>[281,288]. Japan's Economic and Demographic Trends</w:t>
      </w:r>
      <w:r>
        <w:rPr>
          <w:rStyle w:val="13"/>
          <w:color w:val="0563C1"/>
        </w:rPr>
        <w:fldChar w:fldCharType="end"/>
      </w:r>
    </w:p>
    <w:p w14:paraId="675E1AA5">
      <w:pPr>
        <w:spacing w:after="200" w:line="400" w:lineRule="atLeast"/>
      </w:pPr>
      <w:r>
        <w:fldChar w:fldCharType="begin"/>
      </w:r>
      <w:r>
        <w:instrText xml:space="preserve"> HYPERLINK "https://www.jkri.or.jp/PDF/2022/Rep185abeyama.pdf" \h </w:instrText>
      </w:r>
      <w:r>
        <w:fldChar w:fldCharType="separate"/>
      </w:r>
      <w:r>
        <w:rPr>
          <w:rStyle w:val="13"/>
          <w:color w:val="0563C1"/>
        </w:rPr>
        <w:t>[283]. 令和6年度介護保険制度の動向</w:t>
      </w:r>
      <w:r>
        <w:rPr>
          <w:rStyle w:val="13"/>
          <w:color w:val="0563C1"/>
        </w:rPr>
        <w:fldChar w:fldCharType="end"/>
      </w:r>
    </w:p>
    <w:p w14:paraId="5EE6FF04">
      <w:pPr>
        <w:spacing w:after="200" w:line="400" w:lineRule="atLeast"/>
      </w:pPr>
      <w:r>
        <w:fldChar w:fldCharType="begin"/>
      </w:r>
      <w:r>
        <w:instrText xml:space="preserve"> HYPERLINK "https://www.city.anjo.aichi.jp/kurasu/fukushikaigo/kaigo/documents/5syou.pdf" \h </w:instrText>
      </w:r>
      <w:r>
        <w:fldChar w:fldCharType="separate"/>
      </w:r>
      <w:r>
        <w:rPr>
          <w:rStyle w:val="13"/>
          <w:color w:val="0563C1"/>
        </w:rPr>
        <w:t>[284]. 第5章 介護保険事業の運営</w:t>
      </w:r>
      <w:r>
        <w:rPr>
          <w:rStyle w:val="13"/>
          <w:color w:val="0563C1"/>
        </w:rPr>
        <w:fldChar w:fldCharType="end"/>
      </w:r>
    </w:p>
    <w:p w14:paraId="74730CF5">
      <w:pPr>
        <w:spacing w:after="200" w:line="400" w:lineRule="atLeast"/>
      </w:pPr>
      <w:r>
        <w:fldChar w:fldCharType="begin"/>
      </w:r>
      <w:r>
        <w:instrText xml:space="preserve"> HYPERLINK "https://www.cas.go.jp/jp/seisaku/zensedai_hosyo/dai3/sankou1.pdf" \h </w:instrText>
      </w:r>
      <w:r>
        <w:fldChar w:fldCharType="separate"/>
      </w:r>
      <w:r>
        <w:rPr>
          <w:rStyle w:val="13"/>
          <w:color w:val="0563C1"/>
        </w:rPr>
        <w:t>[286]. 基礎資料集</w:t>
      </w:r>
      <w:r>
        <w:rPr>
          <w:rStyle w:val="13"/>
          <w:color w:val="0563C1"/>
        </w:rPr>
        <w:fldChar w:fldCharType="end"/>
      </w:r>
    </w:p>
    <w:p w14:paraId="486BA2F4">
      <w:pPr>
        <w:spacing w:after="200" w:line="400" w:lineRule="atLeast"/>
      </w:pPr>
      <w:r>
        <w:fldChar w:fldCharType="begin"/>
      </w:r>
      <w:r>
        <w:instrText xml:space="preserve"> HYPERLINK "https://www.town.hyogo-inami.lg.jp/cmsfiles/contents/0000006/6639/20240306keikaku.pdf" \h </w:instrText>
      </w:r>
      <w:r>
        <w:fldChar w:fldCharType="separate"/>
      </w:r>
      <w:r>
        <w:rPr>
          <w:rStyle w:val="13"/>
          <w:color w:val="0563C1"/>
        </w:rPr>
        <w:t>[287]. 稲美町高齢者福祉計画・第9期介護保険事業計画</w:t>
      </w:r>
      <w:r>
        <w:rPr>
          <w:rStyle w:val="13"/>
          <w:color w:val="0563C1"/>
        </w:rPr>
        <w:fldChar w:fldCharType="end"/>
      </w:r>
    </w:p>
    <w:p w14:paraId="764C6C9A">
      <w:pPr>
        <w:spacing w:after="200" w:line="400" w:lineRule="atLeast"/>
      </w:pPr>
      <w:r>
        <w:fldChar w:fldCharType="begin"/>
      </w:r>
      <w:r>
        <w:instrText xml:space="preserve"> HYPERLINK "https://pdf.irpocket.com/C6976/FWdS/Tflg/opUS.pdf" \h </w:instrText>
      </w:r>
      <w:r>
        <w:fldChar w:fldCharType="separate"/>
      </w:r>
      <w:r>
        <w:rPr>
          <w:rStyle w:val="13"/>
          <w:color w:val="0563C1"/>
        </w:rPr>
        <w:t>[290,296,413]. Growing with Society Toward New IoT Era: Integrated Report TAIYO YUDEN Report 2018</w:t>
      </w:r>
      <w:r>
        <w:rPr>
          <w:rStyle w:val="13"/>
          <w:color w:val="0563C1"/>
        </w:rPr>
        <w:fldChar w:fldCharType="end"/>
      </w:r>
    </w:p>
    <w:p w14:paraId="2FD0A2A0">
      <w:pPr>
        <w:spacing w:after="200" w:line="400" w:lineRule="atLeast"/>
      </w:pPr>
      <w:r>
        <w:fldChar w:fldCharType="begin"/>
      </w:r>
      <w:r>
        <w:instrText xml:space="preserve"> HYPERLINK "https://pdf.irpocket.com/C6976/FWdS/Tflg/NAEl.pdf" \h </w:instrText>
      </w:r>
      <w:r>
        <w:fldChar w:fldCharType="separate"/>
      </w:r>
      <w:r>
        <w:rPr>
          <w:rStyle w:val="13"/>
          <w:color w:val="0563C1"/>
        </w:rPr>
        <w:t>[291,297]. GROWING WITH SOCIETY TOWARD NEW IoT ERA</w:t>
      </w:r>
      <w:r>
        <w:rPr>
          <w:rStyle w:val="13"/>
          <w:color w:val="0563C1"/>
        </w:rPr>
        <w:fldChar w:fldCharType="end"/>
      </w:r>
    </w:p>
    <w:p w14:paraId="160B5639">
      <w:pPr>
        <w:spacing w:after="200" w:line="400" w:lineRule="atLeast"/>
      </w:pPr>
      <w:r>
        <w:fldChar w:fldCharType="begin"/>
      </w:r>
      <w:r>
        <w:instrText xml:space="preserve"> HYPERLINK "https://icact.org/download/journal/Volume_3_Issue_5.pdf" \h </w:instrText>
      </w:r>
      <w:r>
        <w:fldChar w:fldCharType="separate"/>
      </w:r>
      <w:r>
        <w:rPr>
          <w:rStyle w:val="13"/>
          <w:color w:val="0563C1"/>
        </w:rPr>
        <w:t>[292]. ICACT-TACT JOURNAL Transactions on Advanced Communications Technology</w:t>
      </w:r>
      <w:r>
        <w:rPr>
          <w:rStyle w:val="13"/>
          <w:color w:val="0563C1"/>
        </w:rPr>
        <w:fldChar w:fldCharType="end"/>
      </w:r>
    </w:p>
    <w:p w14:paraId="7D437D60">
      <w:pPr>
        <w:spacing w:after="200" w:line="400" w:lineRule="atLeast"/>
      </w:pPr>
      <w:r>
        <w:fldChar w:fldCharType="begin"/>
      </w:r>
      <w:r>
        <w:instrText xml:space="preserve"> HYPERLINK "https://welcon.kocca.kr/cmm/fms/CrawlingFileDown.do?atchFileId=FILE_c660be41-82b1-409a-a76e-4d3b1e5e896e&amp;fileSn=1" \h </w:instrText>
      </w:r>
      <w:r>
        <w:fldChar w:fldCharType="separate"/>
      </w:r>
      <w:r>
        <w:rPr>
          <w:rStyle w:val="13"/>
          <w:color w:val="0563C1"/>
        </w:rPr>
        <w:t>[293]. 일본 콘텐츠산업동향</w:t>
      </w:r>
      <w:r>
        <w:rPr>
          <w:rStyle w:val="13"/>
          <w:color w:val="0563C1"/>
        </w:rPr>
        <w:fldChar w:fldCharType="end"/>
      </w:r>
    </w:p>
    <w:p w14:paraId="113622E7">
      <w:pPr>
        <w:spacing w:after="200" w:line="400" w:lineRule="atLeast"/>
      </w:pPr>
      <w:r>
        <w:fldChar w:fldCharType="begin"/>
      </w:r>
      <w:r>
        <w:instrText xml:space="preserve"> HYPERLINK "http://www.caaps.us/files/2015_CAAPS_Convention_Proceedings-Reduced_Size.pdf" \h </w:instrText>
      </w:r>
      <w:r>
        <w:fldChar w:fldCharType="separate"/>
      </w:r>
      <w:r>
        <w:rPr>
          <w:rStyle w:val="13"/>
          <w:color w:val="0563C1"/>
        </w:rPr>
        <w:t>[294,298]. 表率群伦</w:t>
      </w:r>
      <w:r>
        <w:rPr>
          <w:rStyle w:val="13"/>
          <w:color w:val="0563C1"/>
        </w:rPr>
        <w:fldChar w:fldCharType="end"/>
      </w:r>
    </w:p>
    <w:p w14:paraId="37BC9083">
      <w:pPr>
        <w:spacing w:after="200" w:line="400" w:lineRule="atLeast"/>
      </w:pPr>
      <w:r>
        <w:fldChar w:fldCharType="begin"/>
      </w:r>
      <w:r>
        <w:instrText xml:space="preserve"> HYPERLINK "https://www.163.com/dy/article/ICLCOGKH05385HGT.html" \h </w:instrText>
      </w:r>
      <w:r>
        <w:fldChar w:fldCharType="separate"/>
      </w:r>
      <w:r>
        <w:rPr>
          <w:rStyle w:val="13"/>
          <w:color w:val="0563C1"/>
        </w:rPr>
        <w:t>[295]. 数字驱动：广告营销激活用户价值</w:t>
      </w:r>
      <w:r>
        <w:rPr>
          <w:rStyle w:val="13"/>
          <w:color w:val="0563C1"/>
        </w:rPr>
        <w:fldChar w:fldCharType="end"/>
      </w:r>
    </w:p>
    <w:p w14:paraId="565A5D91">
      <w:pPr>
        <w:spacing w:after="200" w:line="400" w:lineRule="atLeast"/>
      </w:pPr>
      <w:r>
        <w:fldChar w:fldCharType="begin"/>
      </w:r>
      <w:r>
        <w:instrText xml:space="preserve"> HYPERLINK "https://www.techsciresearch.com/report/japan-elderly-care-services-market/24246.html" \h </w:instrText>
      </w:r>
      <w:r>
        <w:fldChar w:fldCharType="separate"/>
      </w:r>
      <w:r>
        <w:rPr>
          <w:rStyle w:val="13"/>
          <w:color w:val="0563C1"/>
        </w:rPr>
        <w:t>[299]. Japan Elderly Care Services Market</w:t>
      </w:r>
      <w:r>
        <w:rPr>
          <w:rStyle w:val="13"/>
          <w:color w:val="0563C1"/>
        </w:rPr>
        <w:fldChar w:fldCharType="end"/>
      </w:r>
    </w:p>
    <w:p w14:paraId="3A9713B9">
      <w:pPr>
        <w:spacing w:after="200" w:line="400" w:lineRule="atLeast"/>
      </w:pPr>
      <w:r>
        <w:fldChar w:fldCharType="begin"/>
      </w:r>
      <w:r>
        <w:instrText xml:space="preserve"> HYPERLINK "https://www.researchandmarkets.com/reports/5986557/japan-elderly-care-medical-devices-market?srsltid=AfmBOoqHHmWbhZJx3BxwOLahQX6usq14EZr25BG4TmPcTTYdx-tmoot3" \h </w:instrText>
      </w:r>
      <w:r>
        <w:fldChar w:fldCharType="separate"/>
      </w:r>
      <w:r>
        <w:rPr>
          <w:rStyle w:val="13"/>
          <w:color w:val="0563C1"/>
        </w:rPr>
        <w:t>[300]. Free Webex Call</w:t>
      </w:r>
      <w:r>
        <w:rPr>
          <w:rStyle w:val="13"/>
          <w:color w:val="0563C1"/>
        </w:rPr>
        <w:fldChar w:fldCharType="end"/>
      </w:r>
    </w:p>
    <w:p w14:paraId="3D510779">
      <w:pPr>
        <w:spacing w:after="200" w:line="400" w:lineRule="atLeast"/>
      </w:pPr>
      <w:r>
        <w:fldChar w:fldCharType="begin"/>
      </w:r>
      <w:r>
        <w:instrText xml:space="preserve"> HYPERLINK "https://globalriskcommunity.com/notes/japan-elderly-care-services-market-2030-navigating-opportunities-" \h </w:instrText>
      </w:r>
      <w:r>
        <w:fldChar w:fldCharType="separate"/>
      </w:r>
      <w:r>
        <w:rPr>
          <w:rStyle w:val="13"/>
          <w:color w:val="0563C1"/>
        </w:rPr>
        <w:t>[301]. Japan Elderly Care Services Market - Industry Size, Share, Trends, Competition Forecast &amp; Opportunities, 2030F</w:t>
      </w:r>
      <w:r>
        <w:rPr>
          <w:rStyle w:val="13"/>
          <w:color w:val="0563C1"/>
        </w:rPr>
        <w:fldChar w:fldCharType="end"/>
      </w:r>
    </w:p>
    <w:p w14:paraId="251331AF">
      <w:pPr>
        <w:spacing w:after="200" w:line="400" w:lineRule="atLeast"/>
      </w:pPr>
      <w:r>
        <w:fldChar w:fldCharType="begin"/>
      </w:r>
      <w:r>
        <w:instrText xml:space="preserve"> HYPERLINK "https://www.grandviewresearch.com/industry-analysis/japan-it-services-market-report" \h </w:instrText>
      </w:r>
      <w:r>
        <w:fldChar w:fldCharType="separate"/>
      </w:r>
      <w:r>
        <w:rPr>
          <w:rStyle w:val="13"/>
          <w:color w:val="0563C1"/>
        </w:rPr>
        <w:t>[302]. The Japan IT services market size was valued at USD 70.22 billion in 2023 and is projected to grow at a compound annual growth rate (CAGR) of 9.8% from 2024 to 2030.</w:t>
      </w:r>
      <w:r>
        <w:rPr>
          <w:rStyle w:val="13"/>
          <w:color w:val="0563C1"/>
        </w:rPr>
        <w:fldChar w:fldCharType="end"/>
      </w:r>
    </w:p>
    <w:p w14:paraId="31CEF8A7">
      <w:pPr>
        <w:spacing w:after="200" w:line="400" w:lineRule="atLeast"/>
      </w:pPr>
      <w:r>
        <w:fldChar w:fldCharType="begin"/>
      </w:r>
      <w:r>
        <w:instrText xml:space="preserve"> HYPERLINK "https://www.soumu.go.jp/johotsusintokei/whitepaper/eng/WP2018_outline.pdf" \h </w:instrText>
      </w:r>
      <w:r>
        <w:fldChar w:fldCharType="separate"/>
      </w:r>
      <w:r>
        <w:rPr>
          <w:rStyle w:val="13"/>
          <w:color w:val="0563C1"/>
        </w:rPr>
        <w:t>[303]. Outline of the 2018 White Paper on Information and Communications in Japan</w:t>
      </w:r>
      <w:r>
        <w:rPr>
          <w:rStyle w:val="13"/>
          <w:color w:val="0563C1"/>
        </w:rPr>
        <w:fldChar w:fldCharType="end"/>
      </w:r>
    </w:p>
    <w:p w14:paraId="611B0067">
      <w:pPr>
        <w:spacing w:after="200" w:line="400" w:lineRule="atLeast"/>
      </w:pPr>
      <w:r>
        <w:fldChar w:fldCharType="begin"/>
      </w:r>
      <w:r>
        <w:instrText xml:space="preserve"> HYPERLINK "https://www.nicmr.com/nicmr/english/report/repo/2006/2006win03.pdf" \h </w:instrText>
      </w:r>
      <w:r>
        <w:fldChar w:fldCharType="separate"/>
      </w:r>
      <w:r>
        <w:rPr>
          <w:rStyle w:val="13"/>
          <w:color w:val="0563C1"/>
        </w:rPr>
        <w:t>[304,421]. Bequests and Household Assets</w:t>
      </w:r>
      <w:r>
        <w:rPr>
          <w:rStyle w:val="13"/>
          <w:color w:val="0563C1"/>
        </w:rPr>
        <w:fldChar w:fldCharType="end"/>
      </w:r>
    </w:p>
    <w:p w14:paraId="6C6D2A95">
      <w:pPr>
        <w:spacing w:after="200" w:line="400" w:lineRule="atLeast"/>
      </w:pPr>
      <w:r>
        <w:fldChar w:fldCharType="begin"/>
      </w:r>
      <w:r>
        <w:instrText xml:space="preserve"> HYPERLINK "https://www.ilcjapan.org/agingE/doc/POJ_2010_6.pdf" \h </w:instrText>
      </w:r>
      <w:r>
        <w:fldChar w:fldCharType="separate"/>
      </w:r>
      <w:r>
        <w:rPr>
          <w:rStyle w:val="13"/>
          <w:color w:val="0563C1"/>
        </w:rPr>
        <w:t>[305]. A Profile of Older Japanese 2010</w:t>
      </w:r>
      <w:r>
        <w:rPr>
          <w:rStyle w:val="13"/>
          <w:color w:val="0563C1"/>
        </w:rPr>
        <w:fldChar w:fldCharType="end"/>
      </w:r>
    </w:p>
    <w:p w14:paraId="4163A213">
      <w:pPr>
        <w:spacing w:after="200" w:line="400" w:lineRule="atLeast"/>
      </w:pPr>
      <w:r>
        <w:fldChar w:fldCharType="begin"/>
      </w:r>
      <w:r>
        <w:instrText xml:space="preserve"> HYPERLINK "https://www.oecd.org/content/dam/oecd/en/publications/reports/1997/11/oecd-economic-surveys-japan-1997_g1ghg4e0/eco_surveys-jpn-1997-en.pdf" \h </w:instrText>
      </w:r>
      <w:r>
        <w:fldChar w:fldCharType="separate"/>
      </w:r>
      <w:r>
        <w:rPr>
          <w:rStyle w:val="13"/>
          <w:color w:val="0563C1"/>
        </w:rPr>
        <w:t>[306]. OECD Economic Surveys: Japan 1997</w:t>
      </w:r>
      <w:r>
        <w:rPr>
          <w:rStyle w:val="13"/>
          <w:color w:val="0563C1"/>
        </w:rPr>
        <w:fldChar w:fldCharType="end"/>
      </w:r>
    </w:p>
    <w:p w14:paraId="38C2B057">
      <w:pPr>
        <w:spacing w:after="200" w:line="400" w:lineRule="atLeast"/>
      </w:pPr>
      <w:r>
        <w:fldChar w:fldCharType="begin"/>
      </w:r>
      <w:r>
        <w:instrText xml:space="preserve"> HYPERLINK "https://www8.cao.go.jp/kourei/english/annualreport/2005/1-2.html" \h </w:instrText>
      </w:r>
      <w:r>
        <w:fldChar w:fldCharType="separate"/>
      </w:r>
      <w:r>
        <w:rPr>
          <w:rStyle w:val="13"/>
          <w:color w:val="0563C1"/>
        </w:rPr>
        <w:t>[307,422]. Annual Report on the Aging Society</w:t>
      </w:r>
      <w:r>
        <w:rPr>
          <w:rStyle w:val="13"/>
          <w:color w:val="0563C1"/>
        </w:rPr>
        <w:fldChar w:fldCharType="end"/>
      </w:r>
    </w:p>
    <w:p w14:paraId="4949BCC1">
      <w:pPr>
        <w:spacing w:after="200" w:line="400" w:lineRule="atLeast"/>
      </w:pPr>
      <w:r>
        <w:fldChar w:fldCharType="begin"/>
      </w:r>
      <w:r>
        <w:instrText xml:space="preserve"> HYPERLINK "https://www.rieb.kobe-u.ac.jp/academic/ra/dp/English/DP2024-36.pdf" \h </w:instrText>
      </w:r>
      <w:r>
        <w:fldChar w:fldCharType="separate"/>
      </w:r>
      <w:r>
        <w:rPr>
          <w:rStyle w:val="13"/>
          <w:color w:val="0563C1"/>
        </w:rPr>
        <w:t>[308,310,318]. Household Saving in Japan: The Past, Present, and Future</w:t>
      </w:r>
      <w:r>
        <w:rPr>
          <w:rStyle w:val="13"/>
          <w:color w:val="0563C1"/>
        </w:rPr>
        <w:fldChar w:fldCharType="end"/>
      </w:r>
    </w:p>
    <w:p w14:paraId="0D29E56E">
      <w:pPr>
        <w:spacing w:after="200" w:line="400" w:lineRule="atLeast"/>
      </w:pPr>
      <w:r>
        <w:fldChar w:fldCharType="begin"/>
      </w:r>
      <w:r>
        <w:instrText xml:space="preserve"> HYPERLINK "https://www.rieb.kobe-u.ac.jp/academic/ra/dp/English/DP2020-28.pdf" \h </w:instrText>
      </w:r>
      <w:r>
        <w:fldChar w:fldCharType="separate"/>
      </w:r>
      <w:r>
        <w:rPr>
          <w:rStyle w:val="13"/>
          <w:color w:val="0563C1"/>
        </w:rPr>
        <w:t>[309]. Is the Selfish Life-Cycle Model More Applicable in Japan and, If So, Why? A Literature Survey</w:t>
      </w:r>
      <w:r>
        <w:rPr>
          <w:rStyle w:val="13"/>
          <w:color w:val="0563C1"/>
        </w:rPr>
        <w:fldChar w:fldCharType="end"/>
      </w:r>
    </w:p>
    <w:p w14:paraId="1CD77594">
      <w:pPr>
        <w:spacing w:after="200" w:line="400" w:lineRule="atLeast"/>
      </w:pPr>
      <w:r>
        <w:fldChar w:fldCharType="begin"/>
      </w:r>
      <w:r>
        <w:instrText xml:space="preserve"> HYPERLINK "https://www.esri.cao.go.jp/jp/esri/archive/e_dis/e_dis346/e_dis346.pdf" \h </w:instrText>
      </w:r>
      <w:r>
        <w:fldChar w:fldCharType="separate"/>
      </w:r>
      <w:r>
        <w:rPr>
          <w:rStyle w:val="13"/>
          <w:color w:val="0563C1"/>
        </w:rPr>
        <w:t>[311,319]. Dissaving by the elderly in Japan: Empirical evidence from survey data</w:t>
      </w:r>
      <w:r>
        <w:rPr>
          <w:rStyle w:val="13"/>
          <w:color w:val="0563C1"/>
        </w:rPr>
        <w:fldChar w:fldCharType="end"/>
      </w:r>
    </w:p>
    <w:p w14:paraId="266FB977">
      <w:pPr>
        <w:spacing w:after="200" w:line="400" w:lineRule="atLeast"/>
      </w:pPr>
      <w:r>
        <w:fldChar w:fldCharType="begin"/>
      </w:r>
      <w:r>
        <w:instrText xml:space="preserve"> HYPERLINK "https://amro-asia.org/wp-content/uploads/2025/03/SI4.-Debt-Sustainability-Analysis-with-Debt-Threshold-Extension.pdf" \h </w:instrText>
      </w:r>
      <w:r>
        <w:fldChar w:fldCharType="separate"/>
      </w:r>
      <w:r>
        <w:rPr>
          <w:rStyle w:val="13"/>
          <w:color w:val="0563C1"/>
        </w:rPr>
        <w:t>[312,320]. ANNUAL CONSULTATION REPORT JAPAN 2024</w:t>
      </w:r>
      <w:r>
        <w:rPr>
          <w:rStyle w:val="13"/>
          <w:color w:val="0563C1"/>
        </w:rPr>
        <w:fldChar w:fldCharType="end"/>
      </w:r>
    </w:p>
    <w:p w14:paraId="27AB5D08">
      <w:pPr>
        <w:spacing w:after="200" w:line="400" w:lineRule="atLeast"/>
      </w:pPr>
      <w:r>
        <w:fldChar w:fldCharType="begin"/>
      </w:r>
      <w:r>
        <w:instrText xml:space="preserve"> HYPERLINK "https://www.econ.umd.edu/sites/www.econ.umd.edu/files/pubs/bosworth%20et%20al%20bpea%201991.pdf" \h </w:instrText>
      </w:r>
      <w:r>
        <w:fldChar w:fldCharType="separate"/>
      </w:r>
      <w:r>
        <w:rPr>
          <w:rStyle w:val="13"/>
          <w:color w:val="0563C1"/>
        </w:rPr>
        <w:t>[313]. The Decline in Saving: Evidence from Household Surveys</w:t>
      </w:r>
      <w:r>
        <w:rPr>
          <w:rStyle w:val="13"/>
          <w:color w:val="0563C1"/>
        </w:rPr>
        <w:fldChar w:fldCharType="end"/>
      </w:r>
    </w:p>
    <w:p w14:paraId="1A075D50">
      <w:pPr>
        <w:spacing w:after="200" w:line="400" w:lineRule="atLeast"/>
      </w:pPr>
      <w:r>
        <w:fldChar w:fldCharType="begin"/>
      </w:r>
      <w:r>
        <w:instrText xml:space="preserve"> HYPERLINK "https://www.boj.or.jp/en/research/wps_rev/lab/lab24e01.htm" \h </w:instrText>
      </w:r>
      <w:r>
        <w:fldChar w:fldCharType="separate"/>
      </w:r>
      <w:r>
        <w:rPr>
          <w:rStyle w:val="13"/>
          <w:color w:val="0563C1"/>
        </w:rPr>
        <w:t>[314,423]. Demographic Trends and Household Savings and Investment</w:t>
      </w:r>
      <w:r>
        <w:rPr>
          <w:rStyle w:val="13"/>
          <w:color w:val="0563C1"/>
        </w:rPr>
        <w:fldChar w:fldCharType="end"/>
      </w:r>
    </w:p>
    <w:p w14:paraId="2FD1354C">
      <w:pPr>
        <w:spacing w:after="200" w:line="400" w:lineRule="atLeast"/>
      </w:pPr>
      <w:r>
        <w:fldChar w:fldCharType="begin"/>
      </w:r>
      <w:r>
        <w:instrText xml:space="preserve"> HYPERLINK "https://finance.sina.cn/2022-01-11/detail-ikyamrmz4582085.d.html?from=wap" \h </w:instrText>
      </w:r>
      <w:r>
        <w:fldChar w:fldCharType="separate"/>
      </w:r>
      <w:r>
        <w:rPr>
          <w:rStyle w:val="13"/>
          <w:color w:val="0563C1"/>
        </w:rPr>
        <w:t>[315]. 养老保险行业研究：从美日经验看养老金体系建设与财富管理推动</w:t>
      </w:r>
      <w:r>
        <w:rPr>
          <w:rStyle w:val="13"/>
          <w:color w:val="0563C1"/>
        </w:rPr>
        <w:fldChar w:fldCharType="end"/>
      </w:r>
    </w:p>
    <w:p w14:paraId="2654F194">
      <w:pPr>
        <w:spacing w:after="200" w:line="400" w:lineRule="atLeast"/>
      </w:pPr>
      <w:r>
        <w:fldChar w:fldCharType="begin"/>
      </w:r>
      <w:r>
        <w:instrText xml:space="preserve"> HYPERLINK "https://www.jri.co.jp/en/MediaLibrary/file/english/periodical/report/2024/05.pdf" \h </w:instrText>
      </w:r>
      <w:r>
        <w:fldChar w:fldCharType="separate"/>
      </w:r>
      <w:r>
        <w:rPr>
          <w:rStyle w:val="13"/>
          <w:color w:val="0563C1"/>
        </w:rPr>
        <w:t>[316,317,424]. Monthly Report of Prospects for Japan's Economy May 2024</w:t>
      </w:r>
      <w:r>
        <w:rPr>
          <w:rStyle w:val="13"/>
          <w:color w:val="0563C1"/>
        </w:rPr>
        <w:fldChar w:fldCharType="end"/>
      </w:r>
    </w:p>
    <w:p w14:paraId="0C30C9ED">
      <w:pPr>
        <w:spacing w:after="200" w:line="400" w:lineRule="atLeast"/>
      </w:pPr>
      <w:r>
        <w:fldChar w:fldCharType="begin"/>
      </w:r>
      <w:r>
        <w:instrText xml:space="preserve"> HYPERLINK "https://www.ipss.go.jp/pp-pjsetai/j/hpjp2024/houkoku/houkoku.pdf" \h </w:instrText>
      </w:r>
      <w:r>
        <w:fldChar w:fldCharType="separate"/>
      </w:r>
      <w:r>
        <w:rPr>
          <w:rStyle w:val="13"/>
          <w:color w:val="0563C1"/>
        </w:rPr>
        <w:t>[321,322,324,325,395]. 日本の世帯数の将来推計(都道府県別推計)ー令和2(2020)〜32(2050)年ー Household Projections for Japan by Prefecture: 2020-2050</w:t>
      </w:r>
      <w:r>
        <w:rPr>
          <w:rStyle w:val="13"/>
          <w:color w:val="0563C1"/>
        </w:rPr>
        <w:fldChar w:fldCharType="end"/>
      </w:r>
    </w:p>
    <w:p w14:paraId="2E498CAC">
      <w:pPr>
        <w:spacing w:after="200" w:line="400" w:lineRule="atLeast"/>
      </w:pPr>
      <w:r>
        <w:fldChar w:fldCharType="begin"/>
      </w:r>
      <w:r>
        <w:instrText xml:space="preserve"> HYPERLINK "https://www5.cao.go.jp/keizai-shimon/kaigi/minutes/2024/0402/shiryo_05.pdf" \h </w:instrText>
      </w:r>
      <w:r>
        <w:fldChar w:fldCharType="separate"/>
      </w:r>
      <w:r>
        <w:rPr>
          <w:rStyle w:val="13"/>
          <w:color w:val="0563C1"/>
        </w:rPr>
        <w:t>[323,327]. 中長期的に持続可能な経済社会の検討に向けて②</w:t>
      </w:r>
      <w:r>
        <w:rPr>
          <w:rStyle w:val="13"/>
          <w:color w:val="0563C1"/>
        </w:rPr>
        <w:fldChar w:fldCharType="end"/>
      </w:r>
    </w:p>
    <w:p w14:paraId="420A4AF5">
      <w:pPr>
        <w:spacing w:after="200" w:line="400" w:lineRule="atLeast"/>
      </w:pPr>
      <w:r>
        <w:fldChar w:fldCharType="begin"/>
      </w:r>
      <w:r>
        <w:instrText xml:space="preserve"> HYPERLINK "https://www.murc.jp/wp-content/uploads/2025/04/houkatsu_02_2504_01.pdf" \h </w:instrText>
      </w:r>
      <w:r>
        <w:fldChar w:fldCharType="separate"/>
      </w:r>
      <w:r>
        <w:rPr>
          <w:rStyle w:val="13"/>
          <w:color w:val="0563C1"/>
        </w:rPr>
        <w:t>[328]. 介護予防・日常生活支援総合事業における多様なサービス・活動の充実に向けた調査研究事業報告書</w:t>
      </w:r>
      <w:r>
        <w:rPr>
          <w:rStyle w:val="13"/>
          <w:color w:val="0563C1"/>
        </w:rPr>
        <w:fldChar w:fldCharType="end"/>
      </w:r>
    </w:p>
    <w:p w14:paraId="6E8A7E1C">
      <w:pPr>
        <w:spacing w:after="200" w:line="400" w:lineRule="atLeast"/>
      </w:pPr>
      <w:r>
        <w:fldChar w:fldCharType="begin"/>
      </w:r>
      <w:r>
        <w:instrText xml:space="preserve"> HYPERLINK "https://www.tracedataresearch.com/industry-report/japan-ai-in-healthcare-market" \h </w:instrText>
      </w:r>
      <w:r>
        <w:fldChar w:fldCharType="separate"/>
      </w:r>
      <w:r>
        <w:rPr>
          <w:rStyle w:val="13"/>
          <w:color w:val="0563C1"/>
        </w:rPr>
        <w:t>[330,336]. Japan AI in Healthcare Market Outlook to 2030 – By Solution, By Clinical Application, By Technology, By Deployment Model, By End User, and By Region</w:t>
      </w:r>
      <w:r>
        <w:rPr>
          <w:rStyle w:val="13"/>
          <w:color w:val="0563C1"/>
        </w:rPr>
        <w:fldChar w:fldCharType="end"/>
      </w:r>
    </w:p>
    <w:p w14:paraId="243ABABC">
      <w:pPr>
        <w:spacing w:after="200" w:line="400" w:lineRule="atLeast"/>
      </w:pPr>
      <w:r>
        <w:fldChar w:fldCharType="begin"/>
      </w:r>
      <w:r>
        <w:instrText xml:space="preserve"> HYPERLINK "https://apac-asia.com/images/achievements/pdf/8th/1_Conglaturatory%20Speech/Health%20care%20Innovation%20New%20Technologies%20and%20Effective%20Evaluation.pdf" \h </w:instrText>
      </w:r>
      <w:r>
        <w:fldChar w:fldCharType="separate"/>
      </w:r>
      <w:r>
        <w:rPr>
          <w:rStyle w:val="13"/>
          <w:color w:val="0563C1"/>
        </w:rPr>
        <w:t>[332]. Health care Innovation: New Technologies and Effective Evaluation</w:t>
      </w:r>
      <w:r>
        <w:rPr>
          <w:rStyle w:val="13"/>
          <w:color w:val="0563C1"/>
        </w:rPr>
        <w:fldChar w:fldCharType="end"/>
      </w:r>
    </w:p>
    <w:p w14:paraId="2BD295F5">
      <w:pPr>
        <w:spacing w:after="200" w:line="400" w:lineRule="atLeast"/>
      </w:pPr>
      <w:r>
        <w:fldChar w:fldCharType="begin"/>
      </w:r>
      <w:r>
        <w:instrText xml:space="preserve"> HYPERLINK "https://globalconnect.sbf.org.sg/wp-content/uploads/2023/09/SBF-Country-Infographics-Japan-2.pdf" \h </w:instrText>
      </w:r>
      <w:r>
        <w:fldChar w:fldCharType="separate"/>
      </w:r>
      <w:r>
        <w:rPr>
          <w:rStyle w:val="13"/>
          <w:color w:val="0563C1"/>
        </w:rPr>
        <w:t>[333]. Country Infographics / May 2023</w:t>
      </w:r>
      <w:r>
        <w:rPr>
          <w:rStyle w:val="13"/>
          <w:color w:val="0563C1"/>
        </w:rPr>
        <w:fldChar w:fldCharType="end"/>
      </w:r>
    </w:p>
    <w:p w14:paraId="46F85BBC">
      <w:pPr>
        <w:spacing w:after="200" w:line="400" w:lineRule="atLeast"/>
      </w:pPr>
      <w:r>
        <w:fldChar w:fldCharType="begin"/>
      </w:r>
      <w:r>
        <w:instrText xml:space="preserve"> HYPERLINK "https://www.khidi.or.kr/kohes/fileDownload?titleId=160077&amp;fileId=1&amp;fileDownType=C&amp;paramMenuId=MENU00319" \h </w:instrText>
      </w:r>
      <w:r>
        <w:fldChar w:fldCharType="separate"/>
      </w:r>
      <w:r>
        <w:rPr>
          <w:rStyle w:val="13"/>
          <w:color w:val="0563C1"/>
        </w:rPr>
        <w:t>[335,338,346]. 일본의 고령화 현황 및 고령사회 대책</w:t>
      </w:r>
      <w:r>
        <w:rPr>
          <w:rStyle w:val="13"/>
          <w:color w:val="0563C1"/>
        </w:rPr>
        <w:fldChar w:fldCharType="end"/>
      </w:r>
    </w:p>
    <w:p w14:paraId="2B4BFF0C">
      <w:pPr>
        <w:spacing w:after="200" w:line="400" w:lineRule="atLeast"/>
      </w:pPr>
      <w:r>
        <w:fldChar w:fldCharType="begin"/>
      </w:r>
      <w:r>
        <w:instrText xml:space="preserve"> HYPERLINK "https://www.atpress.ne.jp/news/4693995" \h </w:instrText>
      </w:r>
      <w:r>
        <w:fldChar w:fldCharType="separate"/>
      </w:r>
      <w:r>
        <w:rPr>
          <w:rStyle w:val="13"/>
          <w:color w:val="0563C1"/>
        </w:rPr>
        <w:t>[340,343]. 日本高齢者医療市場規模、シェア、予測レポート 2025-2033</w:t>
      </w:r>
      <w:r>
        <w:rPr>
          <w:rStyle w:val="13"/>
          <w:color w:val="0563C1"/>
        </w:rPr>
        <w:fldChar w:fldCharType="end"/>
      </w:r>
    </w:p>
    <w:p w14:paraId="1D1C80D7">
      <w:pPr>
        <w:spacing w:after="200" w:line="400" w:lineRule="atLeast"/>
      </w:pPr>
      <w:r>
        <w:fldChar w:fldCharType="begin"/>
      </w:r>
      <w:r>
        <w:instrText xml:space="preserve"> HYPERLINK "https://en.amita-hd.co.jp/ir/pdf/vision2030_en.pdf" \h </w:instrText>
      </w:r>
      <w:r>
        <w:fldChar w:fldCharType="separate"/>
      </w:r>
      <w:r>
        <w:rPr>
          <w:rStyle w:val="13"/>
          <w:color w:val="0563C1"/>
        </w:rPr>
        <w:t>[347]. AMITA’s Initiative and Commitment to Creating an Ecosystem Society by 2030</w:t>
      </w:r>
      <w:r>
        <w:rPr>
          <w:rStyle w:val="13"/>
          <w:color w:val="0563C1"/>
        </w:rPr>
        <w:fldChar w:fldCharType="end"/>
      </w:r>
    </w:p>
    <w:p w14:paraId="543A1B9F">
      <w:pPr>
        <w:spacing w:after="200" w:line="400" w:lineRule="atLeast"/>
      </w:pPr>
      <w:r>
        <w:fldChar w:fldCharType="begin"/>
      </w:r>
      <w:r>
        <w:instrText xml:space="preserve"> HYPERLINK "http://pdf.secdatabase.com/1370/0001213900-21-049743.pdf" \h </w:instrText>
      </w:r>
      <w:r>
        <w:fldChar w:fldCharType="separate"/>
      </w:r>
      <w:r>
        <w:rPr>
          <w:rStyle w:val="13"/>
          <w:color w:val="0563C1"/>
        </w:rPr>
        <w:t>[348]. SECURITIES AND EXCHANGE COMMISSION FORM F-1 Registration statement for securities of certain foreign private issuers</w:t>
      </w:r>
      <w:r>
        <w:rPr>
          <w:rStyle w:val="13"/>
          <w:color w:val="0563C1"/>
        </w:rPr>
        <w:fldChar w:fldCharType="end"/>
      </w:r>
    </w:p>
    <w:p w14:paraId="4F6C2089">
      <w:pPr>
        <w:spacing w:after="200" w:line="400" w:lineRule="atLeast"/>
      </w:pPr>
      <w:r>
        <w:fldChar w:fldCharType="begin"/>
      </w:r>
      <w:r>
        <w:instrText xml:space="preserve"> HYPERLINK "https://carnegie-production-assets.s3.amazonaws.com/static/files/Kushida_Demographics%20and%20Tech%20Trajectories_final.pdf" \h </w:instrText>
      </w:r>
      <w:r>
        <w:fldChar w:fldCharType="separate"/>
      </w:r>
      <w:r>
        <w:rPr>
          <w:rStyle w:val="13"/>
          <w:color w:val="0563C1"/>
        </w:rPr>
        <w:t>[349]. Japan’s Aging Society as a Technological Opportunity</w:t>
      </w:r>
      <w:r>
        <w:rPr>
          <w:rStyle w:val="13"/>
          <w:color w:val="0563C1"/>
        </w:rPr>
        <w:fldChar w:fldCharType="end"/>
      </w:r>
    </w:p>
    <w:p w14:paraId="3DA8725A">
      <w:pPr>
        <w:spacing w:after="200" w:line="400" w:lineRule="atLeast"/>
      </w:pPr>
      <w:r>
        <w:fldChar w:fldCharType="begin"/>
      </w:r>
      <w:r>
        <w:instrText xml:space="preserve"> HYPERLINK "https://tesuploads.s3-ap-southeast-1.amazonaws.com/894/cap+894/hes201718.pdf" \h </w:instrText>
      </w:r>
      <w:r>
        <w:fldChar w:fldCharType="separate"/>
      </w:r>
      <w:r>
        <w:rPr>
          <w:rStyle w:val="13"/>
          <w:color w:val="0563C1"/>
        </w:rPr>
        <w:t>[350,361]. Report on the Household Expenditure Survey 2017/18</w:t>
      </w:r>
      <w:r>
        <w:rPr>
          <w:rStyle w:val="13"/>
          <w:color w:val="0563C1"/>
        </w:rPr>
        <w:fldChar w:fldCharType="end"/>
      </w:r>
    </w:p>
    <w:p w14:paraId="4B8795AA">
      <w:pPr>
        <w:spacing w:after="200" w:line="400" w:lineRule="atLeast"/>
      </w:pPr>
      <w:r>
        <w:fldChar w:fldCharType="begin"/>
      </w:r>
      <w:r>
        <w:instrText xml:space="preserve"> HYPERLINK "https://www.singstat.gov.sg/-/media/files/publications/households/hes1213.pdf" \h </w:instrText>
      </w:r>
      <w:r>
        <w:fldChar w:fldCharType="separate"/>
      </w:r>
      <w:r>
        <w:rPr>
          <w:rStyle w:val="13"/>
          <w:color w:val="0563C1"/>
        </w:rPr>
        <w:t>[351]. Report on the Household Expenditure Survey, 2012/13</w:t>
      </w:r>
      <w:r>
        <w:rPr>
          <w:rStyle w:val="13"/>
          <w:color w:val="0563C1"/>
        </w:rPr>
        <w:fldChar w:fldCharType="end"/>
      </w:r>
    </w:p>
    <w:p w14:paraId="3FB482E9">
      <w:pPr>
        <w:spacing w:after="200" w:line="400" w:lineRule="atLeast"/>
      </w:pPr>
      <w:r>
        <w:fldChar w:fldCharType="begin"/>
      </w:r>
      <w:r>
        <w:instrText xml:space="preserve"> HYPERLINK "https://www.abs.gov.au/ausstats/abs%40.nsf/Previousproducts/6530.0Main%20Features32003-04%20%28Reissue%29?opendocument&amp;tabname=Summary&amp;prodno=6530.0&amp;issue=2003-04%20%28Reissue%29&amp;num=&amp;view=" \h </w:instrText>
      </w:r>
      <w:r>
        <w:fldChar w:fldCharType="separate"/>
      </w:r>
      <w:r>
        <w:rPr>
          <w:rStyle w:val="13"/>
          <w:color w:val="0563C1"/>
        </w:rPr>
        <w:t>[352]. HOUSEHOLD EXPENDITURE ON GOODS AND SERVICES - OVERVIEW</w:t>
      </w:r>
      <w:r>
        <w:rPr>
          <w:rStyle w:val="13"/>
          <w:color w:val="0563C1"/>
        </w:rPr>
        <w:fldChar w:fldCharType="end"/>
      </w:r>
    </w:p>
    <w:p w14:paraId="1E5C2D8E">
      <w:pPr>
        <w:spacing w:after="200" w:line="400" w:lineRule="atLeast"/>
      </w:pPr>
      <w:r>
        <w:fldChar w:fldCharType="begin"/>
      </w:r>
      <w:r>
        <w:instrText xml:space="preserve"> HYPERLINK "https://www.cbo.gov/system/files/2025-08/61549-Inflation.pdf" \h </w:instrText>
      </w:r>
      <w:r>
        <w:fldChar w:fldCharType="separate"/>
      </w:r>
      <w:r>
        <w:rPr>
          <w:rStyle w:val="13"/>
          <w:color w:val="0563C1"/>
        </w:rPr>
        <w:t>[353,364,366]. How the Effects of Inflation on Households Varied by Income, 1984 to 2022</w:t>
      </w:r>
      <w:r>
        <w:rPr>
          <w:rStyle w:val="13"/>
          <w:color w:val="0563C1"/>
        </w:rPr>
        <w:fldChar w:fldCharType="end"/>
      </w:r>
    </w:p>
    <w:p w14:paraId="5D1695E6">
      <w:pPr>
        <w:spacing w:after="200" w:line="400" w:lineRule="atLeast"/>
      </w:pPr>
      <w:r>
        <w:fldChar w:fldCharType="begin"/>
      </w:r>
      <w:r>
        <w:instrText xml:space="preserve"> HYPERLINK "http://ndl.ethernet.edu.et/bitstream/123456789/44622/1/127.pdf" \h </w:instrText>
      </w:r>
      <w:r>
        <w:fldChar w:fldCharType="separate"/>
      </w:r>
      <w:r>
        <w:rPr>
          <w:rStyle w:val="13"/>
          <w:color w:val="0563C1"/>
        </w:rPr>
        <w:t>[354,367,370]. The Economic Organization of the Household Second Edition</w:t>
      </w:r>
      <w:r>
        <w:rPr>
          <w:rStyle w:val="13"/>
          <w:color w:val="0563C1"/>
        </w:rPr>
        <w:fldChar w:fldCharType="end"/>
      </w:r>
    </w:p>
    <w:p w14:paraId="111FADD6">
      <w:pPr>
        <w:spacing w:after="200" w:line="400" w:lineRule="atLeast"/>
      </w:pPr>
      <w:r>
        <w:fldChar w:fldCharType="begin"/>
      </w:r>
      <w:r>
        <w:instrText xml:space="preserve"> HYPERLINK "https://www.rba.gov.au/publications/bulletin/2014/mar/2.html" \h </w:instrText>
      </w:r>
      <w:r>
        <w:fldChar w:fldCharType="separate"/>
      </w:r>
      <w:r>
        <w:rPr>
          <w:rStyle w:val="13"/>
          <w:color w:val="0563C1"/>
        </w:rPr>
        <w:t>[355]. The Distribution of Household Spending in Australia</w:t>
      </w:r>
      <w:r>
        <w:rPr>
          <w:rStyle w:val="13"/>
          <w:color w:val="0563C1"/>
        </w:rPr>
        <w:fldChar w:fldCharType="end"/>
      </w:r>
    </w:p>
    <w:p w14:paraId="67546195">
      <w:pPr>
        <w:spacing w:after="200" w:line="400" w:lineRule="atLeast"/>
      </w:pPr>
      <w:r>
        <w:fldChar w:fldCharType="begin"/>
      </w:r>
      <w:r>
        <w:instrText xml:space="preserve"> HYPERLINK "https://www.rba.gov.au/publications/bulletin/2014/mar/pdf/bu-0314.pdf" \h </w:instrText>
      </w:r>
      <w:r>
        <w:fldChar w:fldCharType="separate"/>
      </w:r>
      <w:r>
        <w:rPr>
          <w:rStyle w:val="13"/>
          <w:color w:val="0563C1"/>
        </w:rPr>
        <w:t>[356,357,369]. The Next Generation Banknote Project</w:t>
      </w:r>
      <w:r>
        <w:rPr>
          <w:rStyle w:val="13"/>
          <w:color w:val="0563C1"/>
        </w:rPr>
        <w:fldChar w:fldCharType="end"/>
      </w:r>
    </w:p>
    <w:p w14:paraId="3F891269">
      <w:pPr>
        <w:spacing w:after="200" w:line="400" w:lineRule="atLeast"/>
      </w:pPr>
      <w:r>
        <w:fldChar w:fldCharType="begin"/>
      </w:r>
      <w:r>
        <w:instrText xml:space="preserve"> HYPERLINK "https://www.esijournals.com/image/catalog/Journal%20Paper/IDPR/2024/Mo%201%20(2024)/6_T%20Lakshmanasamy.pdf" \h </w:instrText>
      </w:r>
      <w:r>
        <w:fldChar w:fldCharType="separate"/>
      </w:r>
      <w:r>
        <w:rPr>
          <w:rStyle w:val="13"/>
          <w:color w:val="0563C1"/>
        </w:rPr>
        <w:t>[358,359,360]. Demand for Consumer Durables in India: Quantile Regression Estimation of Household Expenditure on Durable Goods</w:t>
      </w:r>
      <w:r>
        <w:rPr>
          <w:rStyle w:val="13"/>
          <w:color w:val="0563C1"/>
        </w:rPr>
        <w:fldChar w:fldCharType="end"/>
      </w:r>
    </w:p>
    <w:p w14:paraId="6C875563">
      <w:pPr>
        <w:spacing w:after="200" w:line="400" w:lineRule="atLeast"/>
      </w:pPr>
      <w:r>
        <w:fldChar w:fldCharType="begin"/>
      </w:r>
      <w:r>
        <w:instrText xml:space="preserve"> HYPERLINK "https://www.ksh.hu/income-and-consumption" \h </w:instrText>
      </w:r>
      <w:r>
        <w:fldChar w:fldCharType="separate"/>
      </w:r>
      <w:r>
        <w:rPr>
          <w:rStyle w:val="13"/>
          <w:color w:val="0563C1"/>
        </w:rPr>
        <w:t>[362]. Summary table</w:t>
      </w:r>
      <w:r>
        <w:rPr>
          <w:rStyle w:val="13"/>
          <w:color w:val="0563C1"/>
        </w:rPr>
        <w:fldChar w:fldCharType="end"/>
      </w:r>
    </w:p>
    <w:p w14:paraId="047FE4AB">
      <w:pPr>
        <w:spacing w:after="200" w:line="400" w:lineRule="atLeast"/>
      </w:pPr>
      <w:r>
        <w:fldChar w:fldCharType="begin"/>
      </w:r>
      <w:r>
        <w:instrText xml:space="preserve"> HYPERLINK "https://www.pensjonsforum.net/images/nyheter/368.pdf" \h </w:instrText>
      </w:r>
      <w:r>
        <w:fldChar w:fldCharType="separate"/>
      </w:r>
      <w:r>
        <w:rPr>
          <w:rStyle w:val="13"/>
          <w:color w:val="0563C1"/>
        </w:rPr>
        <w:t>[363]. Expenditure Patterns of Older Americans, 2001–2009</w:t>
      </w:r>
      <w:r>
        <w:rPr>
          <w:rStyle w:val="13"/>
          <w:color w:val="0563C1"/>
        </w:rPr>
        <w:fldChar w:fldCharType="end"/>
      </w:r>
    </w:p>
    <w:p w14:paraId="320746C1">
      <w:pPr>
        <w:spacing w:after="200" w:line="400" w:lineRule="atLeast"/>
      </w:pPr>
      <w:r>
        <w:fldChar w:fldCharType="begin"/>
      </w:r>
      <w:r>
        <w:instrText xml:space="preserve"> HYPERLINK "https://files.metaso.cn/api/public-file/preview?fileName=8683730286878978048.pdf" \h </w:instrText>
      </w:r>
      <w:r>
        <w:fldChar w:fldCharType="separate"/>
      </w:r>
      <w:r>
        <w:rPr>
          <w:rStyle w:val="13"/>
          <w:color w:val="0563C1"/>
        </w:rPr>
        <w:t>[365,368]. US Consumer Chartbook 1Q 2025: What You Need to Know Now</w:t>
      </w:r>
      <w:r>
        <w:rPr>
          <w:rStyle w:val="13"/>
          <w:color w:val="0563C1"/>
        </w:rPr>
        <w:fldChar w:fldCharType="end"/>
      </w:r>
    </w:p>
    <w:p w14:paraId="1876F060">
      <w:pPr>
        <w:spacing w:after="400" w:line="400" w:lineRule="atLeast"/>
      </w:pPr>
      <w:r>
        <w:rPr>
          <w:i/>
        </w:rPr>
        <w:t>以下来源未被直接引用</w:t>
      </w:r>
    </w:p>
    <w:p w14:paraId="711EA9D5">
      <w:pPr>
        <w:spacing w:after="200" w:line="400" w:lineRule="atLeast"/>
      </w:pPr>
      <w:r>
        <w:fldChar w:fldCharType="begin"/>
      </w:r>
      <w:r>
        <w:instrText xml:space="preserve"> HYPERLINK "https://files.metaso.cn/api/public-file/preview?fileName=8672153863517184000.pdf" \h </w:instrText>
      </w:r>
      <w:r>
        <w:fldChar w:fldCharType="separate"/>
      </w:r>
      <w:r>
        <w:rPr>
          <w:rStyle w:val="13"/>
          <w:color w:val="0563C1"/>
        </w:rPr>
        <w:t>[250806] Japan is (Literally) Dying Out.md</w:t>
      </w:r>
      <w:r>
        <w:rPr>
          <w:rStyle w:val="13"/>
          <w:color w:val="0563C1"/>
        </w:rPr>
        <w:fldChar w:fldCharType="end"/>
      </w:r>
    </w:p>
    <w:p w14:paraId="1ADD9153">
      <w:pPr>
        <w:spacing w:after="200" w:line="400" w:lineRule="atLeast"/>
      </w:pPr>
      <w:r>
        <w:fldChar w:fldCharType="begin"/>
      </w:r>
      <w:r>
        <w:instrText xml:space="preserve"> HYPERLINK "https://vanmaaradvies.nl/wp-content/uploads/2019/06/Brochure-Inspiration-tour-Japan-23-30-January-2020-2.pdf" \h </w:instrText>
      </w:r>
      <w:r>
        <w:fldChar w:fldCharType="separate"/>
      </w:r>
      <w:r>
        <w:rPr>
          <w:rStyle w:val="13"/>
          <w:color w:val="0563C1"/>
        </w:rPr>
        <w:t>Inspiration tour Japan 2020</w:t>
      </w:r>
      <w:r>
        <w:rPr>
          <w:rStyle w:val="13"/>
          <w:color w:val="0563C1"/>
        </w:rPr>
        <w:fldChar w:fldCharType="end"/>
      </w:r>
    </w:p>
    <w:p w14:paraId="5F19AA3E">
      <w:pPr>
        <w:spacing w:after="200" w:line="400" w:lineRule="atLeast"/>
      </w:pPr>
      <w:r>
        <w:fldChar w:fldCharType="begin"/>
      </w:r>
      <w:r>
        <w:instrText xml:space="preserve"> HYPERLINK "https://www.xinhuanet.com/english/asiapacific/2019-09/15/c_138393571.htm" \h </w:instrText>
      </w:r>
      <w:r>
        <w:fldChar w:fldCharType="separate"/>
      </w:r>
      <w:r>
        <w:rPr>
          <w:rStyle w:val="13"/>
          <w:color w:val="0563C1"/>
        </w:rPr>
        <w:t>Japan's elderly constitute record 28.4 pct of population</w:t>
      </w:r>
      <w:r>
        <w:rPr>
          <w:rStyle w:val="13"/>
          <w:color w:val="0563C1"/>
        </w:rPr>
        <w:fldChar w:fldCharType="end"/>
      </w:r>
    </w:p>
    <w:p w14:paraId="59532E6E">
      <w:pPr>
        <w:spacing w:after="200" w:line="400" w:lineRule="atLeast"/>
      </w:pPr>
      <w:r>
        <w:fldChar w:fldCharType="begin"/>
      </w:r>
      <w:r>
        <w:instrText xml:space="preserve"> HYPERLINK "https://www.town.naganohara.gunma.jp/www/contents/1712727221541/files/chiikihukushikeikaku.pdf" \h </w:instrText>
      </w:r>
      <w:r>
        <w:fldChar w:fldCharType="separate"/>
      </w:r>
      <w:r>
        <w:rPr>
          <w:rStyle w:val="13"/>
          <w:color w:val="0563C1"/>
        </w:rPr>
        <w:t>地域福祉計画・地域福祉活動計画</w:t>
      </w:r>
      <w:r>
        <w:rPr>
          <w:rStyle w:val="13"/>
          <w:color w:val="0563C1"/>
        </w:rPr>
        <w:fldChar w:fldCharType="end"/>
      </w:r>
    </w:p>
    <w:p w14:paraId="1CB990FE">
      <w:pPr>
        <w:spacing w:after="200" w:line="400" w:lineRule="atLeast"/>
      </w:pPr>
      <w:r>
        <w:fldChar w:fldCharType="begin"/>
      </w:r>
      <w:r>
        <w:instrText xml:space="preserve"> HYPERLINK "https://www.shiphd.co.jp/en/wp-content/uploads/2024/11/3360_EN_20250314-%E5%9C%A7%E7%B8%AE.pdf" \h </w:instrText>
      </w:r>
      <w:r>
        <w:fldChar w:fldCharType="separate"/>
      </w:r>
      <w:r>
        <w:rPr>
          <w:rStyle w:val="13"/>
          <w:color w:val="0563C1"/>
        </w:rPr>
        <w:t>Ship Healthcare Holdings</w:t>
      </w:r>
      <w:r>
        <w:rPr>
          <w:rStyle w:val="13"/>
          <w:color w:val="0563C1"/>
        </w:rPr>
        <w:fldChar w:fldCharType="end"/>
      </w:r>
    </w:p>
    <w:p w14:paraId="4E240575">
      <w:pPr>
        <w:spacing w:after="200" w:line="400" w:lineRule="atLeast"/>
      </w:pPr>
      <w:r>
        <w:fldChar w:fldCharType="begin"/>
      </w:r>
      <w:r>
        <w:instrText xml:space="preserve"> HYPERLINK "https://healthsystemsfacts.org/japan-aging/" \h </w:instrText>
      </w:r>
      <w:r>
        <w:fldChar w:fldCharType="separate"/>
      </w:r>
      <w:r>
        <w:rPr>
          <w:rStyle w:val="13"/>
          <w:color w:val="0563C1"/>
        </w:rPr>
        <w:t>Japan: Aging - World Health Systems Facts</w:t>
      </w:r>
      <w:r>
        <w:rPr>
          <w:rStyle w:val="13"/>
          <w:color w:val="0563C1"/>
        </w:rPr>
        <w:fldChar w:fldCharType="end"/>
      </w:r>
    </w:p>
    <w:p w14:paraId="1CAC3AE8">
      <w:pPr>
        <w:spacing w:after="200" w:line="400" w:lineRule="atLeast"/>
      </w:pPr>
      <w:r>
        <w:fldChar w:fldCharType="begin"/>
      </w:r>
      <w:r>
        <w:instrText xml:space="preserve"> HYPERLINK "https://www.jetro.go.jp/en/invest/attractive_sectors/life_science/overview.html" \h </w:instrText>
      </w:r>
      <w:r>
        <w:fldChar w:fldCharType="separate"/>
      </w:r>
      <w:r>
        <w:rPr>
          <w:rStyle w:val="13"/>
          <w:color w:val="0563C1"/>
        </w:rPr>
        <w:t>Utilizing data and AI in medical, nursing care, and healthcare</w:t>
      </w:r>
      <w:r>
        <w:rPr>
          <w:rStyle w:val="13"/>
          <w:color w:val="0563C1"/>
        </w:rPr>
        <w:fldChar w:fldCharType="end"/>
      </w:r>
    </w:p>
    <w:p w14:paraId="4E8CE969">
      <w:pPr>
        <w:spacing w:after="200" w:line="400" w:lineRule="atLeast"/>
      </w:pPr>
      <w:r>
        <w:fldChar w:fldCharType="begin"/>
      </w:r>
      <w:r>
        <w:instrText xml:space="preserve"> HYPERLINK "https://www.city.yamaga.kumamoto.jp/kiji003626/3_626_35_yg220201.pdf" \h </w:instrText>
      </w:r>
      <w:r>
        <w:fldChar w:fldCharType="separate"/>
      </w:r>
      <w:r>
        <w:rPr>
          <w:rStyle w:val="13"/>
          <w:color w:val="0563C1"/>
        </w:rPr>
        <w:t>広報やまが 2022年2月号</w:t>
      </w:r>
      <w:r>
        <w:rPr>
          <w:rStyle w:val="13"/>
          <w:color w:val="0563C1"/>
        </w:rPr>
        <w:fldChar w:fldCharType="end"/>
      </w:r>
    </w:p>
    <w:p w14:paraId="77D5E51A">
      <w:pPr>
        <w:spacing w:after="200" w:line="400" w:lineRule="atLeast"/>
      </w:pPr>
      <w:r>
        <w:fldChar w:fldCharType="begin"/>
      </w:r>
      <w:r>
        <w:instrText xml:space="preserve"> HYPERLINK "https://www.nippon.com/en/japan-data/h02201/" \h </w:instrText>
      </w:r>
      <w:r>
        <w:fldChar w:fldCharType="separate"/>
      </w:r>
      <w:r>
        <w:rPr>
          <w:rStyle w:val="13"/>
          <w:color w:val="0563C1"/>
        </w:rPr>
        <w:t>Single Elderly to Be 20% of Japanese Households by 2050</w:t>
      </w:r>
      <w:r>
        <w:rPr>
          <w:rStyle w:val="13"/>
          <w:color w:val="0563C1"/>
        </w:rPr>
        <w:fldChar w:fldCharType="end"/>
      </w:r>
    </w:p>
    <w:p w14:paraId="75701E0A">
      <w:pPr>
        <w:spacing w:after="200" w:line="400" w:lineRule="atLeast"/>
      </w:pPr>
      <w:r>
        <w:fldChar w:fldCharType="begin"/>
      </w:r>
      <w:r>
        <w:instrText xml:space="preserve"> HYPERLINK "https://www.kenkokeiei.jp/wp-content/uploads/2025/11/01_251125_%E9%AA%A8%E5%A4%AA%E6%96%B9%E9%87%9D2025%E3%81%8B%E3%82%89%E3%81%BF%E3%81%9F%E5%81%A5%E5%BA%B7%E7%B5%8C%E5%96%B6.pdf" \h </w:instrText>
      </w:r>
      <w:r>
        <w:fldChar w:fldCharType="separate"/>
      </w:r>
      <w:r>
        <w:rPr>
          <w:rStyle w:val="13"/>
          <w:color w:val="0563C1"/>
        </w:rPr>
        <w:t>骨太方針からみた健康経営</w:t>
      </w:r>
      <w:r>
        <w:rPr>
          <w:rStyle w:val="13"/>
          <w:color w:val="0563C1"/>
        </w:rPr>
        <w:fldChar w:fldCharType="end"/>
      </w:r>
    </w:p>
    <w:p w14:paraId="4404DC33">
      <w:pPr>
        <w:spacing w:after="200" w:line="400" w:lineRule="atLeast"/>
      </w:pPr>
      <w:r>
        <w:fldChar w:fldCharType="begin"/>
      </w:r>
      <w:r>
        <w:instrText xml:space="preserve"> HYPERLINK "https://unisyncangels.com/wp-content/uploads/2025/02/Unisync-Feb25.pdf" \h </w:instrText>
      </w:r>
      <w:r>
        <w:fldChar w:fldCharType="separate"/>
      </w:r>
      <w:r>
        <w:rPr>
          <w:rStyle w:val="13"/>
          <w:color w:val="0563C1"/>
        </w:rPr>
        <w:t>THE SILVER ECONOMY: A NEW FRONTIER FOR INVESTMENT AND INNOVATION</w:t>
      </w:r>
      <w:r>
        <w:rPr>
          <w:rStyle w:val="13"/>
          <w:color w:val="0563C1"/>
        </w:rPr>
        <w:fldChar w:fldCharType="end"/>
      </w:r>
    </w:p>
    <w:p w14:paraId="04CAEC18">
      <w:pPr>
        <w:spacing w:after="200" w:line="400" w:lineRule="atLeast"/>
      </w:pPr>
      <w:r>
        <w:fldChar w:fldCharType="begin"/>
      </w:r>
      <w:r>
        <w:instrText xml:space="preserve"> HYPERLINK "https://unitesi.unive.it/retrieve/f6e03556-e334-4787-8ce5-67e5bf06deb5/872522-1281523.pdf" \h </w:instrText>
      </w:r>
      <w:r>
        <w:fldChar w:fldCharType="separate"/>
      </w:r>
      <w:r>
        <w:rPr>
          <w:rStyle w:val="13"/>
          <w:color w:val="0563C1"/>
        </w:rPr>
        <w:t>Social and Economic Sustainable Developments in Japan's super-ageing society</w:t>
      </w:r>
      <w:r>
        <w:rPr>
          <w:rStyle w:val="13"/>
          <w:color w:val="0563C1"/>
        </w:rPr>
        <w:fldChar w:fldCharType="end"/>
      </w:r>
    </w:p>
    <w:p w14:paraId="3D5A2707">
      <w:pPr>
        <w:spacing w:after="200" w:line="400" w:lineRule="atLeast"/>
      </w:pPr>
      <w:r>
        <w:fldChar w:fldCharType="begin"/>
      </w:r>
      <w:r>
        <w:instrText xml:space="preserve"> HYPERLINK "https://files.metaso.cn/api/public-file/preview?fileName=8682616343336595456.pdf" \h </w:instrText>
      </w:r>
      <w:r>
        <w:fldChar w:fldCharType="separate"/>
      </w:r>
      <w:r>
        <w:rPr>
          <w:rStyle w:val="13"/>
          <w:color w:val="0563C1"/>
        </w:rPr>
        <w:t>东洋奇迹——日本经济奥秘剖析</w:t>
      </w:r>
      <w:r>
        <w:rPr>
          <w:rStyle w:val="13"/>
          <w:color w:val="0563C1"/>
        </w:rPr>
        <w:fldChar w:fldCharType="end"/>
      </w:r>
    </w:p>
    <w:p w14:paraId="4CF04FA0">
      <w:pPr>
        <w:spacing w:after="200" w:line="400" w:lineRule="atLeast"/>
      </w:pPr>
      <w:r>
        <w:fldChar w:fldCharType="begin"/>
      </w:r>
      <w:r>
        <w:instrText xml:space="preserve"> HYPERLINK "https://files.metaso.cn/api/public-file/preview?fileName=8689524331742941184.pdf" \h </w:instrText>
      </w:r>
      <w:r>
        <w:fldChar w:fldCharType="separate"/>
      </w:r>
      <w:r>
        <w:rPr>
          <w:rStyle w:val="13"/>
          <w:color w:val="0563C1"/>
        </w:rPr>
        <w:t>2026 年全球宏观展望</w:t>
      </w:r>
      <w:r>
        <w:rPr>
          <w:rStyle w:val="13"/>
          <w:color w:val="0563C1"/>
        </w:rPr>
        <w:fldChar w:fldCharType="end"/>
      </w:r>
    </w:p>
    <w:p w14:paraId="261E284A">
      <w:pPr>
        <w:spacing w:after="200" w:line="400" w:lineRule="atLeast"/>
      </w:pPr>
      <w:r>
        <w:fldChar w:fldCharType="begin"/>
      </w:r>
      <w:r>
        <w:instrText xml:space="preserve"> HYPERLINK "https://www.ceicdata.com/en/japan/population-projection-national-institute-of-population-and-social-security-research" \h </w:instrText>
      </w:r>
      <w:r>
        <w:fldChar w:fldCharType="separate"/>
      </w:r>
      <w:r>
        <w:rPr>
          <w:rStyle w:val="13"/>
          <w:color w:val="0563C1"/>
        </w:rPr>
        <w:t>Japan Population: Projection: National Institute of Population and Social Security Research</w:t>
      </w:r>
      <w:r>
        <w:rPr>
          <w:rStyle w:val="13"/>
          <w:color w:val="0563C1"/>
        </w:rPr>
        <w:fldChar w:fldCharType="end"/>
      </w:r>
    </w:p>
    <w:p w14:paraId="7C69F075">
      <w:pPr>
        <w:spacing w:after="200" w:line="400" w:lineRule="atLeast"/>
      </w:pPr>
      <w:r>
        <w:fldChar w:fldCharType="begin"/>
      </w:r>
      <w:r>
        <w:instrText xml:space="preserve"> HYPERLINK "https://files.metaso.cn/api/public-file/preview?fileName=8691266093692510208.pdf" \h </w:instrText>
      </w:r>
      <w:r>
        <w:fldChar w:fldCharType="separate"/>
      </w:r>
      <w:r>
        <w:rPr>
          <w:rStyle w:val="13"/>
          <w:color w:val="0563C1"/>
        </w:rPr>
        <w:t>2026年全球宏观展望</w:t>
      </w:r>
      <w:r>
        <w:rPr>
          <w:rStyle w:val="13"/>
          <w:color w:val="0563C1"/>
        </w:rPr>
        <w:fldChar w:fldCharType="end"/>
      </w:r>
    </w:p>
    <w:p w14:paraId="4AD00E3E">
      <w:pPr>
        <w:spacing w:after="200" w:line="400" w:lineRule="atLeast"/>
      </w:pPr>
      <w:r>
        <w:fldChar w:fldCharType="begin"/>
      </w:r>
      <w:r>
        <w:instrText xml:space="preserve"> HYPERLINK "https://issuelab.org/resources/11757/11757.pdf" \h </w:instrText>
      </w:r>
      <w:r>
        <w:fldChar w:fldCharType="separate"/>
      </w:r>
      <w:r>
        <w:rPr>
          <w:rStyle w:val="13"/>
          <w:color w:val="0563C1"/>
        </w:rPr>
        <w:t>Aging in Japan</w:t>
      </w:r>
      <w:r>
        <w:rPr>
          <w:rStyle w:val="13"/>
          <w:color w:val="0563C1"/>
        </w:rPr>
        <w:fldChar w:fldCharType="end"/>
      </w:r>
    </w:p>
    <w:p w14:paraId="022601BB">
      <w:pPr>
        <w:spacing w:after="200" w:line="400" w:lineRule="atLeast"/>
      </w:pPr>
      <w:r>
        <w:fldChar w:fldCharType="begin"/>
      </w:r>
      <w:r>
        <w:instrText xml:space="preserve"> HYPERLINK "https://www.openpr.com/news/4233967/united-states-elder-care-services-market-to-reach-usd-2-33" \h </w:instrText>
      </w:r>
      <w:r>
        <w:fldChar w:fldCharType="separate"/>
      </w:r>
      <w:r>
        <w:rPr>
          <w:rStyle w:val="13"/>
          <w:color w:val="0563C1"/>
        </w:rPr>
        <w:t>United States Elder Care Services Market to Reach USD 2.33 Billion by 2033, Driven by Aging Population and Home-Based Care Trends</w:t>
      </w:r>
      <w:r>
        <w:rPr>
          <w:rStyle w:val="13"/>
          <w:color w:val="0563C1"/>
        </w:rPr>
        <w:fldChar w:fldCharType="end"/>
      </w:r>
    </w:p>
    <w:p w14:paraId="7ED02AE2">
      <w:pPr>
        <w:spacing w:after="200" w:line="400" w:lineRule="atLeast"/>
      </w:pPr>
      <w:r>
        <w:fldChar w:fldCharType="begin"/>
      </w:r>
      <w:r>
        <w:instrText xml:space="preserve"> HYPERLINK "https://presswalker.jp/press/66732" \h </w:instrText>
      </w:r>
      <w:r>
        <w:fldChar w:fldCharType="separate"/>
      </w:r>
      <w:r>
        <w:rPr>
          <w:rStyle w:val="13"/>
          <w:color w:val="0563C1"/>
        </w:rPr>
        <w:t>日本高齢者介護サービス市場は2032年までに209億9000万米ドルに達する</w:t>
      </w:r>
      <w:r>
        <w:rPr>
          <w:rStyle w:val="13"/>
          <w:color w:val="0563C1"/>
        </w:rPr>
        <w:fldChar w:fldCharType="end"/>
      </w:r>
    </w:p>
    <w:p w14:paraId="7C853DA4">
      <w:pPr>
        <w:spacing w:after="200" w:line="400" w:lineRule="atLeast"/>
      </w:pPr>
      <w:r>
        <w:fldChar w:fldCharType="begin"/>
      </w:r>
      <w:r>
        <w:instrText xml:space="preserve"> HYPERLINK "https://files.metaso.cn/api/public-file/preview?fileName=8682576599590252544.pdf" \h </w:instrText>
      </w:r>
      <w:r>
        <w:fldChar w:fldCharType="separate"/>
      </w:r>
      <w:r>
        <w:rPr>
          <w:rStyle w:val="13"/>
          <w:color w:val="0563C1"/>
        </w:rPr>
        <w:t>2025年10月18日更新-2025中国医疗健康保障体系转型发展报告：应对老龄化挑战与推动商业健康保险创新</w:t>
      </w:r>
      <w:r>
        <w:rPr>
          <w:rStyle w:val="13"/>
          <w:color w:val="0563C1"/>
        </w:rPr>
        <w:fldChar w:fldCharType="end"/>
      </w:r>
    </w:p>
    <w:p w14:paraId="75E59E53">
      <w:pPr>
        <w:spacing w:after="200" w:line="400" w:lineRule="atLeast"/>
      </w:pPr>
      <w:r>
        <w:fldChar w:fldCharType="begin"/>
      </w:r>
      <w:r>
        <w:instrText xml:space="preserve"> HYPERLINK "https://www.marketinsightsresearch.com/CN/marketreports/12/20370/Japan-Elderly-Care-Services-Market" \h </w:instrText>
      </w:r>
      <w:r>
        <w:fldChar w:fldCharType="separate"/>
      </w:r>
      <w:r>
        <w:rPr>
          <w:rStyle w:val="13"/>
          <w:color w:val="0563C1"/>
        </w:rPr>
        <w:t>日本老年护理服务市场：预测期 2026-2030</w:t>
      </w:r>
      <w:r>
        <w:rPr>
          <w:rStyle w:val="13"/>
          <w:color w:val="0563C1"/>
        </w:rPr>
        <w:fldChar w:fldCharType="end"/>
      </w:r>
    </w:p>
    <w:p w14:paraId="10604BD6">
      <w:pPr>
        <w:spacing w:after="200" w:line="400" w:lineRule="atLeast"/>
      </w:pPr>
      <w:r>
        <w:fldChar w:fldCharType="begin"/>
      </w:r>
      <w:r>
        <w:instrText xml:space="preserve"> HYPERLINK "https://eiec.kdi.re.kr/policy/domesticView.do?ac=0000198702#%3A~%3Atext%3D-%20%EC%97%90%EC%9D%B4%EC%A7%80%ED%85%8C%ED%81%AC%EC%9D%98%203%EB%8C%80%2C%EC%9D%98%20%EA%B8%B0%EC%88%A0%20%EC%82%AC%EB%A1%80%EB%93%A4%EC%9D%84%20%EC%82%B4%ED%8E%B4%EB%B4%84." \h </w:instrText>
      </w:r>
      <w:r>
        <w:fldChar w:fldCharType="separate"/>
      </w:r>
      <w:r>
        <w:rPr>
          <w:rStyle w:val="13"/>
          <w:color w:val="0563C1"/>
        </w:rPr>
        <w:t>일본의 에이지테크 분석 보고서</w:t>
      </w:r>
      <w:r>
        <w:rPr>
          <w:rStyle w:val="13"/>
          <w:color w:val="0563C1"/>
        </w:rPr>
        <w:fldChar w:fldCharType="end"/>
      </w:r>
    </w:p>
    <w:p w14:paraId="6DCA8910">
      <w:pPr>
        <w:spacing w:after="200" w:line="400" w:lineRule="atLeast"/>
      </w:pPr>
      <w:r>
        <w:fldChar w:fldCharType="begin"/>
      </w:r>
      <w:r>
        <w:instrText xml:space="preserve"> HYPERLINK "https://www.medical-jpn.jp/hub/en-gb/blog/elderly/japan-agetech-sector.html" \h </w:instrText>
      </w:r>
      <w:r>
        <w:fldChar w:fldCharType="separate"/>
      </w:r>
      <w:r>
        <w:rPr>
          <w:rStyle w:val="13"/>
          <w:color w:val="0563C1"/>
        </w:rPr>
        <w:t>The Rising Opportunities in Japan's Agetech Sector</w:t>
      </w:r>
      <w:r>
        <w:rPr>
          <w:rStyle w:val="13"/>
          <w:color w:val="0563C1"/>
        </w:rPr>
        <w:fldChar w:fldCharType="end"/>
      </w:r>
    </w:p>
    <w:p w14:paraId="153926DD">
      <w:pPr>
        <w:spacing w:after="200" w:line="400" w:lineRule="atLeast"/>
      </w:pPr>
      <w:r>
        <w:fldChar w:fldCharType="begin"/>
      </w:r>
      <w:r>
        <w:instrText xml:space="preserve"> HYPERLINK "https://memory.library.kr/files/original/a2cd821b152a2814623c1115db264ef9.pdf" \h </w:instrText>
      </w:r>
      <w:r>
        <w:fldChar w:fldCharType="separate"/>
      </w:r>
      <w:r>
        <w:rPr>
          <w:rStyle w:val="13"/>
          <w:color w:val="0563C1"/>
        </w:rPr>
        <w:t>고령화사회와 효 가족문화 학술회의</w:t>
      </w:r>
      <w:r>
        <w:rPr>
          <w:rStyle w:val="13"/>
          <w:color w:val="0563C1"/>
        </w:rPr>
        <w:fldChar w:fldCharType="end"/>
      </w:r>
    </w:p>
    <w:p w14:paraId="7DCD2378">
      <w:pPr>
        <w:spacing w:after="200" w:line="400" w:lineRule="atLeast"/>
      </w:pPr>
      <w:r>
        <w:fldChar w:fldCharType="begin"/>
      </w:r>
      <w:r>
        <w:instrText xml:space="preserve"> HYPERLINK "https://www.city.hamamatsu.shizuoka.jp/documents/13614/r6koureishahukusinosiori_1.pdf" \h </w:instrText>
      </w:r>
      <w:r>
        <w:fldChar w:fldCharType="separate"/>
      </w:r>
      <w:r>
        <w:rPr>
          <w:rStyle w:val="13"/>
          <w:color w:val="0563C1"/>
        </w:rPr>
        <w:t>高齢者福祉のしおり 令和6(2024)年度</w:t>
      </w:r>
      <w:r>
        <w:rPr>
          <w:rStyle w:val="13"/>
          <w:color w:val="0563C1"/>
        </w:rPr>
        <w:fldChar w:fldCharType="end"/>
      </w:r>
    </w:p>
    <w:p w14:paraId="46A4CD42">
      <w:pPr>
        <w:spacing w:after="200" w:line="400" w:lineRule="atLeast"/>
      </w:pPr>
      <w:r>
        <w:fldChar w:fldCharType="begin"/>
      </w:r>
      <w:r>
        <w:instrText xml:space="preserve"> HYPERLINK "https://www.statista.com/statistics/612246/japan-population-breakdown-total-gender/?srsltid=AfmBOorYL_8v2RM2mdexGJrKDdgs4XiysbBj9VmaPKzAWClvdFrmawCf" \h </w:instrText>
      </w:r>
      <w:r>
        <w:fldChar w:fldCharType="separate"/>
      </w:r>
      <w:r>
        <w:rPr>
          <w:rStyle w:val="13"/>
          <w:color w:val="0563C1"/>
        </w:rPr>
        <w:t>Population of Japan from 2005 to 2024, by gender (in millions)</w:t>
      </w:r>
      <w:r>
        <w:rPr>
          <w:rStyle w:val="13"/>
          <w:color w:val="0563C1"/>
        </w:rPr>
        <w:fldChar w:fldCharType="end"/>
      </w:r>
    </w:p>
    <w:p w14:paraId="03763DFA">
      <w:pPr>
        <w:spacing w:after="200" w:line="400" w:lineRule="atLeast"/>
      </w:pPr>
      <w:r>
        <w:fldChar w:fldCharType="begin"/>
      </w:r>
      <w:r>
        <w:instrText xml:space="preserve"> HYPERLINK "https://english.news.cn/20240915/79ac08ad8fc644868182f0641189488c/c.html" \h </w:instrText>
      </w:r>
      <w:r>
        <w:fldChar w:fldCharType="separate"/>
      </w:r>
      <w:r>
        <w:rPr>
          <w:rStyle w:val="13"/>
          <w:color w:val="0563C1"/>
        </w:rPr>
        <w:t>Japan's elderly population at record 36.25 mln</w:t>
      </w:r>
      <w:r>
        <w:rPr>
          <w:rStyle w:val="13"/>
          <w:color w:val="0563C1"/>
        </w:rPr>
        <w:fldChar w:fldCharType="end"/>
      </w:r>
    </w:p>
    <w:p w14:paraId="08FEB6E7">
      <w:pPr>
        <w:spacing w:after="200" w:line="400" w:lineRule="atLeast"/>
      </w:pPr>
      <w:r>
        <w:fldChar w:fldCharType="begin"/>
      </w:r>
      <w:r>
        <w:instrText xml:space="preserve"> HYPERLINK "https://files.metaso.cn/api/public-file/preview?fileName=8682937884656963585.pdf" \h </w:instrText>
      </w:r>
      <w:r>
        <w:fldChar w:fldCharType="separate"/>
      </w:r>
      <w:r>
        <w:rPr>
          <w:rStyle w:val="13"/>
          <w:color w:val="0563C1"/>
        </w:rPr>
        <w:t>Asia/EM 1Q25 Results, Second Cut – Another Strong Beat for Japan</w:t>
      </w:r>
      <w:r>
        <w:rPr>
          <w:rStyle w:val="13"/>
          <w:color w:val="0563C1"/>
        </w:rPr>
        <w:fldChar w:fldCharType="end"/>
      </w:r>
    </w:p>
    <w:p w14:paraId="7D11A63A">
      <w:pPr>
        <w:spacing w:after="200" w:line="400" w:lineRule="atLeast"/>
      </w:pPr>
      <w:r>
        <w:fldChar w:fldCharType="begin"/>
      </w:r>
      <w:r>
        <w:instrText xml:space="preserve"> HYPERLINK "https://silvereconomy.com/silver-economy-market-report" \h </w:instrText>
      </w:r>
      <w:r>
        <w:fldChar w:fldCharType="separate"/>
      </w:r>
      <w:r>
        <w:rPr>
          <w:rStyle w:val="13"/>
          <w:color w:val="0563C1"/>
        </w:rPr>
        <w:t>The Silver Economy Market Report 2025</w:t>
      </w:r>
      <w:r>
        <w:rPr>
          <w:rStyle w:val="13"/>
          <w:color w:val="0563C1"/>
        </w:rPr>
        <w:fldChar w:fldCharType="end"/>
      </w:r>
    </w:p>
    <w:p w14:paraId="2DE7F59A">
      <w:pPr>
        <w:spacing w:after="200" w:line="400" w:lineRule="atLeast"/>
      </w:pPr>
      <w:r>
        <w:fldChar w:fldCharType="begin"/>
      </w:r>
      <w:r>
        <w:instrText xml:space="preserve"> HYPERLINK "https://files.metaso.cn/api/public-file/preview?fileName=8682576551032664064.pdf" \h </w:instrText>
      </w:r>
      <w:r>
        <w:fldChar w:fldCharType="separate"/>
      </w:r>
      <w:r>
        <w:rPr>
          <w:rStyle w:val="13"/>
          <w:color w:val="0563C1"/>
        </w:rPr>
        <w:t>25-4 Managing an Aging Society: Learning the Right Lessons from Japan</w:t>
      </w:r>
      <w:r>
        <w:rPr>
          <w:rStyle w:val="13"/>
          <w:color w:val="0563C1"/>
        </w:rPr>
        <w:fldChar w:fldCharType="end"/>
      </w:r>
    </w:p>
    <w:p w14:paraId="3F3E9351">
      <w:pPr>
        <w:spacing w:after="200" w:line="400" w:lineRule="atLeast"/>
      </w:pPr>
      <w:r>
        <w:fldChar w:fldCharType="begin"/>
      </w:r>
      <w:r>
        <w:instrText xml:space="preserve"> HYPERLINK "https://files.metaso.cn/api/public-file/preview?fileName=8682576630082318336.pdf" \h </w:instrText>
      </w:r>
      <w:r>
        <w:fldChar w:fldCharType="separate"/>
      </w:r>
      <w:r>
        <w:rPr>
          <w:rStyle w:val="13"/>
          <w:color w:val="0563C1"/>
        </w:rPr>
        <w:t>The Economic Benefit of Promoting Healthy Ageing and Community Care</w:t>
      </w:r>
      <w:r>
        <w:rPr>
          <w:rStyle w:val="13"/>
          <w:color w:val="0563C1"/>
        </w:rPr>
        <w:fldChar w:fldCharType="end"/>
      </w:r>
    </w:p>
    <w:p w14:paraId="03A5770E">
      <w:pPr>
        <w:spacing w:after="200" w:line="400" w:lineRule="atLeast"/>
      </w:pPr>
      <w:r>
        <w:fldChar w:fldCharType="begin"/>
      </w:r>
      <w:r>
        <w:instrText xml:space="preserve"> HYPERLINK "https://www.cureus.com/articles/404621-promoting-health-system-resilience-through-health-policy-reform-for-the-ageing-population-of-japan-a-rapid-literature-review.pdf?email=" \h </w:instrText>
      </w:r>
      <w:r>
        <w:fldChar w:fldCharType="separate"/>
      </w:r>
      <w:r>
        <w:rPr>
          <w:rStyle w:val="13"/>
          <w:color w:val="0563C1"/>
        </w:rPr>
        <w:t>Promoting Health System Resilience Through Health Policy Reform for the Ageing Population of Japan: A Rapid Literature Review</w:t>
      </w:r>
      <w:r>
        <w:rPr>
          <w:rStyle w:val="13"/>
          <w:color w:val="0563C1"/>
        </w:rPr>
        <w:fldChar w:fldCharType="end"/>
      </w:r>
    </w:p>
    <w:p w14:paraId="009CD35F">
      <w:pPr>
        <w:spacing w:after="200" w:line="400" w:lineRule="atLeast"/>
      </w:pPr>
      <w:r>
        <w:fldChar w:fldCharType="begin"/>
      </w:r>
      <w:r>
        <w:instrText xml:space="preserve"> HYPERLINK "https://www.statista.com/statistics/1214998/japan-share-primary-insured-people-long-term-care/?srsltid=AfmBOops4bYGadZhmsJ2SSjcQqkmFWSgmnUR8ODxD5fBz0rDLkKjC_oC" \h </w:instrText>
      </w:r>
      <w:r>
        <w:fldChar w:fldCharType="separate"/>
      </w:r>
      <w:r>
        <w:rPr>
          <w:rStyle w:val="13"/>
          <w:color w:val="0563C1"/>
        </w:rPr>
        <w:t>Ratio of primary insured people in the long-term care insurance system requiring nursing care or support in Japan from 2015 to 2024</w:t>
      </w:r>
      <w:r>
        <w:rPr>
          <w:rStyle w:val="13"/>
          <w:color w:val="0563C1"/>
        </w:rPr>
        <w:fldChar w:fldCharType="end"/>
      </w:r>
    </w:p>
    <w:p w14:paraId="33BFC6BE">
      <w:pPr>
        <w:spacing w:after="200" w:line="400" w:lineRule="atLeast"/>
      </w:pPr>
      <w:r>
        <w:fldChar w:fldCharType="begin"/>
      </w:r>
      <w:r>
        <w:instrText xml:space="preserve"> HYPERLINK "https://knowledge.uli.org/-/media/files/research-reports/2021/uli-apac-lifescience-report-22nov2021-final.pdf" \h </w:instrText>
      </w:r>
      <w:r>
        <w:fldChar w:fldCharType="separate"/>
      </w:r>
      <w:r>
        <w:rPr>
          <w:rStyle w:val="13"/>
          <w:color w:val="0563C1"/>
        </w:rPr>
        <w:t>UNDERSTANDING THE LIFE SCIENCES SECTOR IN ASIA PACIFIC The Case for Investment</w:t>
      </w:r>
      <w:r>
        <w:rPr>
          <w:rStyle w:val="13"/>
          <w:color w:val="0563C1"/>
        </w:rPr>
        <w:fldChar w:fldCharType="end"/>
      </w:r>
    </w:p>
    <w:p w14:paraId="546A06AB">
      <w:pPr>
        <w:spacing w:after="200" w:line="400" w:lineRule="atLeast"/>
      </w:pPr>
      <w:r>
        <w:fldChar w:fldCharType="begin"/>
      </w:r>
      <w:r>
        <w:instrText xml:space="preserve"> HYPERLINK "https://www.msgpl.com.au/download/2005/2005_Global_Demographic_Change_CAMA.pdf" \h </w:instrText>
      </w:r>
      <w:r>
        <w:fldChar w:fldCharType="separate"/>
      </w:r>
      <w:r>
        <w:rPr>
          <w:rStyle w:val="13"/>
          <w:color w:val="0563C1"/>
        </w:rPr>
        <w:t>Global Demographic Change and Japanese Macroeconomic Performance</w:t>
      </w:r>
      <w:r>
        <w:rPr>
          <w:rStyle w:val="13"/>
          <w:color w:val="0563C1"/>
        </w:rPr>
        <w:fldChar w:fldCharType="end"/>
      </w:r>
    </w:p>
    <w:p w14:paraId="61FF7EC8">
      <w:pPr>
        <w:spacing w:after="200" w:line="400" w:lineRule="atLeast"/>
      </w:pPr>
      <w:r>
        <w:fldChar w:fldCharType="begin"/>
      </w:r>
      <w:r>
        <w:instrText xml:space="preserve"> HYPERLINK "https://www.oecd.org/content/dam/oecd/en/publications/reports/2024/01/oecd-economic-surveys-japan-2024_9289b572/41e807f9-en.pdf" \h </w:instrText>
      </w:r>
      <w:r>
        <w:fldChar w:fldCharType="separate"/>
      </w:r>
      <w:r>
        <w:rPr>
          <w:rStyle w:val="13"/>
          <w:color w:val="0563C1"/>
        </w:rPr>
        <w:t>OECD Economic Surveys: Japan 2024</w:t>
      </w:r>
      <w:r>
        <w:rPr>
          <w:rStyle w:val="13"/>
          <w:color w:val="0563C1"/>
        </w:rPr>
        <w:fldChar w:fldCharType="end"/>
      </w:r>
    </w:p>
    <w:p w14:paraId="060E009A">
      <w:pPr>
        <w:spacing w:after="200" w:line="400" w:lineRule="atLeast"/>
      </w:pPr>
      <w:r>
        <w:fldChar w:fldCharType="begin"/>
      </w:r>
      <w:r>
        <w:instrText xml:space="preserve"> HYPERLINK "https://africacheck.org/sites/default/files/media/documents/2022-01/Kenya%20IMF%20Report%20December%202019.pdf" \h </w:instrText>
      </w:r>
      <w:r>
        <w:fldChar w:fldCharType="separate"/>
      </w:r>
      <w:r>
        <w:rPr>
          <w:rStyle w:val="13"/>
          <w:color w:val="0563C1"/>
        </w:rPr>
        <w:t>FISCAL TRANSPARENCY EVALUATION UPDATE</w:t>
      </w:r>
      <w:r>
        <w:rPr>
          <w:rStyle w:val="13"/>
          <w:color w:val="0563C1"/>
        </w:rPr>
        <w:fldChar w:fldCharType="end"/>
      </w:r>
    </w:p>
    <w:p w14:paraId="6FDF8F29">
      <w:pPr>
        <w:spacing w:after="200" w:line="400" w:lineRule="atLeast"/>
      </w:pPr>
      <w:r>
        <w:fldChar w:fldCharType="begin"/>
      </w:r>
      <w:r>
        <w:instrText xml:space="preserve"> HYPERLINK "https://www.mlit.go.jp/common/001157851.pdf" \h </w:instrText>
      </w:r>
      <w:r>
        <w:fldChar w:fldCharType="separate"/>
      </w:r>
      <w:r>
        <w:rPr>
          <w:rStyle w:val="13"/>
          <w:color w:val="0563C1"/>
        </w:rPr>
        <w:t>WHITE PAPER ON LAND, INFRASTRUCTURE, TRANSPORT AND TOURISM IN JAPAN, 2015</w:t>
      </w:r>
      <w:r>
        <w:rPr>
          <w:rStyle w:val="13"/>
          <w:color w:val="0563C1"/>
        </w:rPr>
        <w:fldChar w:fldCharType="end"/>
      </w:r>
    </w:p>
    <w:p w14:paraId="2EF6ACBB">
      <w:pPr>
        <w:spacing w:after="200" w:line="400" w:lineRule="atLeast"/>
      </w:pPr>
      <w:r>
        <w:fldChar w:fldCharType="begin"/>
      </w:r>
      <w:r>
        <w:instrText xml:space="preserve"> HYPERLINK "https://www.lacura-g.com/uploads/2015/03/jetro20150327_Lacura_.pdf" \h </w:instrText>
      </w:r>
      <w:r>
        <w:fldChar w:fldCharType="separate"/>
      </w:r>
      <w:r>
        <w:rPr>
          <w:rStyle w:val="13"/>
          <w:color w:val="0563C1"/>
        </w:rPr>
        <w:t>The Rising Silver Tide in Japan ~Eldercare Business Opportunities~</w:t>
      </w:r>
      <w:r>
        <w:rPr>
          <w:rStyle w:val="13"/>
          <w:color w:val="0563C1"/>
        </w:rPr>
        <w:fldChar w:fldCharType="end"/>
      </w:r>
    </w:p>
    <w:p w14:paraId="4BA9E832">
      <w:pPr>
        <w:spacing w:after="200" w:line="400" w:lineRule="atLeast"/>
      </w:pPr>
      <w:r>
        <w:fldChar w:fldCharType="begin"/>
      </w:r>
      <w:r>
        <w:instrText xml:space="preserve"> HYPERLINK "https://files.metaso.cn/api/public-file/preview?fileName=8682569006947643392.pdf" \h </w:instrText>
      </w:r>
      <w:r>
        <w:fldChar w:fldCharType="separate"/>
      </w:r>
      <w:r>
        <w:rPr>
          <w:rStyle w:val="13"/>
          <w:color w:val="0563C1"/>
        </w:rPr>
        <w:t>当下与未来：2025-2026年旅游行业报告</w:t>
      </w:r>
      <w:r>
        <w:rPr>
          <w:rStyle w:val="13"/>
          <w:color w:val="0563C1"/>
        </w:rPr>
        <w:fldChar w:fldCharType="end"/>
      </w:r>
    </w:p>
    <w:p w14:paraId="012BB95F">
      <w:pPr>
        <w:spacing w:after="200" w:line="400" w:lineRule="atLeast"/>
      </w:pPr>
      <w:r>
        <w:fldChar w:fldCharType="begin"/>
      </w:r>
      <w:r>
        <w:instrText xml:space="preserve"> HYPERLINK "https://files.metaso.cn/api/public-file/preview?fileName=8680344262259638272.pdf" \h </w:instrText>
      </w:r>
      <w:r>
        <w:fldChar w:fldCharType="separate"/>
      </w:r>
      <w:r>
        <w:rPr>
          <w:rStyle w:val="13"/>
          <w:color w:val="0563C1"/>
        </w:rPr>
        <w:t>Anti-Ageing Medicine: Myths and Chances</w:t>
      </w:r>
      <w:r>
        <w:rPr>
          <w:rStyle w:val="13"/>
          <w:color w:val="0563C1"/>
        </w:rPr>
        <w:fldChar w:fldCharType="end"/>
      </w:r>
    </w:p>
    <w:p w14:paraId="3C6704D0">
      <w:pPr>
        <w:spacing w:after="200" w:line="400" w:lineRule="atLeast"/>
      </w:pPr>
      <w:r>
        <w:fldChar w:fldCharType="begin"/>
      </w:r>
      <w:r>
        <w:instrText xml:space="preserve"> HYPERLINK "https://faressolution.net/news/tech-innovations-japan-dementia" \h </w:instrText>
      </w:r>
      <w:r>
        <w:fldChar w:fldCharType="separate"/>
      </w:r>
      <w:r>
        <w:rPr>
          <w:rStyle w:val="13"/>
          <w:color w:val="0563C1"/>
        </w:rPr>
        <w:t>The Silent Epidemic: Japan's Dementia Crisis and Technological Innovations</w:t>
      </w:r>
      <w:r>
        <w:rPr>
          <w:rStyle w:val="13"/>
          <w:color w:val="0563C1"/>
        </w:rPr>
        <w:fldChar w:fldCharType="end"/>
      </w:r>
    </w:p>
    <w:p w14:paraId="7593E47C">
      <w:pPr>
        <w:spacing w:after="200" w:line="400" w:lineRule="atLeast"/>
      </w:pPr>
      <w:r>
        <w:fldChar w:fldCharType="begin"/>
      </w:r>
      <w:r>
        <w:instrText xml:space="preserve"> HYPERLINK "https://dga.gov.sa/sites/default/files/2025-08/Human%20Centered%20AI-Accessible%20version.docx" \h </w:instrText>
      </w:r>
      <w:r>
        <w:fldChar w:fldCharType="separate"/>
      </w:r>
      <w:r>
        <w:rPr>
          <w:rStyle w:val="13"/>
          <w:color w:val="0563C1"/>
        </w:rPr>
        <w:t>Human-Centered AI</w:t>
      </w:r>
      <w:r>
        <w:rPr>
          <w:rStyle w:val="13"/>
          <w:color w:val="0563C1"/>
        </w:rPr>
        <w:fldChar w:fldCharType="end"/>
      </w:r>
    </w:p>
    <w:p w14:paraId="2CADB96C">
      <w:pPr>
        <w:spacing w:after="200" w:line="400" w:lineRule="atLeast"/>
      </w:pPr>
      <w:r>
        <w:fldChar w:fldCharType="begin"/>
      </w:r>
      <w:r>
        <w:instrText xml:space="preserve"> HYPERLINK "https://spast.org/ojspath/article/download/5320/473/10412" \h </w:instrText>
      </w:r>
      <w:r>
        <w:fldChar w:fldCharType="separate"/>
      </w:r>
      <w:r>
        <w:rPr>
          <w:rStyle w:val="13"/>
          <w:color w:val="0563C1"/>
        </w:rPr>
        <w:t>AI-Driven Innovations in Elderly Care: A Sustainable Pathway to Achieving India’s SDG Commitments</w:t>
      </w:r>
      <w:r>
        <w:rPr>
          <w:rStyle w:val="13"/>
          <w:color w:val="0563C1"/>
        </w:rPr>
        <w:fldChar w:fldCharType="end"/>
      </w:r>
    </w:p>
    <w:p w14:paraId="0A7E40DB">
      <w:pPr>
        <w:spacing w:after="200" w:line="400" w:lineRule="atLeast"/>
      </w:pPr>
      <w:r>
        <w:fldChar w:fldCharType="begin"/>
      </w:r>
      <w:r>
        <w:instrText xml:space="preserve"> HYPERLINK "https://imia-medinfo.org/wp/wp-content/uploads/2016/01/Newsletter-April-2025.pdf" \h </w:instrText>
      </w:r>
      <w:r>
        <w:fldChar w:fldCharType="separate"/>
      </w:r>
      <w:r>
        <w:rPr>
          <w:rStyle w:val="13"/>
          <w:color w:val="0563C1"/>
        </w:rPr>
        <w:t>IMIA NI Newsletter April 2025 Edition Page 1.</w:t>
      </w:r>
      <w:r>
        <w:rPr>
          <w:rStyle w:val="13"/>
          <w:color w:val="0563C1"/>
        </w:rPr>
        <w:fldChar w:fldCharType="end"/>
      </w:r>
    </w:p>
    <w:p w14:paraId="28181289">
      <w:pPr>
        <w:spacing w:after="200" w:line="400" w:lineRule="atLeast"/>
      </w:pPr>
      <w:r>
        <w:fldChar w:fldCharType="begin"/>
      </w:r>
      <w:r>
        <w:instrText xml:space="preserve"> HYPERLINK "https://files.metaso.cn/api/public-file/preview?fileName=8692426176992620544.pdf" \h </w:instrText>
      </w:r>
      <w:r>
        <w:fldChar w:fldCharType="separate"/>
      </w:r>
      <w:r>
        <w:rPr>
          <w:rStyle w:val="13"/>
          <w:color w:val="0563C1"/>
        </w:rPr>
        <w:t>人工智能机器人的崛起：物理AI时代开启</w:t>
      </w:r>
      <w:r>
        <w:rPr>
          <w:rStyle w:val="13"/>
          <w:color w:val="0563C1"/>
        </w:rPr>
        <w:fldChar w:fldCharType="end"/>
      </w:r>
    </w:p>
    <w:p w14:paraId="5EFA55D4">
      <w:pPr>
        <w:spacing w:after="200" w:line="400" w:lineRule="atLeast"/>
      </w:pPr>
      <w:r>
        <w:fldChar w:fldCharType="begin"/>
      </w:r>
      <w:r>
        <w:instrText xml:space="preserve"> HYPERLINK "https://itbusinesstoday.com/health-tech/top-10-tech-driven-solutions-tackling-japans-aging-population/" \h </w:instrText>
      </w:r>
      <w:r>
        <w:fldChar w:fldCharType="separate"/>
      </w:r>
      <w:r>
        <w:rPr>
          <w:rStyle w:val="13"/>
          <w:color w:val="0563C1"/>
        </w:rPr>
        <w:t>Robotics Transforming Elder Care</w:t>
      </w:r>
      <w:r>
        <w:rPr>
          <w:rStyle w:val="13"/>
          <w:color w:val="0563C1"/>
        </w:rPr>
        <w:fldChar w:fldCharType="end"/>
      </w:r>
    </w:p>
    <w:p w14:paraId="074D1E66">
      <w:pPr>
        <w:spacing w:after="200" w:line="400" w:lineRule="atLeast"/>
      </w:pPr>
      <w:r>
        <w:fldChar w:fldCharType="begin"/>
      </w:r>
      <w:r>
        <w:instrText xml:space="preserve"> HYPERLINK "https://www.eai.or.kr/new/en/pub/view.asp?intSeq=22811&amp;board=eng_workingpaper&amp;keyword_option=&amp;keyword=&amp;more=" \h </w:instrText>
      </w:r>
      <w:r>
        <w:fldChar w:fldCharType="separate"/>
      </w:r>
      <w:r>
        <w:rPr>
          <w:rStyle w:val="13"/>
          <w:color w:val="0563C1"/>
        </w:rPr>
        <w:t>Declining Population, Increasing Human-Machine Teaming</w:t>
      </w:r>
      <w:r>
        <w:rPr>
          <w:rStyle w:val="13"/>
          <w:color w:val="0563C1"/>
        </w:rPr>
        <w:fldChar w:fldCharType="end"/>
      </w:r>
    </w:p>
    <w:p w14:paraId="63229B70">
      <w:pPr>
        <w:spacing w:after="200" w:line="400" w:lineRule="atLeast"/>
      </w:pPr>
      <w:r>
        <w:fldChar w:fldCharType="begin"/>
      </w:r>
      <w:r>
        <w:instrText xml:space="preserve"> HYPERLINK "https://benzatine.com/news-room/japan-leverages-robotics-and-ai-to-combat-dementia-crisis" \h </w:instrText>
      </w:r>
      <w:r>
        <w:fldChar w:fldCharType="separate"/>
      </w:r>
      <w:r>
        <w:rPr>
          <w:rStyle w:val="13"/>
          <w:color w:val="0563C1"/>
        </w:rPr>
        <w:t>Robots and AI, Japan's defence against dementia: How Japan tackles growing dementia cases</w:t>
      </w:r>
      <w:r>
        <w:rPr>
          <w:rStyle w:val="13"/>
          <w:color w:val="0563C1"/>
        </w:rPr>
        <w:fldChar w:fldCharType="end"/>
      </w:r>
    </w:p>
    <w:p w14:paraId="07A4DFAB">
      <w:pPr>
        <w:spacing w:after="200" w:line="400" w:lineRule="atLeast"/>
      </w:pPr>
      <w:r>
        <w:fldChar w:fldCharType="begin"/>
      </w:r>
      <w:r>
        <w:instrText xml:space="preserve"> HYPERLINK "https://www.oecd.org/content/dam/oecd/en/publications/reports/2024/06/recruiting-immigrant-workers-japan-2024_0034390d/0e5a10e3-en.pdf" \h </w:instrText>
      </w:r>
      <w:r>
        <w:fldChar w:fldCharType="separate"/>
      </w:r>
      <w:r>
        <w:rPr>
          <w:rStyle w:val="13"/>
          <w:color w:val="0563C1"/>
        </w:rPr>
        <w:t>Recruiting Immigrant Workers: Japan 2024</w:t>
      </w:r>
      <w:r>
        <w:rPr>
          <w:rStyle w:val="13"/>
          <w:color w:val="0563C1"/>
        </w:rPr>
        <w:fldChar w:fldCharType="end"/>
      </w:r>
    </w:p>
    <w:p w14:paraId="3307EC99">
      <w:pPr>
        <w:spacing w:after="200" w:line="400" w:lineRule="atLeast"/>
      </w:pPr>
      <w:r>
        <w:fldChar w:fldCharType="begin"/>
      </w:r>
      <w:r>
        <w:instrText xml:space="preserve"> HYPERLINK "https://ilcuk.org.uk/wp-content/uploads/2022/04/Moving-the-needle-fact-pack-FINAL.pdf" \h </w:instrText>
      </w:r>
      <w:r>
        <w:fldChar w:fldCharType="separate"/>
      </w:r>
      <w:r>
        <w:rPr>
          <w:rStyle w:val="13"/>
          <w:color w:val="0563C1"/>
        </w:rPr>
        <w:t>Healthy ageing and adult vaccination in Japan: The state of vaccination in older Japanese adults and what happens next</w:t>
      </w:r>
      <w:r>
        <w:rPr>
          <w:rStyle w:val="13"/>
          <w:color w:val="0563C1"/>
        </w:rPr>
        <w:fldChar w:fldCharType="end"/>
      </w:r>
    </w:p>
    <w:p w14:paraId="1E8AA153">
      <w:pPr>
        <w:spacing w:after="200" w:line="400" w:lineRule="atLeast"/>
      </w:pPr>
      <w:r>
        <w:fldChar w:fldCharType="begin"/>
      </w:r>
      <w:r>
        <w:instrText xml:space="preserve"> HYPERLINK "https://www.un.org/development/desa/pd/sites/www.un.org.development.desa.pd/files/unpd_egm_200508_09_ogawa.pdf" \h </w:instrText>
      </w:r>
      <w:r>
        <w:fldChar w:fldCharType="separate"/>
      </w:r>
      <w:r>
        <w:rPr>
          <w:rStyle w:val="13"/>
          <w:color w:val="0563C1"/>
        </w:rPr>
        <w:t>AGEING IN JAPAN: THE HEALTH AND WEALTH OF OLDER PERSONS</w:t>
      </w:r>
      <w:r>
        <w:rPr>
          <w:rStyle w:val="13"/>
          <w:color w:val="0563C1"/>
        </w:rPr>
        <w:fldChar w:fldCharType="end"/>
      </w:r>
    </w:p>
    <w:p w14:paraId="36BAC73D">
      <w:pPr>
        <w:spacing w:after="200" w:line="400" w:lineRule="atLeast"/>
      </w:pPr>
      <w:r>
        <w:fldChar w:fldCharType="begin"/>
      </w:r>
      <w:r>
        <w:instrText xml:space="preserve"> HYPERLINK "https://www.ainvest.com/news/silver-tsunami-tech-titan-naver-cloud-ai-elderly-care-play-japan-aging-society-2507/" \h </w:instrText>
      </w:r>
      <w:r>
        <w:fldChar w:fldCharType="separate"/>
      </w:r>
      <w:r>
        <w:rPr>
          <w:rStyle w:val="13"/>
          <w:color w:val="0563C1"/>
        </w:rPr>
        <w:t>The Silver Tsunami and the Tech Titan: Naver Cloud's AI Elderly Care Play in Japan's Aging Society</w:t>
      </w:r>
      <w:r>
        <w:rPr>
          <w:rStyle w:val="13"/>
          <w:color w:val="0563C1"/>
        </w:rPr>
        <w:fldChar w:fldCharType="end"/>
      </w:r>
    </w:p>
    <w:p w14:paraId="387D7F8A">
      <w:pPr>
        <w:spacing w:after="200" w:line="400" w:lineRule="atLeast"/>
      </w:pPr>
      <w:r>
        <w:fldChar w:fldCharType="begin"/>
      </w:r>
      <w:r>
        <w:instrText xml:space="preserve"> HYPERLINK "https://www.cognitivemarketresearch.com/list/consumer-goods/household" \h </w:instrText>
      </w:r>
      <w:r>
        <w:fldChar w:fldCharType="separate"/>
      </w:r>
      <w:r>
        <w:rPr>
          <w:rStyle w:val="13"/>
          <w:color w:val="0563C1"/>
        </w:rPr>
        <w:t>Home &amp; Hygiene Market</w:t>
      </w:r>
      <w:r>
        <w:rPr>
          <w:rStyle w:val="13"/>
          <w:color w:val="0563C1"/>
        </w:rPr>
        <w:fldChar w:fldCharType="end"/>
      </w:r>
    </w:p>
    <w:p w14:paraId="73A692D0">
      <w:pPr>
        <w:spacing w:after="200" w:line="400" w:lineRule="atLeast"/>
      </w:pPr>
      <w:r>
        <w:fldChar w:fldCharType="begin"/>
      </w:r>
      <w:r>
        <w:instrText xml:space="preserve"> HYPERLINK "https://www.insights10.com/report/japan-palliative-care-market-analysis/?srsltid=AfmBOool0TP5B5diwDE0Txp8PTX6wGsQqzOfpymNHcup7N43zNQbr1WB" \h </w:instrText>
      </w:r>
      <w:r>
        <w:fldChar w:fldCharType="separate"/>
      </w:r>
      <w:r>
        <w:rPr>
          <w:rStyle w:val="13"/>
          <w:color w:val="0563C1"/>
        </w:rPr>
        <w:t>Japan's Palliative care market is projected to grow from $813.03 Mn in 2022 to $1561.52 Mn by 2030</w:t>
      </w:r>
      <w:r>
        <w:rPr>
          <w:rStyle w:val="13"/>
          <w:color w:val="0563C1"/>
        </w:rPr>
        <w:fldChar w:fldCharType="end"/>
      </w:r>
    </w:p>
    <w:p w14:paraId="792E27BF">
      <w:pPr>
        <w:spacing w:after="200" w:line="400" w:lineRule="atLeast"/>
      </w:pPr>
      <w:r>
        <w:fldChar w:fldCharType="begin"/>
      </w:r>
      <w:r>
        <w:instrText xml:space="preserve"> HYPERLINK "https://www.yhresearch.cn/reports/197329/elderly-walking-aids" \h </w:instrText>
      </w:r>
      <w:r>
        <w:fldChar w:fldCharType="separate"/>
      </w:r>
      <w:r>
        <w:rPr>
          <w:rStyle w:val="13"/>
          <w:color w:val="0563C1"/>
        </w:rPr>
        <w:t>2024-2030全球老人助行器行业调研及趋势分析报告</w:t>
      </w:r>
      <w:r>
        <w:rPr>
          <w:rStyle w:val="13"/>
          <w:color w:val="0563C1"/>
        </w:rPr>
        <w:fldChar w:fldCharType="end"/>
      </w:r>
    </w:p>
    <w:p w14:paraId="552888C9">
      <w:pPr>
        <w:spacing w:after="200" w:line="400" w:lineRule="atLeast"/>
      </w:pPr>
      <w:r>
        <w:fldChar w:fldCharType="begin"/>
      </w:r>
      <w:r>
        <w:instrText xml:space="preserve"> HYPERLINK "https://www.globenewswire.com/news-release/2021/07/15/2263455/0/en/Global-Disabled-and-Elderly-Assistive-Technology-Market-to-Reach-32-Billion-by-2026.html" \h </w:instrText>
      </w:r>
      <w:r>
        <w:fldChar w:fldCharType="separate"/>
      </w:r>
      <w:r>
        <w:rPr>
          <w:rStyle w:val="13"/>
          <w:color w:val="0563C1"/>
        </w:rPr>
        <w:t>Global Disabled and Elderly Assistive Technologies Industry</w:t>
      </w:r>
      <w:r>
        <w:rPr>
          <w:rStyle w:val="13"/>
          <w:color w:val="0563C1"/>
        </w:rPr>
        <w:fldChar w:fldCharType="end"/>
      </w:r>
    </w:p>
    <w:p w14:paraId="3F6CB289">
      <w:pPr>
        <w:spacing w:after="200" w:line="400" w:lineRule="atLeast"/>
      </w:pPr>
      <w:r>
        <w:fldChar w:fldCharType="begin"/>
      </w:r>
      <w:r>
        <w:instrText xml:space="preserve"> HYPERLINK "https://www.economics.hawaii.edu/research/workingpapers/88-98/WP_89-3R.pdf" \h </w:instrText>
      </w:r>
      <w:r>
        <w:fldChar w:fldCharType="separate"/>
      </w:r>
      <w:r>
        <w:rPr>
          <w:rStyle w:val="13"/>
          <w:color w:val="0563C1"/>
        </w:rPr>
        <w:t>The Intergenerational Distribution of Resources and Income in Japan</w:t>
      </w:r>
      <w:r>
        <w:rPr>
          <w:rStyle w:val="13"/>
          <w:color w:val="0563C1"/>
        </w:rPr>
        <w:fldChar w:fldCharType="end"/>
      </w:r>
    </w:p>
    <w:p w14:paraId="75A11FC1">
      <w:pPr>
        <w:spacing w:after="200" w:line="400" w:lineRule="atLeast"/>
      </w:pPr>
      <w:r>
        <w:fldChar w:fldCharType="begin"/>
      </w:r>
      <w:r>
        <w:instrText xml:space="preserve"> HYPERLINK "https://www.imes.boj.or.jp/research/papers/english/12-E-03.pdf" \h </w:instrText>
      </w:r>
      <w:r>
        <w:fldChar w:fldCharType="separate"/>
      </w:r>
      <w:r>
        <w:rPr>
          <w:rStyle w:val="13"/>
          <w:color w:val="0563C1"/>
        </w:rPr>
        <w:t>Economic Consequences of Population Aging in Japan: Effects through Changes in Demand Structure</w:t>
      </w:r>
      <w:r>
        <w:rPr>
          <w:rStyle w:val="13"/>
          <w:color w:val="0563C1"/>
        </w:rPr>
        <w:fldChar w:fldCharType="end"/>
      </w:r>
    </w:p>
    <w:p w14:paraId="2BE05839">
      <w:pPr>
        <w:spacing w:after="200" w:line="400" w:lineRule="atLeast"/>
      </w:pPr>
      <w:r>
        <w:fldChar w:fldCharType="begin"/>
      </w:r>
      <w:r>
        <w:instrText xml:space="preserve"> HYPERLINK "https://www.oxan.com/wp-content/uploads/2023/01/consumer-sentiment-politics-markets.pdf" \h </w:instrText>
      </w:r>
      <w:r>
        <w:fldChar w:fldCharType="separate"/>
      </w:r>
      <w:r>
        <w:rPr>
          <w:rStyle w:val="13"/>
          <w:color w:val="0563C1"/>
        </w:rPr>
        <w:t>Consumer sentiment, politics and markets</w:t>
      </w:r>
      <w:r>
        <w:rPr>
          <w:rStyle w:val="13"/>
          <w:color w:val="0563C1"/>
        </w:rPr>
        <w:fldChar w:fldCharType="end"/>
      </w:r>
    </w:p>
    <w:p w14:paraId="2039B632">
      <w:pPr>
        <w:spacing w:after="200" w:line="400" w:lineRule="atLeast"/>
      </w:pPr>
      <w:r>
        <w:fldChar w:fldCharType="begin"/>
      </w:r>
      <w:r>
        <w:instrText xml:space="preserve"> HYPERLINK "https://www.mizuhogroup.com/binaries/content/assets/pdf/mizuho-bank/insights/industry/1075_5en.pdf" \h </w:instrText>
      </w:r>
      <w:r>
        <w:fldChar w:fldCharType="separate"/>
      </w:r>
      <w:r>
        <w:rPr>
          <w:rStyle w:val="13"/>
          <w:color w:val="0563C1"/>
        </w:rPr>
        <w:t>Winning Strategies for Japan and Japanese Industries: Putting an End to the "Lost Decades"</w:t>
      </w:r>
      <w:r>
        <w:rPr>
          <w:rStyle w:val="13"/>
          <w:color w:val="0563C1"/>
        </w:rPr>
        <w:fldChar w:fldCharType="end"/>
      </w:r>
    </w:p>
    <w:p w14:paraId="2B04A670">
      <w:pPr>
        <w:spacing w:after="200" w:line="400" w:lineRule="atLeast"/>
      </w:pPr>
      <w:r>
        <w:fldChar w:fldCharType="begin"/>
      </w:r>
      <w:r>
        <w:instrText xml:space="preserve"> HYPERLINK "https://globalgbc.org/wp-content/uploads/2022/07/0325_2011hakusho_eng.pdf" \h </w:instrText>
      </w:r>
      <w:r>
        <w:fldChar w:fldCharType="separate"/>
      </w:r>
      <w:r>
        <w:rPr>
          <w:rStyle w:val="13"/>
          <w:color w:val="0563C1"/>
        </w:rPr>
        <w:t>2011 White Paper on Small and Medium Enterprises in Japan</w:t>
      </w:r>
      <w:r>
        <w:rPr>
          <w:rStyle w:val="13"/>
          <w:color w:val="0563C1"/>
        </w:rPr>
        <w:fldChar w:fldCharType="end"/>
      </w:r>
    </w:p>
    <w:p w14:paraId="0BC2B700">
      <w:pPr>
        <w:spacing w:after="200" w:line="400" w:lineRule="atLeast"/>
      </w:pPr>
      <w:r>
        <w:fldChar w:fldCharType="begin"/>
      </w:r>
      <w:r>
        <w:instrText xml:space="preserve"> HYPERLINK "https://www.pref.yamaguchi.lg.jp/uploaded/attachment/133115.pdf" \h </w:instrText>
      </w:r>
      <w:r>
        <w:fldChar w:fldCharType="separate"/>
      </w:r>
      <w:r>
        <w:rPr>
          <w:rStyle w:val="13"/>
          <w:color w:val="0563C1"/>
        </w:rPr>
        <w:t>具体的な医療機能等について</w:t>
      </w:r>
      <w:r>
        <w:rPr>
          <w:rStyle w:val="13"/>
          <w:color w:val="0563C1"/>
        </w:rPr>
        <w:fldChar w:fldCharType="end"/>
      </w:r>
    </w:p>
    <w:p w14:paraId="12895DED">
      <w:pPr>
        <w:spacing w:after="200" w:line="400" w:lineRule="atLeast"/>
      </w:pPr>
      <w:r>
        <w:fldChar w:fldCharType="begin"/>
      </w:r>
      <w:r>
        <w:instrText xml:space="preserve"> HYPERLINK "https://kaigo-hoken-asset.hokenja-sheet.jp/pdf/9/30000.pdf" \h </w:instrText>
      </w:r>
      <w:r>
        <w:fldChar w:fldCharType="separate"/>
      </w:r>
      <w:r>
        <w:rPr>
          <w:rStyle w:val="13"/>
          <w:color w:val="0563C1"/>
        </w:rPr>
        <w:t>わかやま長寿プラン2024</w:t>
      </w:r>
      <w:r>
        <w:rPr>
          <w:rStyle w:val="13"/>
          <w:color w:val="0563C1"/>
        </w:rPr>
        <w:fldChar w:fldCharType="end"/>
      </w:r>
    </w:p>
    <w:p w14:paraId="554EE999">
      <w:pPr>
        <w:spacing w:after="200" w:line="400" w:lineRule="atLeast"/>
      </w:pPr>
      <w:r>
        <w:fldChar w:fldCharType="begin"/>
      </w:r>
      <w:r>
        <w:instrText xml:space="preserve"> HYPERLINK "https://www.ipss.go.jp/pp-zenkoku/e/zenkoku_e2017/pp_zenkoku2017e_gaiyou.html#%3A~%3Atext%3DBased%20on%20the%20results%20of%2Cand%20Figure%201-1%29." \h </w:instrText>
      </w:r>
      <w:r>
        <w:fldChar w:fldCharType="separate"/>
      </w:r>
      <w:r>
        <w:rPr>
          <w:rStyle w:val="13"/>
          <w:color w:val="0563C1"/>
        </w:rPr>
        <w:t>Population Projections for Japan</w:t>
      </w:r>
      <w:r>
        <w:rPr>
          <w:rStyle w:val="13"/>
          <w:color w:val="0563C1"/>
        </w:rPr>
        <w:fldChar w:fldCharType="end"/>
      </w:r>
    </w:p>
    <w:p w14:paraId="76F2C008">
      <w:pPr>
        <w:spacing w:after="200" w:line="400" w:lineRule="atLeast"/>
      </w:pPr>
      <w:r>
        <w:fldChar w:fldCharType="begin"/>
      </w:r>
      <w:r>
        <w:instrText xml:space="preserve"> HYPERLINK "https://article.murata.com/en-global/article/future-of-medical-and-technology-1" \h </w:instrText>
      </w:r>
      <w:r>
        <w:fldChar w:fldCharType="separate"/>
      </w:r>
      <w:r>
        <w:rPr>
          <w:rStyle w:val="13"/>
          <w:color w:val="0563C1"/>
        </w:rPr>
        <w:t>Medical Demand with Regional Differences</w:t>
      </w:r>
      <w:r>
        <w:rPr>
          <w:rStyle w:val="13"/>
          <w:color w:val="0563C1"/>
        </w:rPr>
        <w:fldChar w:fldCharType="end"/>
      </w:r>
    </w:p>
    <w:p w14:paraId="3DD1D90F">
      <w:pPr>
        <w:spacing w:after="200" w:line="400" w:lineRule="atLeast"/>
      </w:pPr>
      <w:r>
        <w:fldChar w:fldCharType="begin"/>
      </w:r>
      <w:r>
        <w:instrText xml:space="preserve"> HYPERLINK "https://www.pref.miyagi.jp/documents/48256/04.pdf" \h </w:instrText>
      </w:r>
      <w:r>
        <w:fldChar w:fldCharType="separate"/>
      </w:r>
      <w:r>
        <w:rPr>
          <w:rStyle w:val="13"/>
          <w:color w:val="0563C1"/>
        </w:rPr>
        <w:t>第9期 みやぎ高齢者元気プラン（令和6年度～令和8年度）</w:t>
      </w:r>
      <w:r>
        <w:rPr>
          <w:rStyle w:val="13"/>
          <w:color w:val="0563C1"/>
        </w:rPr>
        <w:fldChar w:fldCharType="end"/>
      </w:r>
    </w:p>
    <w:p w14:paraId="2A02EAF9">
      <w:pPr>
        <w:spacing w:after="200" w:line="400" w:lineRule="atLeast"/>
      </w:pPr>
      <w:r>
        <w:fldChar w:fldCharType="begin"/>
      </w:r>
      <w:r>
        <w:instrText xml:space="preserve"> HYPERLINK "https://www.town.tsuwano.lg.jp/www/contents/1725950685993/files/kaigo-9kikeikaku.pdf" \h </w:instrText>
      </w:r>
      <w:r>
        <w:fldChar w:fldCharType="separate"/>
      </w:r>
      <w:r>
        <w:rPr>
          <w:rStyle w:val="13"/>
          <w:color w:val="0563C1"/>
        </w:rPr>
        <w:t>津和野町老人保健福祉・介護保険事業計画</w:t>
      </w:r>
      <w:r>
        <w:rPr>
          <w:rStyle w:val="13"/>
          <w:color w:val="0563C1"/>
        </w:rPr>
        <w:fldChar w:fldCharType="end"/>
      </w:r>
    </w:p>
    <w:p w14:paraId="7DF70E47">
      <w:pPr>
        <w:spacing w:after="200" w:line="400" w:lineRule="atLeast"/>
      </w:pPr>
      <w:r>
        <w:fldChar w:fldCharType="begin"/>
      </w:r>
      <w:r>
        <w:instrText xml:space="preserve"> HYPERLINK "https://files.metaso.cn/api/public-file/preview?fileName=8676803559706611712.pdf" \h </w:instrText>
      </w:r>
      <w:r>
        <w:fldChar w:fldCharType="separate"/>
      </w:r>
      <w:r>
        <w:rPr>
          <w:rStyle w:val="13"/>
          <w:color w:val="0563C1"/>
        </w:rPr>
        <w:t>失去的三十年：平成日本经济史</w:t>
      </w:r>
      <w:r>
        <w:rPr>
          <w:rStyle w:val="13"/>
          <w:color w:val="0563C1"/>
        </w:rPr>
        <w:fldChar w:fldCharType="end"/>
      </w:r>
    </w:p>
    <w:p w14:paraId="1925CC1C">
      <w:pPr>
        <w:spacing w:after="200" w:line="400" w:lineRule="atLeast"/>
      </w:pPr>
      <w:r>
        <w:fldChar w:fldCharType="begin"/>
      </w:r>
      <w:r>
        <w:instrText xml:space="preserve"> HYPERLINK "https://www.gii.tw/report/mama1752398-iot-medical-devices-market-by-product-wearable.html" \h </w:instrText>
      </w:r>
      <w:r>
        <w:fldChar w:fldCharType="separate"/>
      </w:r>
      <w:r>
        <w:rPr>
          <w:rStyle w:val="13"/>
          <w:color w:val="0563C1"/>
        </w:rPr>
        <w:t>The global IoT medical devices market is projected to reach USD 154.74 billion by 2030</w:t>
      </w:r>
      <w:r>
        <w:rPr>
          <w:rStyle w:val="13"/>
          <w:color w:val="0563C1"/>
        </w:rPr>
        <w:fldChar w:fldCharType="end"/>
      </w:r>
    </w:p>
    <w:p w14:paraId="407F0481">
      <w:pPr>
        <w:spacing w:after="200" w:line="400" w:lineRule="atLeast"/>
      </w:pPr>
      <w:r>
        <w:fldChar w:fldCharType="begin"/>
      </w:r>
      <w:r>
        <w:instrText xml:space="preserve"> HYPERLINK "https://www.hitachi.com/New/cnews/month/2017/06/170608/20170608_09e_gpands_presentation.pdf" \h </w:instrText>
      </w:r>
      <w:r>
        <w:fldChar w:fldCharType="separate"/>
      </w:r>
      <w:r>
        <w:rPr>
          <w:rStyle w:val="13"/>
          <w:color w:val="0563C1"/>
        </w:rPr>
        <w:t>Government, Public Corporation &amp; Social Infrastructure Business Unit Business Strategy</w:t>
      </w:r>
      <w:r>
        <w:rPr>
          <w:rStyle w:val="13"/>
          <w:color w:val="0563C1"/>
        </w:rPr>
        <w:fldChar w:fldCharType="end"/>
      </w:r>
    </w:p>
    <w:p w14:paraId="535A358D">
      <w:pPr>
        <w:spacing w:after="200" w:line="400" w:lineRule="atLeast"/>
      </w:pPr>
      <w:r>
        <w:fldChar w:fldCharType="begin"/>
      </w:r>
      <w:r>
        <w:instrText xml:space="preserve"> HYPERLINK "https://www.kmdf.org/_files/board/20230630//134a707b093d523eb2029402c5301644.pdf" \h </w:instrText>
      </w:r>
      <w:r>
        <w:fldChar w:fldCharType="separate"/>
      </w:r>
      <w:r>
        <w:rPr>
          <w:rStyle w:val="13"/>
          <w:color w:val="0563C1"/>
        </w:rPr>
        <w:t>2022 보건산업백서</w:t>
      </w:r>
      <w:r>
        <w:rPr>
          <w:rStyle w:val="13"/>
          <w:color w:val="0563C1"/>
        </w:rPr>
        <w:fldChar w:fldCharType="end"/>
      </w:r>
    </w:p>
    <w:p w14:paraId="3261F593">
      <w:pPr>
        <w:spacing w:after="200" w:line="400" w:lineRule="atLeast"/>
      </w:pPr>
      <w:r>
        <w:fldChar w:fldCharType="begin"/>
      </w:r>
      <w:r>
        <w:instrText xml:space="preserve"> HYPERLINK "https://warin.ca/japan/Japan-in-Transition.pdf" \h </w:instrText>
      </w:r>
      <w:r>
        <w:fldChar w:fldCharType="separate"/>
      </w:r>
      <w:r>
        <w:rPr>
          <w:rStyle w:val="13"/>
          <w:color w:val="0563C1"/>
        </w:rPr>
        <w:t>Japan in Transition: Institutions, Culture, and Transformation from Tokugawa to the Twenty-First Century</w:t>
      </w:r>
      <w:r>
        <w:rPr>
          <w:rStyle w:val="13"/>
          <w:color w:val="0563C1"/>
        </w:rPr>
        <w:fldChar w:fldCharType="end"/>
      </w:r>
    </w:p>
    <w:p w14:paraId="61431284">
      <w:pPr>
        <w:spacing w:after="200" w:line="400" w:lineRule="atLeast"/>
      </w:pPr>
      <w:r>
        <w:fldChar w:fldCharType="begin"/>
      </w:r>
      <w:r>
        <w:instrText xml:space="preserve"> HYPERLINK "https://www.keei.re.kr/boardDownload.es?bid=0014&amp;list_no=88490&amp;seq=1" \h </w:instrText>
      </w:r>
      <w:r>
        <w:fldChar w:fldCharType="separate"/>
      </w:r>
      <w:r>
        <w:rPr>
          <w:rStyle w:val="13"/>
          <w:color w:val="0563C1"/>
        </w:rPr>
        <w:t>WORLD ENERGY MARKET INSIGHT</w:t>
      </w:r>
      <w:r>
        <w:rPr>
          <w:rStyle w:val="13"/>
          <w:color w:val="0563C1"/>
        </w:rPr>
        <w:fldChar w:fldCharType="end"/>
      </w:r>
    </w:p>
    <w:p w14:paraId="352E41DD">
      <w:pPr>
        <w:spacing w:after="200" w:line="400" w:lineRule="atLeast"/>
      </w:pPr>
      <w:r>
        <w:fldChar w:fldCharType="begin"/>
      </w:r>
      <w:r>
        <w:instrText xml:space="preserve"> HYPERLINK "https://www.theseus.fi/bitstream/handle/10024/333508/Meristo_Laitinen.pdf?sequence=1" \h </w:instrText>
      </w:r>
      <w:r>
        <w:fldChar w:fldCharType="separate"/>
      </w:r>
      <w:r>
        <w:rPr>
          <w:rStyle w:val="13"/>
          <w:color w:val="0563C1"/>
        </w:rPr>
        <w:t>Digital innovations for elderly people – sustainable solutions for the future</w:t>
      </w:r>
      <w:r>
        <w:rPr>
          <w:rStyle w:val="13"/>
          <w:color w:val="0563C1"/>
        </w:rPr>
        <w:fldChar w:fldCharType="end"/>
      </w:r>
    </w:p>
    <w:p w14:paraId="1B0BAC84">
      <w:pPr>
        <w:spacing w:after="200" w:line="400" w:lineRule="atLeast"/>
      </w:pPr>
      <w:r>
        <w:fldChar w:fldCharType="begin"/>
      </w:r>
      <w:r>
        <w:instrText xml:space="preserve"> HYPERLINK "https://infotain-research.org/risk-asset-en.pdf" \h </w:instrText>
      </w:r>
      <w:r>
        <w:fldChar w:fldCharType="separate"/>
      </w:r>
      <w:r>
        <w:rPr>
          <w:rStyle w:val="13"/>
          <w:color w:val="0563C1"/>
        </w:rPr>
        <w:t>Japanese Households' Financial Asset Allocation: A Critical Study of the Government's Asset Relocation Policy</w:t>
      </w:r>
      <w:r>
        <w:rPr>
          <w:rStyle w:val="13"/>
          <w:color w:val="0563C1"/>
        </w:rPr>
        <w:fldChar w:fldCharType="end"/>
      </w:r>
    </w:p>
    <w:p w14:paraId="251DB28A">
      <w:pPr>
        <w:spacing w:after="200" w:line="400" w:lineRule="atLeast"/>
      </w:pPr>
      <w:r>
        <w:fldChar w:fldCharType="begin"/>
      </w:r>
      <w:r>
        <w:instrText xml:space="preserve"> HYPERLINK "https://www.dbj.jp/en/investigate/archive/report/research/pdf_all/all_15e.pdf" \h </w:instrText>
      </w:r>
      <w:r>
        <w:fldChar w:fldCharType="separate"/>
      </w:r>
      <w:r>
        <w:rPr>
          <w:rStyle w:val="13"/>
          <w:color w:val="0563C1"/>
        </w:rPr>
        <w:t>Risk-Averting Portfolio of Japanese Households</w:t>
      </w:r>
      <w:r>
        <w:rPr>
          <w:rStyle w:val="13"/>
          <w:color w:val="0563C1"/>
        </w:rPr>
        <w:fldChar w:fldCharType="end"/>
      </w:r>
    </w:p>
    <w:p w14:paraId="7EB1C5F5">
      <w:pPr>
        <w:spacing w:after="200" w:line="400" w:lineRule="atLeast"/>
      </w:pPr>
      <w:r>
        <w:fldChar w:fldCharType="begin"/>
      </w:r>
      <w:r>
        <w:instrText xml:space="preserve"> HYPERLINK "https://www.econstor.eu/bitstream/10419/186750/1/wp063.pdf" \h </w:instrText>
      </w:r>
      <w:r>
        <w:fldChar w:fldCharType="separate"/>
      </w:r>
      <w:r>
        <w:rPr>
          <w:rStyle w:val="13"/>
          <w:color w:val="0563C1"/>
        </w:rPr>
        <w:t>Wealth Accumulation of the Elderly in Extended Families in Japan and Distribution of Wealth Within Japanese Cohorts by Household Composition: A Critical Analysis of the Literature</w:t>
      </w:r>
      <w:r>
        <w:rPr>
          <w:rStyle w:val="13"/>
          <w:color w:val="0563C1"/>
        </w:rPr>
        <w:fldChar w:fldCharType="end"/>
      </w:r>
    </w:p>
    <w:p w14:paraId="510A8397">
      <w:pPr>
        <w:spacing w:after="200" w:line="400" w:lineRule="atLeast"/>
      </w:pPr>
      <w:r>
        <w:fldChar w:fldCharType="begin"/>
      </w:r>
      <w:r>
        <w:instrText xml:space="preserve"> HYPERLINK "https://www.fsa.go.jp/frtc/kenkyu/event/20140312/kicho_1.pdf" \h </w:instrText>
      </w:r>
      <w:r>
        <w:fldChar w:fldCharType="separate"/>
      </w:r>
      <w:r>
        <w:rPr>
          <w:rStyle w:val="13"/>
          <w:color w:val="0563C1"/>
        </w:rPr>
        <w:t>Current Situation, Challenges and Future of Regional Finance in Japan</w:t>
      </w:r>
      <w:r>
        <w:rPr>
          <w:rStyle w:val="13"/>
          <w:color w:val="0563C1"/>
        </w:rPr>
        <w:fldChar w:fldCharType="end"/>
      </w:r>
    </w:p>
    <w:p w14:paraId="6FBBEFA0">
      <w:pPr>
        <w:spacing w:after="200" w:line="400" w:lineRule="atLeast"/>
      </w:pPr>
      <w:r>
        <w:fldChar w:fldCharType="begin"/>
      </w:r>
      <w:r>
        <w:instrText xml:space="preserve"> HYPERLINK "https://www.statista.com/statistics/1270086/japan-quarterly-saving-ratio-of-households/" \h </w:instrText>
      </w:r>
      <w:r>
        <w:fldChar w:fldCharType="separate"/>
      </w:r>
      <w:r>
        <w:rPr>
          <w:rStyle w:val="13"/>
          <w:color w:val="0563C1"/>
        </w:rPr>
        <w:t>Quarterly household saving ratio in Japan from 1st quarter 2015 to 2nd quarter 2024</w:t>
      </w:r>
      <w:r>
        <w:rPr>
          <w:rStyle w:val="13"/>
          <w:color w:val="0563C1"/>
        </w:rPr>
        <w:fldChar w:fldCharType="end"/>
      </w:r>
    </w:p>
    <w:p w14:paraId="319BF1B6">
      <w:pPr>
        <w:spacing w:after="200" w:line="400" w:lineRule="atLeast"/>
      </w:pPr>
      <w:r>
        <w:fldChar w:fldCharType="begin"/>
      </w:r>
      <w:r>
        <w:instrText xml:space="preserve"> HYPERLINK "https://www.suntory.co.jp/sfnd/jgc/forum/005/pdf/005_tsuya.pdf" \h </w:instrText>
      </w:r>
      <w:r>
        <w:fldChar w:fldCharType="separate"/>
      </w:r>
      <w:r>
        <w:rPr>
          <w:rStyle w:val="13"/>
          <w:color w:val="0563C1"/>
        </w:rPr>
        <w:t>The Impacts of Population Decline in Japan: Demographic Prospects and Policy Implications</w:t>
      </w:r>
      <w:r>
        <w:rPr>
          <w:rStyle w:val="13"/>
          <w:color w:val="0563C1"/>
        </w:rPr>
        <w:fldChar w:fldCharType="end"/>
      </w:r>
    </w:p>
    <w:p w14:paraId="3A3E09A4">
      <w:pPr>
        <w:spacing w:after="200" w:line="400" w:lineRule="atLeast"/>
      </w:pPr>
      <w:r>
        <w:fldChar w:fldCharType="begin"/>
      </w:r>
      <w:r>
        <w:instrText xml:space="preserve"> HYPERLINK "http://www.mcw-forum.or.jp/image_report/DL/20240516-1.pdf" \h </w:instrText>
      </w:r>
      <w:r>
        <w:fldChar w:fldCharType="separate"/>
      </w:r>
      <w:r>
        <w:rPr>
          <w:rStyle w:val="13"/>
          <w:color w:val="0563C1"/>
        </w:rPr>
        <w:t>これからの施設整備の課題</w:t>
      </w:r>
      <w:r>
        <w:rPr>
          <w:rStyle w:val="13"/>
          <w:color w:val="0563C1"/>
        </w:rPr>
        <w:fldChar w:fldCharType="end"/>
      </w:r>
    </w:p>
    <w:p w14:paraId="3B007C62">
      <w:pPr>
        <w:spacing w:after="200" w:line="400" w:lineRule="atLeast"/>
      </w:pPr>
      <w:r>
        <w:fldChar w:fldCharType="begin"/>
      </w:r>
      <w:r>
        <w:instrText xml:space="preserve"> HYPERLINK "https://www.city.osaka.lg.jp/fukushi/cmsfiles/contents/0000211/211772/20231018_shiryou1.pdf" \h </w:instrText>
      </w:r>
      <w:r>
        <w:fldChar w:fldCharType="separate"/>
      </w:r>
      <w:r>
        <w:rPr>
          <w:rStyle w:val="13"/>
          <w:color w:val="0563C1"/>
        </w:rPr>
        <w:t>大阪市高齢者保健福祉計画・介護保険事業計画（素案）</w:t>
      </w:r>
      <w:r>
        <w:rPr>
          <w:rStyle w:val="13"/>
          <w:color w:val="0563C1"/>
        </w:rPr>
        <w:fldChar w:fldCharType="end"/>
      </w:r>
    </w:p>
    <w:p w14:paraId="3B269EA3">
      <w:pPr>
        <w:spacing w:after="200" w:line="400" w:lineRule="atLeast"/>
      </w:pPr>
      <w:r>
        <w:fldChar w:fldCharType="begin"/>
      </w:r>
      <w:r>
        <w:instrText xml:space="preserve"> HYPERLINK "https://familyperspective.org/wp-content/uploads/2024/03/presentation-rokuro-tabuchi.pdf" \h </w:instrText>
      </w:r>
      <w:r>
        <w:fldChar w:fldCharType="separate"/>
      </w:r>
      <w:r>
        <w:rPr>
          <w:rStyle w:val="13"/>
          <w:color w:val="0563C1"/>
        </w:rPr>
        <w:t>Emerging Trends in Domestic Migration Patterns in Japan</w:t>
      </w:r>
      <w:r>
        <w:rPr>
          <w:rStyle w:val="13"/>
          <w:color w:val="0563C1"/>
        </w:rPr>
        <w:fldChar w:fldCharType="end"/>
      </w:r>
    </w:p>
    <w:p w14:paraId="464DF9B4">
      <w:pPr>
        <w:spacing w:after="200" w:line="400" w:lineRule="atLeast"/>
      </w:pPr>
      <w:r>
        <w:fldChar w:fldCharType="begin"/>
      </w:r>
      <w:r>
        <w:instrText xml:space="preserve"> HYPERLINK "https://www.pref.tokushima.lg.jp/file/attachment/902312.pdf" \h </w:instrText>
      </w:r>
      <w:r>
        <w:fldChar w:fldCharType="separate"/>
      </w:r>
      <w:r>
        <w:rPr>
          <w:rStyle w:val="13"/>
          <w:color w:val="0563C1"/>
        </w:rPr>
        <w:t>とくしま高齢者いきいきプラン（2024～2026）</w:t>
      </w:r>
      <w:r>
        <w:rPr>
          <w:rStyle w:val="13"/>
          <w:color w:val="0563C1"/>
        </w:rPr>
        <w:fldChar w:fldCharType="end"/>
      </w:r>
    </w:p>
    <w:p w14:paraId="082AEFC6">
      <w:pPr>
        <w:spacing w:after="200" w:line="400" w:lineRule="atLeast"/>
      </w:pPr>
      <w:r>
        <w:fldChar w:fldCharType="begin"/>
      </w:r>
      <w:r>
        <w:instrText xml:space="preserve"> HYPERLINK "https://www.ai-japan.go.jp/menu/learn/ai-strategy-1/Artificial%20Intelligence%20Technology%20Strategy%28March%2C2017%29.pdf" \h </w:instrText>
      </w:r>
      <w:r>
        <w:fldChar w:fldCharType="separate"/>
      </w:r>
      <w:r>
        <w:rPr>
          <w:rStyle w:val="13"/>
          <w:color w:val="0563C1"/>
        </w:rPr>
        <w:t>Artificial Intelligence Technology Strategy (Report of Strategic Council for AI Technology)</w:t>
      </w:r>
      <w:r>
        <w:rPr>
          <w:rStyle w:val="13"/>
          <w:color w:val="0563C1"/>
        </w:rPr>
        <w:fldChar w:fldCharType="end"/>
      </w:r>
    </w:p>
    <w:p w14:paraId="42E2E36A">
      <w:pPr>
        <w:spacing w:after="200" w:line="400" w:lineRule="atLeast"/>
      </w:pPr>
      <w:r>
        <w:fldChar w:fldCharType="begin"/>
      </w:r>
      <w:r>
        <w:instrText xml:space="preserve"> HYPERLINK "https://mittrinsights.s3.amazonaws.com/ai-healthcare-asia.pdf" \h </w:instrText>
      </w:r>
      <w:r>
        <w:fldChar w:fldCharType="separate"/>
      </w:r>
      <w:r>
        <w:rPr>
          <w:rStyle w:val="13"/>
          <w:color w:val="0563C1"/>
        </w:rPr>
        <w:t>AI in health care: Capacity, capability, and a future of active health in Asia</w:t>
      </w:r>
      <w:r>
        <w:rPr>
          <w:rStyle w:val="13"/>
          <w:color w:val="0563C1"/>
        </w:rPr>
        <w:fldChar w:fldCharType="end"/>
      </w:r>
    </w:p>
    <w:p w14:paraId="0C80AA7F">
      <w:pPr>
        <w:spacing w:after="200" w:line="400" w:lineRule="atLeast"/>
      </w:pPr>
      <w:r>
        <w:fldChar w:fldCharType="begin"/>
      </w:r>
      <w:r>
        <w:instrText xml:space="preserve"> HYPERLINK "https://firstreit.listedcompany.com/newsroom/20220106_213825_AW9U_9XKC7BYOCE8UXJF2.1.pdf" \h </w:instrText>
      </w:r>
      <w:r>
        <w:fldChar w:fldCharType="separate"/>
      </w:r>
      <w:r>
        <w:rPr>
          <w:rStyle w:val="13"/>
          <w:color w:val="0563C1"/>
        </w:rPr>
        <w:t>Circular to Unitholders in Relation to: The Proposed Acquisition of 12 Nursing Homes Located in Japan, as an Interested Person Transaction; The Proposed Issue of 431,147,541 New Units as Partial Consideration for the Proposed Acquisition of 12 Nursing Homes Located in Japan; The Proposed Whitewash Resolution; and The Proposed Settlement in Respect of the Terminated Development Works Adjacent to Siloam Hospitals Surabaya, as an Interested Person Transaction</w:t>
      </w:r>
      <w:r>
        <w:rPr>
          <w:rStyle w:val="13"/>
          <w:color w:val="0563C1"/>
        </w:rPr>
        <w:fldChar w:fldCharType="end"/>
      </w:r>
    </w:p>
    <w:p w14:paraId="797A19F7">
      <w:pPr>
        <w:spacing w:after="200" w:line="400" w:lineRule="atLeast"/>
      </w:pPr>
      <w:r>
        <w:fldChar w:fldCharType="begin"/>
      </w:r>
      <w:r>
        <w:instrText xml:space="preserve"> HYPERLINK "https://www.techsciresearch.com/report/japan-elderly-care-medical-devices-market/24247.html" \h </w:instrText>
      </w:r>
      <w:r>
        <w:fldChar w:fldCharType="separate"/>
      </w:r>
      <w:r>
        <w:rPr>
          <w:rStyle w:val="13"/>
          <w:color w:val="0563C1"/>
        </w:rPr>
        <w:t>Japan Elderly Care Medical Devices Market</w:t>
      </w:r>
      <w:r>
        <w:rPr>
          <w:rStyle w:val="13"/>
          <w:color w:val="0563C1"/>
        </w:rPr>
        <w:fldChar w:fldCharType="end"/>
      </w:r>
    </w:p>
    <w:p w14:paraId="7A31ECD5">
      <w:pPr>
        <w:spacing w:after="200" w:line="400" w:lineRule="atLeast"/>
      </w:pPr>
      <w:r>
        <w:fldChar w:fldCharType="begin"/>
      </w:r>
      <w:r>
        <w:instrText xml:space="preserve"> HYPERLINK "https://www.bluemarasolutions.com/wp-content/uploads/2019/09/CY19-citi-doc-work-4.0-interesante.pdf" \h </w:instrText>
      </w:r>
      <w:r>
        <w:fldChar w:fldCharType="separate"/>
      </w:r>
      <w:r>
        <w:rPr>
          <w:rStyle w:val="13"/>
          <w:color w:val="0563C1"/>
        </w:rPr>
        <w:t>TECHNOLOGY AT WORK v4.0</w:t>
      </w:r>
      <w:r>
        <w:rPr>
          <w:rStyle w:val="13"/>
          <w:color w:val="0563C1"/>
        </w:rPr>
        <w:fldChar w:fldCharType="end"/>
      </w:r>
    </w:p>
    <w:p w14:paraId="6F1185D6">
      <w:pPr>
        <w:spacing w:after="200" w:line="400" w:lineRule="atLeast"/>
      </w:pPr>
      <w:r>
        <w:fldChar w:fldCharType="begin"/>
      </w:r>
      <w:r>
        <w:instrText xml:space="preserve"> HYPERLINK "https://files.metaso.cn/api/public-file/preview?fileName=8685885488503148544.pdf" \h </w:instrText>
      </w:r>
      <w:r>
        <w:fldChar w:fldCharType="separate"/>
      </w:r>
      <w:r>
        <w:rPr>
          <w:rStyle w:val="13"/>
          <w:color w:val="0563C1"/>
        </w:rPr>
        <w:t>保健品行业深度：驱动因素、市场分析、产业链及相关公司深度梳理</w:t>
      </w:r>
      <w:r>
        <w:rPr>
          <w:rStyle w:val="13"/>
          <w:color w:val="0563C1"/>
        </w:rPr>
        <w:fldChar w:fldCharType="end"/>
      </w:r>
    </w:p>
    <w:p w14:paraId="0123B5F6">
      <w:pPr>
        <w:spacing w:after="200" w:line="400" w:lineRule="atLeast"/>
      </w:pPr>
      <w:r>
        <w:fldChar w:fldCharType="begin"/>
      </w:r>
      <w:r>
        <w:instrText xml:space="preserve"> HYPERLINK "https://www.thehinducentre.com/resources/67553852-ki_durable_29june16.pdf" \h </w:instrText>
      </w:r>
      <w:r>
        <w:fldChar w:fldCharType="separate"/>
      </w:r>
      <w:r>
        <w:rPr>
          <w:rStyle w:val="13"/>
          <w:color w:val="0563C1"/>
        </w:rPr>
        <w:t>Key Indicators of Household Expenditure on Services and Durable Goods</w:t>
      </w:r>
      <w:r>
        <w:rPr>
          <w:rStyle w:val="13"/>
          <w:color w:val="0563C1"/>
        </w:rPr>
        <w:fldChar w:fldCharType="end"/>
      </w:r>
    </w:p>
    <w:p w14:paraId="1B81AC48">
      <w:pPr>
        <w:spacing w:after="200" w:line="400" w:lineRule="atLeast"/>
      </w:pPr>
      <w:r>
        <w:fldChar w:fldCharType="begin"/>
      </w:r>
      <w:r>
        <w:instrText xml:space="preserve"> HYPERLINK "https://www.uke.de/extern/eurofamcare/documents/nabares/nabare_hungary_rc1_a4.pdf" \h </w:instrText>
      </w:r>
      <w:r>
        <w:fldChar w:fldCharType="separate"/>
      </w:r>
      <w:r>
        <w:rPr>
          <w:rStyle w:val="13"/>
          <w:color w:val="0563C1"/>
        </w:rPr>
        <w:t>Services for Supporting Family Carers of Elderly People in Europe: Characteristics, Coverage and Usage</w:t>
      </w:r>
      <w:r>
        <w:rPr>
          <w:rStyle w:val="13"/>
          <w:color w:val="0563C1"/>
        </w:rPr>
        <w:fldChar w:fldCharType="end"/>
      </w:r>
    </w:p>
    <w:p w14:paraId="796119C8">
      <w:pPr>
        <w:spacing w:after="200" w:line="400" w:lineRule="atLeast"/>
      </w:pPr>
      <w:r>
        <w:fldChar w:fldCharType="begin"/>
      </w:r>
      <w:r>
        <w:instrText xml:space="preserve"> HYPERLINK "https://cy.ons.gov.uk/peoplepopulationandcommunity/personalandhouseholdfinances/incomeandwealth/compendium/familyspending/2014-12-02/chapter3equivalisedincomemd" \h </w:instrText>
      </w:r>
      <w:r>
        <w:fldChar w:fldCharType="separate"/>
      </w:r>
      <w:r>
        <w:rPr>
          <w:rStyle w:val="13"/>
          <w:color w:val="0563C1"/>
        </w:rPr>
        <w:t>Household expenditure by income</w:t>
      </w:r>
      <w:r>
        <w:rPr>
          <w:rStyle w:val="13"/>
          <w:color w:val="0563C1"/>
        </w:rPr>
        <w:fldChar w:fldCharType="end"/>
      </w:r>
    </w:p>
    <w:p w14:paraId="2172D57F">
      <w:pPr>
        <w:spacing w:after="200" w:line="400" w:lineRule="atLeast"/>
      </w:pPr>
      <w:r>
        <w:fldChar w:fldCharType="begin"/>
      </w:r>
      <w:r>
        <w:instrText xml:space="preserve"> HYPERLINK "https://ifs.org.uk/sites/default/files/output_url_files/comm111.pdf" \h </w:instrText>
      </w:r>
      <w:r>
        <w:fldChar w:fldCharType="separate"/>
      </w:r>
      <w:r>
        <w:rPr>
          <w:rStyle w:val="13"/>
          <w:color w:val="0563C1"/>
        </w:rPr>
        <w:t>The Expenditure Experience of Older Households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25D9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7BC60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767</Words>
  <Characters>4615</Characters>
  <TotalTime>0</TotalTime>
  <ScaleCrop>false</ScaleCrop>
  <LinksUpToDate>false</LinksUpToDate>
  <CharactersWithSpaces>5356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2026-01-04T18:28:09Z</dcterms:created>
  <dc:creator>86188</dc:creator>
  <cp:lastModifiedBy>dyx</cp:lastModifiedBy>
  <dcterms:modified xsi:type="dcterms:W3CDTF">2026-01-04T18:29:22Z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aa2e16b2-9602-468b-83ad-7a831508e142","Lable":"1","ReservedCode1":"d576d9c41cdbac4112c4b2bf8aa833fd","ReservedCode2":"d576d9c41cdbac4112c4b2bf8aa833fd","PropagateID":"Metasota_docx_694914cd86ee47b771420197_1_aa2e16b2-9602-468b-83ad-7a831508e142","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FCD459DCE6FC4510908A6C1FC2612B7E_12</vt:lpwstr>
  </property>
</Properties>
</file>