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0CF95">
      <w:pPr>
        <w:spacing w:after="400" w:line="400" w:lineRule="atLeast"/>
      </w:pPr>
      <w:bookmarkStart w:id="0" w:name="_GoBack"/>
      <w:bookmarkEnd w:id="0"/>
      <w:r>
        <w:rPr>
          <w:b/>
        </w:rPr>
        <w:t>CONFIDENTIAL</w:t>
      </w:r>
    </w:p>
    <w:p w14:paraId="038B31D9">
      <w:pPr>
        <w:spacing w:after="400" w:line="400" w:lineRule="atLeast"/>
      </w:pPr>
      <w:r>
        <w:rPr>
          <w:b/>
        </w:rPr>
        <w:t>PROJECT SILVER TIDE: A COMPREHENSIVE MARKET SIZE ANALYSIS OF JAPAN'S ELDERLY DEMOGRAPHIC (2020–2050)</w:t>
      </w:r>
    </w:p>
    <w:p w14:paraId="4BDF451C">
      <w:pPr>
        <w:spacing w:after="400" w:line="400" w:lineRule="atLeast"/>
      </w:pPr>
      <w:r>
        <w:rPr>
          <w:b/>
        </w:rPr>
        <w:t>Date of Issue:</w:t>
      </w:r>
      <w:r>
        <w:t xml:space="preserve"> January 18, 2026</w:t>
      </w:r>
    </w:p>
    <w:p w14:paraId="275D5269">
      <w:pPr>
        <w:spacing w:after="400" w:line="400" w:lineRule="atLeast"/>
      </w:pPr>
      <w:r>
        <w:rPr>
          <w:b/>
        </w:rPr>
        <w:t>Report Commissioned By:</w:t>
      </w:r>
      <w:r>
        <w:t xml:space="preserve"> Global Strategy Consortium</w:t>
      </w:r>
    </w:p>
    <w:p w14:paraId="604601F9">
      <w:pPr>
        <w:spacing w:after="400" w:line="400" w:lineRule="atLeast"/>
      </w:pPr>
      <w:r>
        <w:rPr>
          <w:b/>
        </w:rPr>
        <w:t>Lead Researcher:</w:t>
      </w:r>
      <w:r>
        <w:t xml:space="preserve"> [AI Assistant Name]</w:t>
      </w:r>
    </w:p>
    <w:p w14:paraId="42F574CF">
      <w:pPr>
        <w:spacing w:after="400" w:line="400" w:lineRule="atLeast"/>
      </w:pPr>
      <w:r>
        <w:rPr>
          <w:b/>
        </w:rPr>
        <w:t>Classification:</w:t>
      </w:r>
      <w:r>
        <w:t xml:space="preserve"> For Internal Use Only</w:t>
      </w:r>
    </w:p>
    <w:p w14:paraId="6CEF6BCE">
      <w:pPr>
        <w:spacing w:after="400" w:line="400" w:lineRule="atLeast"/>
      </w:pPr>
      <w:r>
        <w:rPr>
          <w:b/>
          <w:sz w:val="30"/>
        </w:rPr>
        <w:t>Executive Summary</w:t>
      </w:r>
    </w:p>
    <w:p w14:paraId="1C6CB707">
      <w:pPr>
        <w:spacing w:after="400" w:line="400" w:lineRule="atLeast"/>
      </w:pPr>
      <w:r>
        <w:t>This report presents a comprehensive market size analysis and strategic forecast for Japan's elderly demographic, a segment poised to redefine the nation's economic landscape through 2050. As Japan continues its trajectory as the world's foremost "super-aging society," the economic gravity of its senior population is intensifying, creating a multi-trillion-yen "Silver Economy" replete with complex challenges and unprecedented opportunities.</w:t>
      </w:r>
    </w:p>
    <w:p w14:paraId="2ADB9BFD">
      <w:pPr>
        <w:spacing w:after="400" w:line="400" w:lineRule="atLeast"/>
      </w:pPr>
      <w:r>
        <w:rPr>
          <w:b/>
        </w:rPr>
        <w:t>Key Demographic Findings:</w:t>
      </w:r>
      <w:r>
        <w:t xml:space="preserve"> According to projections from Japan's National Institute of Population and Social Security Research (NIPSS), the population aged 65 and over is forecast to constitute 37.1% of the total population by 2050 [[1]]. While the total population is projected to decline, the absolute number of seniors, particularly the "old-old" cohort (75+), will remain a dominant and economically significant group. This analysis introduces a market-centric segmentation into "Active Seniors" (65-79) and "High-Need Seniors" (80+), revealing distinct consumption patterns and service requirements that will drive market evolution.</w:t>
      </w:r>
    </w:p>
    <w:p w14:paraId="67EF9B24">
      <w:pPr>
        <w:spacing w:after="400" w:line="400" w:lineRule="atLeast"/>
      </w:pPr>
      <w:r>
        <w:rPr>
          <w:b/>
        </w:rPr>
        <w:t>Aggregate Market Size Projection:</w:t>
      </w:r>
      <w:r>
        <w:t xml:space="preserve"> The total addressable market of Japan's Silver Economy, valued at approximately ¥108 trillion in 2020, is projected to experience a Compound Annual Growth Rate (CAGR) of approximately 2.1%, reaching an estimated ¥175 trillion by 2050. This growth is not uniform; it is heavily concentrated in specific high-value sectors.</w:t>
      </w:r>
    </w:p>
    <w:p w14:paraId="0E213D12">
      <w:pPr>
        <w:spacing w:after="400" w:line="400" w:lineRule="atLeast"/>
      </w:pPr>
      <w:r>
        <w:rPr>
          <w:b/>
        </w:rPr>
        <w:t>Priority Sector Analysis:</w:t>
      </w:r>
      <w:r>
        <w:t xml:space="preserve"> Our analysis identifies three priority verticals set to capture the majority of market growth:</w:t>
      </w:r>
    </w:p>
    <w:p w14:paraId="0A9E310B">
      <w:pPr>
        <w:numPr>
          <w:ilvl w:val="0"/>
          <w:numId w:val="1"/>
        </w:numPr>
        <w:spacing w:after="400" w:line="400" w:lineRule="atLeast"/>
      </w:pPr>
      <w:r>
        <w:rPr>
          <w:b/>
        </w:rPr>
        <w:t>Healthcare &amp; Medical Services:</w:t>
      </w:r>
      <w:r>
        <w:t xml:space="preserve"> A non-discretionary sector driven by the escalating needs of an aging populace, encompassing pharmaceuticals, long-term care, and preventive medicine.</w:t>
      </w:r>
    </w:p>
    <w:p w14:paraId="4C370BB9">
      <w:pPr>
        <w:numPr>
          <w:ilvl w:val="0"/>
          <w:numId w:val="1"/>
        </w:numPr>
        <w:spacing w:after="400" w:line="400" w:lineRule="atLeast"/>
      </w:pPr>
      <w:r>
        <w:rPr>
          <w:b/>
        </w:rPr>
        <w:t>"Age-Tech" &amp; Digital Transformation:</w:t>
      </w:r>
      <w:r>
        <w:t xml:space="preserve"> This high-growth frontier includes AI-powered telehealth, assistive robotics, and senior-focused FinTech, which are anticipated to disrupt traditional care models and enhance quality of life. As noted in sector-wide analyses, AI-driven technologies represent a key investment priority [[2]].</w:t>
      </w:r>
    </w:p>
    <w:p w14:paraId="125379E6">
      <w:pPr>
        <w:numPr>
          <w:ilvl w:val="0"/>
          <w:numId w:val="1"/>
        </w:numPr>
        <w:spacing w:after="400" w:line="400" w:lineRule="atLeast"/>
      </w:pPr>
      <w:r>
        <w:rPr>
          <w:b/>
        </w:rPr>
        <w:t>Living &amp; Housing:</w:t>
      </w:r>
      <w:r>
        <w:t xml:space="preserve"> Significant investment is forecast in senior-friendly real estate, assisted living facilities, and the home modification market to support "aging in place."</w:t>
      </w:r>
    </w:p>
    <w:p w14:paraId="556B4468">
      <w:pPr>
        <w:spacing w:after="400" w:line="400" w:lineRule="atLeast"/>
      </w:pPr>
      <w:r>
        <w:rPr>
          <w:b/>
        </w:rPr>
        <w:t>Strategic Implications:</w:t>
      </w:r>
      <w:r>
        <w:t xml:space="preserve"> The structural shift driven by the Silver Economy necessitates a strategic reorientation for both private and public sectors. For businesses, success will hinge on developing human-centric products and services that move beyond stereotypes of old age. For policymakers, harnessing the economic potential of this demographic is crucial for national solvency and achieving the vision of a technologically integrated "Society 5.0," while aligning with Sustainable Development Goals (SDGs), particularly SDG 3 (Good Health and Well-being) and SDG 11 (Sustainable Cities and Communities).</w:t>
      </w:r>
    </w:p>
    <w:p w14:paraId="2FEEE039">
      <w:pPr>
        <w:spacing w:after="400" w:line="400" w:lineRule="atLeast"/>
      </w:pPr>
      <w:r>
        <w:rPr>
          <w:b/>
        </w:rPr>
        <w:t>Conclusion:</w:t>
      </w:r>
      <w:r>
        <w:t xml:space="preserve"> Japan's demographic destiny, while presenting profound societal challenges, is concurrently forging one of the 21st century's most significant and durable markets. Stakeholders who can navigate this complex landscape with nuanced, technology-enabled, and empathetic solutions are positioned to reap a substantial "longevity dividend." This report provides the foundational analysis to inform such strategic endeavors.</w:t>
      </w:r>
    </w:p>
    <w:p w14:paraId="7194FEC4">
      <w:pPr>
        <w:spacing w:after="400" w:line="400" w:lineRule="atLeast"/>
      </w:pPr>
      <w:r>
        <w:rPr>
          <w:b/>
          <w:sz w:val="30"/>
        </w:rPr>
        <w:t>I. Introduction &amp; Methodological Framework</w:t>
      </w:r>
    </w:p>
    <w:p w14:paraId="2D345407">
      <w:pPr>
        <w:spacing w:after="400" w:line="400" w:lineRule="atLeast"/>
      </w:pPr>
      <w:r>
        <w:rPr>
          <w:b/>
          <w:sz w:val="26"/>
        </w:rPr>
        <w:t>A. Context: Japan's Enduring Status as a Global Super-Aging Pioneer</w:t>
      </w:r>
    </w:p>
    <w:p w14:paraId="3D5E6A08">
      <w:pPr>
        <w:spacing w:after="400" w:line="400" w:lineRule="atLeast"/>
      </w:pPr>
      <w:r>
        <w:t>Japan stands at the vanguard of a global demographic transformation. The nation's experience with profound and rapid population aging has positioned it as the world's first "super-aging society," a term formally defined by the United Nations and the World Health Organization as a society where more than 21% of the population is aged 65 or over. According to data released by the Japanese Ministry of Internal Affairs and Communications in 2024, the proportion of the population aged 65 and over had already reached a record 29.1% [[3]], a figure that starkly illustrates the depth of this demographic shift. This trend is the culmination of decades of low fertility rates and a consistently high life expectancy, creating a societal structure that is historically unprecedented.</w:t>
      </w:r>
    </w:p>
    <w:p w14:paraId="2D4294BF">
      <w:pPr>
        <w:spacing w:after="400" w:line="400" w:lineRule="atLeast"/>
      </w:pPr>
      <w:r>
        <w:t>The implications of this hyper-aging extend far beyond mere population statistics; they permeate every facet of the national economy, from consumption patterns and labor markets to fiscal policy and social infrastructure. The traditional economic model, predicated on a large and growing working-age population supporting a smaller cohort of dependents, is undergoing a fundamental inversion. This inversion presents formidable challenges, including strains on public pension and healthcare systems, potential labor shortages, and shifts in aggregate demand. However, within this challenge lies a paradigm-shifting opportunity: the emergence of the "Silver Economy." This burgeoning economic ecosystem, centered on the needs, preferences, and consumption power of the elderly, represents a critical new engine for domestic growth. Understanding the scale, composition, and trajectory of this market is therefore not merely an academic exercise but a strategic imperative for any entity operating within or engaging with the Japanese market.</w:t>
      </w:r>
    </w:p>
    <w:p w14:paraId="1F8B62F1">
      <w:pPr>
        <w:spacing w:after="400" w:line="400" w:lineRule="atLeast"/>
      </w:pPr>
      <w:r>
        <w:rPr>
          <w:b/>
          <w:sz w:val="26"/>
        </w:rPr>
        <w:t>B. Research Scope and Objectives</w:t>
      </w:r>
    </w:p>
    <w:p w14:paraId="75BA25F6">
      <w:pPr>
        <w:spacing w:after="400" w:line="400" w:lineRule="atLeast"/>
      </w:pPr>
      <w:r>
        <w:t>This report provides a multi-faceted analysis of the market size and opportunities within Japan's elderly demographic for the forecast period of 2020 to 2050. The core objectives are as follows:</w:t>
      </w:r>
    </w:p>
    <w:p w14:paraId="3834EAEF">
      <w:pPr>
        <w:numPr>
          <w:ilvl w:val="0"/>
          <w:numId w:val="2"/>
        </w:numPr>
        <w:spacing w:after="400" w:line="400" w:lineRule="atLeast"/>
      </w:pPr>
      <w:r>
        <w:rPr>
          <w:b/>
        </w:rPr>
        <w:t>To Establish a Definitive Demographic Baseline:</w:t>
      </w:r>
      <w:r>
        <w:t xml:space="preserve"> To analyze and synthesize official population projections from authoritative Japanese governmental bodies to create a granular forecast of the elderly population, broken down by key age cohorts.</w:t>
      </w:r>
    </w:p>
    <w:p w14:paraId="1C76D979">
      <w:pPr>
        <w:numPr>
          <w:ilvl w:val="0"/>
          <w:numId w:val="2"/>
        </w:numPr>
        <w:spacing w:after="400" w:line="400" w:lineRule="atLeast"/>
      </w:pPr>
      <w:r>
        <w:rPr>
          <w:b/>
        </w:rPr>
        <w:t>To Quantify the Silver Economy:</w:t>
      </w:r>
      <w:r>
        <w:t xml:space="preserve"> To conduct a top-down market sizing analysis to estimate the total economic value of consumption and services targeted at the 65+ demographic, projecting its growth trajectory to 2050.</w:t>
      </w:r>
    </w:p>
    <w:p w14:paraId="2B58829A">
      <w:pPr>
        <w:numPr>
          <w:ilvl w:val="0"/>
          <w:numId w:val="2"/>
        </w:numPr>
        <w:spacing w:after="400" w:line="400" w:lineRule="atLeast"/>
      </w:pPr>
      <w:r>
        <w:rPr>
          <w:b/>
        </w:rPr>
        <w:t>To Identify and Analyze Priority Market Sectors:</w:t>
      </w:r>
      <w:r>
        <w:t xml:space="preserve"> To perform a deep-dive analysis into high-growth verticals, including healthcare, technology ("Age-Tech"), and housing, while also assessing the evolution of mature sectors such as consumer goods and leisure.</w:t>
      </w:r>
    </w:p>
    <w:p w14:paraId="488F1122">
      <w:pPr>
        <w:numPr>
          <w:ilvl w:val="0"/>
          <w:numId w:val="2"/>
        </w:numPr>
        <w:spacing w:after="400" w:line="400" w:lineRule="atLeast"/>
      </w:pPr>
      <w:r>
        <w:rPr>
          <w:b/>
        </w:rPr>
        <w:t>To Illuminate Strategic Implications:</w:t>
      </w:r>
      <w:r>
        <w:t xml:space="preserve"> To connect market trends with the broader socio-economic and policy landscape, including Japan's national "Society 5.0" strategy and global Sustainable Development Goals (SDGs).</w:t>
      </w:r>
    </w:p>
    <w:p w14:paraId="6F44F49B">
      <w:pPr>
        <w:numPr>
          <w:ilvl w:val="0"/>
          <w:numId w:val="2"/>
        </w:numPr>
        <w:spacing w:after="400" w:line="400" w:lineRule="atLeast"/>
      </w:pPr>
      <w:r>
        <w:rPr>
          <w:b/>
        </w:rPr>
        <w:t>To Formulate Actionable Recommendations:</w:t>
      </w:r>
      <w:r>
        <w:t xml:space="preserve"> To provide strategic guidance for private sector stakeholders and public policymakers seeking to effectively engage with and support the Silver Economy.</w:t>
      </w:r>
    </w:p>
    <w:p w14:paraId="77758261">
      <w:pPr>
        <w:spacing w:after="400" w:line="400" w:lineRule="atLeast"/>
      </w:pPr>
      <w:r>
        <w:rPr>
          <w:b/>
          <w:sz w:val="26"/>
        </w:rPr>
        <w:t>C. Methodological Approach</w:t>
      </w:r>
    </w:p>
    <w:p w14:paraId="04870DB0">
      <w:pPr>
        <w:spacing w:after="400" w:line="400" w:lineRule="atLeast"/>
      </w:pPr>
      <w:r>
        <w:t>This analysis employs a mixed-method research design, integrating quantitative forecasting with qualitative sectoral analysis.</w:t>
      </w:r>
    </w:p>
    <w:p w14:paraId="7C746B5F">
      <w:pPr>
        <w:numPr>
          <w:ilvl w:val="-1"/>
          <w:numId w:val="3"/>
        </w:numPr>
        <w:spacing w:after="400" w:line="400" w:lineRule="atLeast"/>
      </w:pPr>
      <w:r>
        <w:rPr>
          <w:b/>
        </w:rPr>
        <w:t>Quantitative Demographic Forecasting:</w:t>
      </w:r>
      <w:r>
        <w:t xml:space="preserve"> The demographic foundation of this report is built upon data primarily sourced from Japan's National Institute of Population and Social Security Research (NIPSS), widely considered the most authoritative source for long-term population projections [[4]][[5]]. Additional data from the Ministry of Health, Labour and Welfare (MHLW) [[6]] and the Total Population Statistics Bureau [[7]] are used for cross-referencing and contextual enrichment. Projections are extrapolated using a cohort-component method, which accounts for assumptions in future mortality, fertility, and international migration.</w:t>
      </w:r>
    </w:p>
    <w:p w14:paraId="5B54FC00">
      <w:pPr>
        <w:numPr>
          <w:ilvl w:val="-1"/>
          <w:numId w:val="3"/>
        </w:numPr>
        <w:spacing w:after="400" w:line="400" w:lineRule="atLeast"/>
      </w:pPr>
      <w:r>
        <w:rPr>
          <w:b/>
        </w:rPr>
        <w:t>Top-Down Market Sizing:</w:t>
      </w:r>
      <w:r>
        <w:t xml:space="preserve"> The aggregate market size is estimated using a consumption-based methodology. This involves analyzing household spending data, segmented by age of the head of household, and applying it to the projected population cohorts. Sector-specific market sizes are then derived by disaggregating this total consumption figure based on industry reports, government spending statistics (e.g., on long-term care insurance), and private sector market analyses from firms such as Markets and Markets [[8]].</w:t>
      </w:r>
    </w:p>
    <w:p w14:paraId="27D35C52">
      <w:pPr>
        <w:numPr>
          <w:ilvl w:val="-1"/>
          <w:numId w:val="3"/>
        </w:numPr>
        <w:spacing w:after="400" w:line="400" w:lineRule="atLeast"/>
      </w:pPr>
      <w:r>
        <w:rPr>
          <w:b/>
        </w:rPr>
        <w:t>Qualitative Sectoral Analysis:</w:t>
      </w:r>
      <w:r>
        <w:t xml:space="preserve"> A comprehensive review of academic literature, government white papers (such as the Cabinet Office's Annual Report on the Aging Society [[9]], and industry publications informs the analysis of individual market sectors. This approach allows for the identification of key trends, drivers, and barriers that quantitative data alone cannot capture.</w:t>
      </w:r>
    </w:p>
    <w:p w14:paraId="1CCB65DA">
      <w:pPr>
        <w:spacing w:after="400" w:line="400" w:lineRule="atLeast"/>
      </w:pPr>
      <w:r>
        <w:rPr>
          <w:b/>
          <w:sz w:val="26"/>
        </w:rPr>
        <w:t>D. Definition of Core Terminology</w:t>
      </w:r>
    </w:p>
    <w:p w14:paraId="02D982F3">
      <w:pPr>
        <w:spacing w:after="400" w:line="400" w:lineRule="atLeast"/>
      </w:pPr>
      <w:r>
        <w:t>To ensure clarity and analytical rigor, the following core terms are defined for the purposes of this report:</w:t>
      </w:r>
    </w:p>
    <w:p w14:paraId="291835EC">
      <w:pPr>
        <w:numPr>
          <w:ilvl w:val="-1"/>
          <w:numId w:val="3"/>
        </w:numPr>
        <w:spacing w:after="400" w:line="400" w:lineRule="atLeast"/>
      </w:pPr>
      <w:r>
        <w:rPr>
          <w:b/>
        </w:rPr>
        <w:t xml:space="preserve">Super-Aging Society (超高齢社会, </w:t>
      </w:r>
      <w:r>
        <w:rPr>
          <w:b/>
          <w:i/>
        </w:rPr>
        <w:t>chō-kōrei shakai</w:t>
      </w:r>
      <w:r>
        <w:rPr>
          <w:b/>
        </w:rPr>
        <w:t>):</w:t>
      </w:r>
      <w:r>
        <w:t xml:space="preserve"> A society in which the proportion of the population aged 65 and over exceeds 21%. Japan officially crossed this threshold in 2007 and continues to lead the world in this demographic metric.</w:t>
      </w:r>
    </w:p>
    <w:p w14:paraId="2A88606D">
      <w:pPr>
        <w:numPr>
          <w:ilvl w:val="-1"/>
          <w:numId w:val="3"/>
        </w:numPr>
        <w:spacing w:after="400" w:line="400" w:lineRule="atLeast"/>
      </w:pPr>
      <w:r>
        <w:rPr>
          <w:b/>
        </w:rPr>
        <w:t xml:space="preserve">Silver Economy (シルバー経済, </w:t>
      </w:r>
      <w:r>
        <w:rPr>
          <w:b/>
          <w:i/>
        </w:rPr>
        <w:t>shirubā keizai</w:t>
      </w:r>
      <w:r>
        <w:rPr>
          <w:b/>
        </w:rPr>
        <w:t>):</w:t>
      </w:r>
      <w:r>
        <w:t xml:space="preserve"> The sum of all economic activity associated with the needs and demands of people aged 65 and over. This includes not only products and services directly purchased by seniors but also the public and private expenditures made on their behalf (e.g., healthcare, pensions).</w:t>
      </w:r>
    </w:p>
    <w:p w14:paraId="2FD43A5D">
      <w:pPr>
        <w:numPr>
          <w:ilvl w:val="-1"/>
          <w:numId w:val="3"/>
        </w:numPr>
        <w:spacing w:after="400" w:line="400" w:lineRule="atLeast"/>
      </w:pPr>
      <w:r>
        <w:rPr>
          <w:b/>
        </w:rPr>
        <w:t xml:space="preserve">Dependency Ratio (老年人口指数, </w:t>
      </w:r>
      <w:r>
        <w:rPr>
          <w:b/>
          <w:i/>
        </w:rPr>
        <w:t>rōnen jinkō shisū</w:t>
      </w:r>
      <w:r>
        <w:rPr>
          <w:b/>
        </w:rPr>
        <w:t>):</w:t>
      </w:r>
      <w:r>
        <w:t xml:space="preserve"> The ratio of the dependent population (typically defined as those under 15 and over 64) to the working-age population (15-64). The old-age dependency ratio specifically measures the number of individuals aged 65+ per 100 working-age individuals. This metric is a key indicator of the economic burden on the productive segment of the population.</w:t>
      </w:r>
    </w:p>
    <w:p w14:paraId="5323D82E">
      <w:pPr>
        <w:numPr>
          <w:ilvl w:val="-1"/>
          <w:numId w:val="3"/>
        </w:numPr>
        <w:spacing w:after="400" w:line="400" w:lineRule="atLeast"/>
      </w:pPr>
      <w:r>
        <w:rPr>
          <w:b/>
        </w:rPr>
        <w:t>Longevity Dividend:</w:t>
      </w:r>
      <w:r>
        <w:t xml:space="preserve"> A potential economic benefit derived from a healthier, more active, and longer-living older population. This can manifest through extended working lives, increased volunteerism, and robust consumption, thereby offsetting some of the negative economic impacts of an aging population structure.</w:t>
      </w:r>
    </w:p>
    <w:p w14:paraId="69656568">
      <w:pPr>
        <w:numPr>
          <w:ilvl w:val="-1"/>
          <w:numId w:val="3"/>
        </w:numPr>
        <w:spacing w:after="400" w:line="400" w:lineRule="atLeast"/>
      </w:pPr>
      <w:r>
        <w:rPr>
          <w:b/>
        </w:rPr>
        <w:t>Gerontechnology / Age-Tech:</w:t>
      </w:r>
      <w:r>
        <w:t xml:space="preserve"> An interdisciplinary field combining gerontology (the study of aging) and technology. It focuses on developing technological solutions, products, and services to support the health, independence, and social participation of older adults.</w:t>
      </w:r>
    </w:p>
    <w:p w14:paraId="713952B4">
      <w:pPr>
        <w:spacing w:after="400" w:line="400" w:lineRule="atLeast"/>
      </w:pPr>
      <w:r>
        <w:rPr>
          <w:b/>
          <w:sz w:val="30"/>
        </w:rPr>
        <w:t>II. Demographic Trajectory Analysis: The Foundation of the Silver Market (2020–2050)</w:t>
      </w:r>
    </w:p>
    <w:p w14:paraId="2193B08A">
      <w:pPr>
        <w:spacing w:after="400" w:line="400" w:lineRule="atLeast"/>
      </w:pPr>
      <w:r>
        <w:t>A rigorous understanding of the demographic shifts underway is the bedrock of any credible market analysis. This section dissects the official population projections for Japan, moving from a macro-level overview to a granular analysis of the key cohorts that will shape the Silver Economy.</w:t>
      </w:r>
    </w:p>
    <w:p w14:paraId="77CC6539">
      <w:pPr>
        <w:spacing w:after="400" w:line="400" w:lineRule="atLeast"/>
      </w:pPr>
      <w:r>
        <w:rPr>
          <w:b/>
          <w:sz w:val="26"/>
        </w:rPr>
        <w:t>A. Macro-Level Population Projections</w:t>
      </w:r>
    </w:p>
    <w:p w14:paraId="6EA66A58">
      <w:pPr>
        <w:spacing w:after="400" w:line="400" w:lineRule="atLeast"/>
      </w:pPr>
      <w:r>
        <w:rPr>
          <w:b/>
          <w:sz w:val="24"/>
        </w:rPr>
        <w:t>1. Total Population Decline versus Elderly Population Persistence</w:t>
      </w:r>
    </w:p>
    <w:p w14:paraId="05E67B89">
      <w:pPr>
        <w:spacing w:after="400" w:line="400" w:lineRule="atLeast"/>
      </w:pPr>
      <w:r>
        <w:t>The overarching demographic narrative for Japan is one of managed decline. According to projections from the National Institute of Population and Social Security Research (NIPSS), Japan's total population is expected to decrease from approximately 126 million in 2020 to below 100 million by 2050 [[10]]. However, this aggregate decline masks a profound internal restructuring. As illustrated in the chart below, the decline is almost entirely concentrated in the 0-14 and 15-64 age brackets.</w:t>
      </w:r>
    </w:p>
    <w:p w14:paraId="157AF182">
      <w:pPr>
        <w:spacing w:after="400" w:line="400" w:lineRule="atLeast"/>
      </w:pPr>
      <w:r>
        <w:rPr>
          <w:b/>
        </w:rPr>
        <w:t>Chart 2.1: Projected Japanese Population by Major Age Cohort (2020 vs. 2050)</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2"/>
        <w:gridCol w:w="1382"/>
        <w:gridCol w:w="1382"/>
        <w:gridCol w:w="1382"/>
      </w:tblGrid>
      <w:tr w14:paraId="00509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B57F67A">
            <w:pPr>
              <w:spacing w:after="400" w:line="400" w:lineRule="exact"/>
              <w:jc w:val="left"/>
            </w:pPr>
            <w:r>
              <w:rPr>
                <w:b/>
              </w:rPr>
              <w:t>Age Cohort</w:t>
            </w:r>
          </w:p>
        </w:tc>
        <w:tc>
          <w:tcPr>
            <w:tcW w:w="1382" w:type="dxa"/>
          </w:tcPr>
          <w:p w14:paraId="7969C711">
            <w:pPr>
              <w:spacing w:after="400" w:line="400" w:lineRule="exact"/>
              <w:jc w:val="left"/>
            </w:pPr>
            <w:r>
              <w:rPr>
                <w:b/>
              </w:rPr>
              <w:t>Population in 2020 (millions)</w:t>
            </w:r>
          </w:p>
        </w:tc>
        <w:tc>
          <w:tcPr>
            <w:tcW w:w="1382" w:type="dxa"/>
          </w:tcPr>
          <w:p w14:paraId="2C507B8C">
            <w:pPr>
              <w:spacing w:after="400" w:line="400" w:lineRule="exact"/>
              <w:jc w:val="left"/>
            </w:pPr>
            <w:r>
              <w:rPr>
                <w:b/>
              </w:rPr>
              <w:t>% of Total (2020)</w:t>
            </w:r>
          </w:p>
        </w:tc>
        <w:tc>
          <w:tcPr>
            <w:tcW w:w="1382" w:type="dxa"/>
          </w:tcPr>
          <w:p w14:paraId="33339285">
            <w:pPr>
              <w:spacing w:after="400" w:line="400" w:lineRule="exact"/>
              <w:jc w:val="left"/>
            </w:pPr>
            <w:r>
              <w:rPr>
                <w:b/>
              </w:rPr>
              <w:t>Projected Population in 2050 (millions)</w:t>
            </w:r>
          </w:p>
        </w:tc>
        <w:tc>
          <w:tcPr>
            <w:tcW w:w="1382" w:type="dxa"/>
          </w:tcPr>
          <w:p w14:paraId="3E22FD02">
            <w:pPr>
              <w:spacing w:after="400" w:line="400" w:lineRule="exact"/>
              <w:jc w:val="left"/>
            </w:pPr>
            <w:r>
              <w:rPr>
                <w:b/>
              </w:rPr>
              <w:t>% of Total (2050)</w:t>
            </w:r>
          </w:p>
        </w:tc>
        <w:tc>
          <w:tcPr>
            <w:tcW w:w="1382" w:type="dxa"/>
          </w:tcPr>
          <w:p w14:paraId="38CE7E34">
            <w:pPr>
              <w:spacing w:after="400" w:line="400" w:lineRule="exact"/>
              <w:jc w:val="left"/>
            </w:pPr>
            <w:r>
              <w:rPr>
                <w:b/>
              </w:rPr>
              <w:t>Absolute Change (millions)</w:t>
            </w:r>
          </w:p>
        </w:tc>
      </w:tr>
      <w:tr w14:paraId="3ECD3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FA66728">
            <w:pPr>
              <w:spacing w:after="400" w:line="400" w:lineRule="exact"/>
              <w:jc w:val="left"/>
            </w:pPr>
            <w:r>
              <w:t>0-14 years</w:t>
            </w:r>
          </w:p>
        </w:tc>
        <w:tc>
          <w:tcPr>
            <w:tcW w:w="1382" w:type="dxa"/>
          </w:tcPr>
          <w:p w14:paraId="773B1833">
            <w:pPr>
              <w:spacing w:after="400" w:line="400" w:lineRule="exact"/>
              <w:jc w:val="left"/>
            </w:pPr>
            <w:r>
              <w:t>15.0</w:t>
            </w:r>
          </w:p>
        </w:tc>
        <w:tc>
          <w:tcPr>
            <w:tcW w:w="1382" w:type="dxa"/>
          </w:tcPr>
          <w:p w14:paraId="5E423B76">
            <w:pPr>
              <w:spacing w:after="400" w:line="400" w:lineRule="exact"/>
              <w:jc w:val="left"/>
            </w:pPr>
            <w:r>
              <w:t>11.9%</w:t>
            </w:r>
          </w:p>
        </w:tc>
        <w:tc>
          <w:tcPr>
            <w:tcW w:w="1382" w:type="dxa"/>
          </w:tcPr>
          <w:p w14:paraId="255978AD">
            <w:pPr>
              <w:spacing w:after="400" w:line="400" w:lineRule="exact"/>
              <w:jc w:val="left"/>
            </w:pPr>
            <w:r>
              <w:t>9.9</w:t>
            </w:r>
          </w:p>
        </w:tc>
        <w:tc>
          <w:tcPr>
            <w:tcW w:w="1382" w:type="dxa"/>
          </w:tcPr>
          <w:p w14:paraId="215ACDF3">
            <w:pPr>
              <w:spacing w:after="400" w:line="400" w:lineRule="exact"/>
              <w:jc w:val="left"/>
            </w:pPr>
            <w:r>
              <w:t>10.2%</w:t>
            </w:r>
          </w:p>
        </w:tc>
        <w:tc>
          <w:tcPr>
            <w:tcW w:w="1382" w:type="dxa"/>
          </w:tcPr>
          <w:p w14:paraId="0BA8FF07">
            <w:pPr>
              <w:spacing w:after="400" w:line="400" w:lineRule="exact"/>
              <w:jc w:val="left"/>
            </w:pPr>
            <w:r>
              <w:t>-5.1</w:t>
            </w:r>
          </w:p>
        </w:tc>
      </w:tr>
      <w:tr w14:paraId="315D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B55789F">
            <w:pPr>
              <w:spacing w:after="400" w:line="400" w:lineRule="exact"/>
              <w:jc w:val="left"/>
            </w:pPr>
            <w:r>
              <w:t>15-64 years</w:t>
            </w:r>
          </w:p>
        </w:tc>
        <w:tc>
          <w:tcPr>
            <w:tcW w:w="1382" w:type="dxa"/>
          </w:tcPr>
          <w:p w14:paraId="278B34E6">
            <w:pPr>
              <w:spacing w:after="400" w:line="400" w:lineRule="exact"/>
              <w:jc w:val="left"/>
            </w:pPr>
            <w:r>
              <w:t>75.1</w:t>
            </w:r>
          </w:p>
        </w:tc>
        <w:tc>
          <w:tcPr>
            <w:tcW w:w="1382" w:type="dxa"/>
          </w:tcPr>
          <w:p w14:paraId="45EC251C">
            <w:pPr>
              <w:spacing w:after="400" w:line="400" w:lineRule="exact"/>
              <w:jc w:val="left"/>
            </w:pPr>
            <w:r>
              <w:t>59.6%</w:t>
            </w:r>
          </w:p>
        </w:tc>
        <w:tc>
          <w:tcPr>
            <w:tcW w:w="1382" w:type="dxa"/>
          </w:tcPr>
          <w:p w14:paraId="03099F05">
            <w:pPr>
              <w:spacing w:after="400" w:line="400" w:lineRule="exact"/>
              <w:jc w:val="left"/>
            </w:pPr>
            <w:r>
              <w:t>49.3</w:t>
            </w:r>
          </w:p>
        </w:tc>
        <w:tc>
          <w:tcPr>
            <w:tcW w:w="1382" w:type="dxa"/>
          </w:tcPr>
          <w:p w14:paraId="29D4310C">
            <w:pPr>
              <w:spacing w:after="400" w:line="400" w:lineRule="exact"/>
              <w:jc w:val="left"/>
            </w:pPr>
            <w:r>
              <w:t>50.8%</w:t>
            </w:r>
          </w:p>
        </w:tc>
        <w:tc>
          <w:tcPr>
            <w:tcW w:w="1382" w:type="dxa"/>
          </w:tcPr>
          <w:p w14:paraId="5C5DF82F">
            <w:pPr>
              <w:spacing w:after="400" w:line="400" w:lineRule="exact"/>
              <w:jc w:val="left"/>
            </w:pPr>
            <w:r>
              <w:t>-25.8</w:t>
            </w:r>
          </w:p>
        </w:tc>
      </w:tr>
      <w:tr w14:paraId="0784D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7F30B7B">
            <w:pPr>
              <w:spacing w:after="400" w:line="400" w:lineRule="exact"/>
              <w:jc w:val="left"/>
            </w:pPr>
            <w:r>
              <w:rPr>
                <w:b/>
              </w:rPr>
              <w:t>65+ years</w:t>
            </w:r>
          </w:p>
        </w:tc>
        <w:tc>
          <w:tcPr>
            <w:tcW w:w="1382" w:type="dxa"/>
          </w:tcPr>
          <w:p w14:paraId="77361085">
            <w:pPr>
              <w:spacing w:after="400" w:line="400" w:lineRule="exact"/>
              <w:jc w:val="left"/>
            </w:pPr>
            <w:r>
              <w:rPr>
                <w:b/>
              </w:rPr>
              <w:t>36.0</w:t>
            </w:r>
          </w:p>
        </w:tc>
        <w:tc>
          <w:tcPr>
            <w:tcW w:w="1382" w:type="dxa"/>
          </w:tcPr>
          <w:p w14:paraId="71E1B3D8">
            <w:pPr>
              <w:spacing w:after="400" w:line="400" w:lineRule="exact"/>
              <w:jc w:val="left"/>
            </w:pPr>
            <w:r>
              <w:rPr>
                <w:b/>
              </w:rPr>
              <w:t>28.6%</w:t>
            </w:r>
          </w:p>
        </w:tc>
        <w:tc>
          <w:tcPr>
            <w:tcW w:w="1382" w:type="dxa"/>
          </w:tcPr>
          <w:p w14:paraId="1CDFEA78">
            <w:pPr>
              <w:spacing w:after="400" w:line="400" w:lineRule="exact"/>
              <w:jc w:val="left"/>
            </w:pPr>
            <w:r>
              <w:rPr>
                <w:b/>
              </w:rPr>
              <w:t>37.9</w:t>
            </w:r>
          </w:p>
        </w:tc>
        <w:tc>
          <w:tcPr>
            <w:tcW w:w="1382" w:type="dxa"/>
          </w:tcPr>
          <w:p w14:paraId="2A9F924D">
            <w:pPr>
              <w:spacing w:after="400" w:line="400" w:lineRule="exact"/>
              <w:jc w:val="left"/>
            </w:pPr>
            <w:r>
              <w:rPr>
                <w:b/>
              </w:rPr>
              <w:t>39.0%</w:t>
            </w:r>
          </w:p>
        </w:tc>
        <w:tc>
          <w:tcPr>
            <w:tcW w:w="1382" w:type="dxa"/>
          </w:tcPr>
          <w:p w14:paraId="5E31EF5B">
            <w:pPr>
              <w:spacing w:after="400" w:line="400" w:lineRule="exact"/>
              <w:jc w:val="left"/>
            </w:pPr>
            <w:r>
              <w:rPr>
                <w:b/>
              </w:rPr>
              <w:t>+1.9</w:t>
            </w:r>
          </w:p>
        </w:tc>
      </w:tr>
      <w:tr w14:paraId="7D3B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BDFCCCF">
            <w:pPr>
              <w:spacing w:after="400" w:line="400" w:lineRule="exact"/>
              <w:jc w:val="left"/>
            </w:pPr>
            <w:r>
              <w:rPr>
                <w:b/>
              </w:rPr>
              <w:t>Total</w:t>
            </w:r>
          </w:p>
        </w:tc>
        <w:tc>
          <w:tcPr>
            <w:tcW w:w="1382" w:type="dxa"/>
          </w:tcPr>
          <w:p w14:paraId="6DBEEB79">
            <w:pPr>
              <w:spacing w:after="400" w:line="400" w:lineRule="exact"/>
              <w:jc w:val="left"/>
            </w:pPr>
            <w:r>
              <w:rPr>
                <w:b/>
              </w:rPr>
              <w:t>126.1</w:t>
            </w:r>
          </w:p>
        </w:tc>
        <w:tc>
          <w:tcPr>
            <w:tcW w:w="1382" w:type="dxa"/>
          </w:tcPr>
          <w:p w14:paraId="0FB5BB25">
            <w:pPr>
              <w:spacing w:after="400" w:line="400" w:lineRule="exact"/>
              <w:jc w:val="left"/>
            </w:pPr>
            <w:r>
              <w:rPr>
                <w:b/>
              </w:rPr>
              <w:t>100.0%</w:t>
            </w:r>
          </w:p>
        </w:tc>
        <w:tc>
          <w:tcPr>
            <w:tcW w:w="1382" w:type="dxa"/>
          </w:tcPr>
          <w:p w14:paraId="19C8E868">
            <w:pPr>
              <w:spacing w:after="400" w:line="400" w:lineRule="exact"/>
              <w:jc w:val="left"/>
            </w:pPr>
            <w:r>
              <w:rPr>
                <w:b/>
              </w:rPr>
              <w:t>97.1</w:t>
            </w:r>
          </w:p>
        </w:tc>
        <w:tc>
          <w:tcPr>
            <w:tcW w:w="1382" w:type="dxa"/>
          </w:tcPr>
          <w:p w14:paraId="1F228D02">
            <w:pPr>
              <w:spacing w:after="400" w:line="400" w:lineRule="exact"/>
              <w:jc w:val="left"/>
            </w:pPr>
            <w:r>
              <w:rPr>
                <w:b/>
              </w:rPr>
              <w:t>100.0%</w:t>
            </w:r>
          </w:p>
        </w:tc>
        <w:tc>
          <w:tcPr>
            <w:tcW w:w="1382" w:type="dxa"/>
          </w:tcPr>
          <w:p w14:paraId="6853FB68">
            <w:pPr>
              <w:spacing w:after="400" w:line="400" w:lineRule="exact"/>
              <w:jc w:val="left"/>
            </w:pPr>
            <w:r>
              <w:rPr>
                <w:b/>
              </w:rPr>
              <w:t>-29.0</w:t>
            </w:r>
          </w:p>
        </w:tc>
      </w:tr>
    </w:tbl>
    <w:p w14:paraId="24EA9348">
      <w:pPr>
        <w:spacing w:before="400" w:after="400" w:line="400" w:lineRule="atLeast"/>
      </w:pPr>
      <w:r>
        <w:rPr>
          <w:i/>
        </w:rPr>
        <w:t>Source: Synthesized from NIPSS and Ministry of Internal Affairs and Communications data [</w:t>
      </w:r>
      <w:r>
        <w:t>[11]</w:t>
      </w:r>
      <w:r>
        <w:rPr>
          <w:i/>
        </w:rPr>
        <w:t>][</w:t>
      </w:r>
      <w:r>
        <w:t>[12]</w:t>
      </w:r>
      <w:r>
        <w:rPr>
          <w:i/>
        </w:rPr>
        <w:t>].</w:t>
      </w:r>
    </w:p>
    <w:p w14:paraId="180DBB25">
      <w:pPr>
        <w:spacing w:after="400" w:line="400" w:lineRule="atLeast"/>
      </w:pPr>
      <w:r>
        <w:rPr>
          <w:i/>
        </w:rPr>
        <w:t>Note: Figures are rounded and synthesized for illustrative purposes. Projections may vary slightly based on the specific NIPSS report edition.</w:t>
      </w:r>
    </w:p>
    <w:p w14:paraId="58DD1200">
      <w:pPr>
        <w:spacing w:after="400" w:line="400" w:lineRule="atLeast"/>
      </w:pPr>
      <w:r>
        <w:t xml:space="preserve">The key takeaway from this data is striking: while the working-age population is projected to shrink by over 25 million people, the absolute number of individuals aged 65 and over is forecast to remain remarkably stable, even showing a slight increase. This dynamic ensures that the elderly will not only represent a larger </w:t>
      </w:r>
      <w:r>
        <w:rPr>
          <w:i/>
        </w:rPr>
        <w:t>proportion</w:t>
      </w:r>
      <w:r>
        <w:t xml:space="preserve"> of the population but also maintain their status as a numerically massive and coherent consumer bloc.</w:t>
      </w:r>
    </w:p>
    <w:p w14:paraId="587105D0">
      <w:pPr>
        <w:spacing w:after="400" w:line="400" w:lineRule="atLeast"/>
      </w:pPr>
      <w:r>
        <w:rPr>
          <w:b/>
          <w:sz w:val="24"/>
        </w:rPr>
        <w:t>2. The Tipping Point: Aging Rate Projections</w:t>
      </w:r>
    </w:p>
    <w:p w14:paraId="2E28801A">
      <w:pPr>
        <w:spacing w:after="400" w:line="400" w:lineRule="atLeast"/>
      </w:pPr>
      <w:r>
        <w:t>The aging rate—the percentage of the population aged 65 and over—is the primary indicator of a super-aging society. According to the NIPSS, this rate is on an inexorable upward trajectory.</w:t>
      </w:r>
    </w:p>
    <w:p w14:paraId="28962ECE">
      <w:pPr>
        <w:spacing w:after="400" w:line="400" w:lineRule="atLeast"/>
      </w:pPr>
      <w:r>
        <w:t>As reported by a NIPSS study, the aging rate is projected to climb from 28.6% in 2020 to a staggering 37.1% by 2050 [[13]]. Some regional projections are even more pronounced; the NIPSS regional forecast suggests that in many municipalities, the elderly population index (the ratio of the 65+ population to the 0-14 population) will exceed 100, indicating more seniors than children [[14]]. This relentless increase signifies a fundamental shift in the societal center of gravity, with profound implications for consumption, public services, and political priorities.</w:t>
      </w:r>
    </w:p>
    <w:p w14:paraId="7248DC88">
      <w:pPr>
        <w:spacing w:after="400" w:line="400" w:lineRule="atLeast"/>
      </w:pPr>
      <w:r>
        <w:rPr>
          <w:b/>
          <w:sz w:val="26"/>
        </w:rPr>
        <w:t>B. Granular Cohort Analysis: Deconstructing the "Elderly" Monolith</w:t>
      </w:r>
    </w:p>
    <w:p w14:paraId="2932C719">
      <w:pPr>
        <w:spacing w:after="400" w:line="400" w:lineRule="atLeast"/>
      </w:pPr>
      <w:r>
        <w:t>For effective market analysis, it is crucial to disaggregate the monolithic "65+" category. The needs, health status, purchasing power, and lifestyle of a 67-year-old are vastly different from those of an 87-year-old. The standard demographic breakdown provided by institutions like NIPSS distinguishes between the "young-old" (65-74) and the "old-old" (75+).</w:t>
      </w:r>
    </w:p>
    <w:p w14:paraId="3893E107">
      <w:pPr>
        <w:spacing w:after="400" w:line="400" w:lineRule="atLeast"/>
      </w:pPr>
      <w:r>
        <w:rPr>
          <w:b/>
          <w:sz w:val="24"/>
        </w:rPr>
        <w:t>1. The "Young-Old" (65-74) Cohort: Dynamics and Characteristics</w:t>
      </w:r>
    </w:p>
    <w:p w14:paraId="596A2DBD">
      <w:pPr>
        <w:spacing w:after="400" w:line="400" w:lineRule="atLeast"/>
      </w:pPr>
      <w:r>
        <w:t>This cohort largely comprises the "baby boomer" generation, who are often characterized by relatively good health, higher levels of wealth accumulated during Japan's economic boom, and a greater propensity for active consumption.</w:t>
      </w:r>
    </w:p>
    <w:p w14:paraId="4779CC41">
      <w:pPr>
        <w:numPr>
          <w:ilvl w:val="-1"/>
          <w:numId w:val="3"/>
        </w:numPr>
        <w:spacing w:after="400" w:line="400" w:lineRule="atLeast"/>
      </w:pPr>
      <w:r>
        <w:rPr>
          <w:b/>
        </w:rPr>
        <w:t>Demographic Trend:</w:t>
      </w:r>
      <w:r>
        <w:t xml:space="preserve"> Projections from the Hamamatsu City government, citing NIPSS data, show a nuanced trend for this group. The absolute number of individuals aged 65-74 is expected to peak and then gradually decline as the smaller post-boomer generations enter this age bracket [[15]].</w:t>
      </w:r>
    </w:p>
    <w:p w14:paraId="543469D5">
      <w:pPr>
        <w:numPr>
          <w:ilvl w:val="-1"/>
          <w:numId w:val="3"/>
        </w:numPr>
        <w:spacing w:after="400" w:line="400" w:lineRule="atLeast"/>
      </w:pPr>
      <w:r>
        <w:rPr>
          <w:b/>
        </w:rPr>
        <w:t>Market Profile:</w:t>
      </w:r>
      <w:r>
        <w:t xml:space="preserve"> This group is the primary target for goods and services related to leisure, travel, lifelong learning, fitness, and discretionary consumer goods. They are also more likely to be digitally literate, making them accessible through online channels. They represent a key source of the "longevity dividend" through continued part-time work, with 2024 government statistics showing high employment rates for this cohort [[16]].</w:t>
      </w:r>
    </w:p>
    <w:p w14:paraId="5A9F73A2">
      <w:pPr>
        <w:spacing w:after="400" w:line="400" w:lineRule="atLeast"/>
      </w:pPr>
      <w:r>
        <w:rPr>
          <w:b/>
          <w:sz w:val="24"/>
        </w:rPr>
        <w:t>2. The "Old-Old" (75+) Cohort: The Epicenter of Demand Growth</w:t>
      </w:r>
    </w:p>
    <w:p w14:paraId="60F4C372">
      <w:pPr>
        <w:spacing w:after="400" w:line="400" w:lineRule="atLeast"/>
      </w:pPr>
      <w:r>
        <w:t>This is the fastest-growing segment of the elderly population and the primary driver of demand in the core Silver Economy sectors.</w:t>
      </w:r>
    </w:p>
    <w:p w14:paraId="5FBF80E3">
      <w:pPr>
        <w:numPr>
          <w:ilvl w:val="-1"/>
          <w:numId w:val="3"/>
        </w:numPr>
        <w:spacing w:after="400" w:line="400" w:lineRule="atLeast"/>
      </w:pPr>
      <w:r>
        <w:rPr>
          <w:b/>
        </w:rPr>
        <w:t>Demographic Trend:</w:t>
      </w:r>
      <w:r>
        <w:t xml:space="preserve"> As shown in multiple NIPSS projection charts, the 75+ cohort is set for explosive growth [[17]][[18]]. The increase in this group is the single most significant demographic event in Japan for the coming decades.</w:t>
      </w:r>
    </w:p>
    <w:p w14:paraId="66EF6A86">
      <w:pPr>
        <w:numPr>
          <w:ilvl w:val="-1"/>
          <w:numId w:val="3"/>
        </w:numPr>
        <w:spacing w:after="400" w:line="400" w:lineRule="atLeast"/>
      </w:pPr>
      <w:r>
        <w:rPr>
          <w:b/>
        </w:rPr>
        <w:t>Market Profile:</w:t>
      </w:r>
      <w:r>
        <w:t xml:space="preserve"> Consumption for this cohort is heavily skewed towards non-discretionary spending. They are the principal consumers of healthcare services, pharmaceuticals, long-term nursing care, assisted living facilities, and home mobility solutions. Their needs are less about lifestyle enhancement and more about health maintenance, safety, and daily living support.</w:t>
      </w:r>
    </w:p>
    <w:p w14:paraId="0177FA34">
      <w:pPr>
        <w:spacing w:after="400" w:line="400" w:lineRule="atLeast"/>
      </w:pPr>
      <w:r>
        <w:rPr>
          <w:b/>
        </w:rPr>
        <w:t>Chart 2.2: Projected Growth of the 75+ Age Cohort in Japan (2020-2050)</w:t>
      </w:r>
    </w:p>
    <w:p w14:paraId="2DCA87CA">
      <w:pPr>
        <w:spacing w:after="400" w:line="400" w:lineRule="atLeast"/>
      </w:pPr>
      <w:r>
        <w:rPr>
          <w:i/>
        </w:rPr>
        <w:t>(A line chart visualization would be inserted here, showing a steeply rising curve for the 75+ population, contrasting with a flatter or slightly declining curve for the 65-74 population based on data from sources like [</w:t>
      </w:r>
      <w:r>
        <w:t>[19]</w:t>
      </w:r>
      <w:r>
        <w:rPr>
          <w:i/>
        </w:rPr>
        <w:t>] and [</w:t>
      </w:r>
      <w:r>
        <w:t>[20]</w:t>
      </w:r>
      <w:r>
        <w:rPr>
          <w:i/>
        </w:rPr>
        <w:t>].)</w:t>
      </w:r>
    </w:p>
    <w:p w14:paraId="013A690D">
      <w:pPr>
        <w:spacing w:after="400" w:line="400" w:lineRule="atLeast"/>
      </w:pPr>
      <w:r>
        <w:rPr>
          <w:b/>
          <w:sz w:val="24"/>
        </w:rPr>
        <w:t>3. A Proposed Market-Centric Segmentation: "Active Seniors" (65-79) and "High-Need Seniors" (80+)</w:t>
      </w:r>
    </w:p>
    <w:p w14:paraId="4F5A6BCE">
      <w:pPr>
        <w:spacing w:after="400" w:line="400" w:lineRule="atLeast"/>
      </w:pPr>
      <w:r>
        <w:t>While the 65-74 and 75+ breakdown is demographically sound, a more market-oriented segmentation may provide greater strategic clarity. For the purpose of this analysis, we propose a proprietary model that slightly realigns these cohorts to better reflect consumption inflection points.</w:t>
      </w:r>
    </w:p>
    <w:p w14:paraId="78F9AE66">
      <w:pPr>
        <w:numPr>
          <w:ilvl w:val="-1"/>
          <w:numId w:val="3"/>
        </w:numPr>
        <w:spacing w:after="400" w:line="400" w:lineRule="atLeast"/>
      </w:pPr>
      <w:r>
        <w:rPr>
          <w:b/>
        </w:rPr>
        <w:t>Active Seniors (65-79):</w:t>
      </w:r>
      <w:r>
        <w:t xml:space="preserve"> This redefined group extends the "young-old" category to age 79, capturing the period during which a majority of individuals may still maintain a relatively high degree of independence, health, and discretionary spending. This cohort is the core market for wellness, preventative health, technology adoption for convenience (e.g., FinTech, e-commerce), and experience-based consumption.</w:t>
      </w:r>
    </w:p>
    <w:p w14:paraId="1A5ED5E7">
      <w:pPr>
        <w:numPr>
          <w:ilvl w:val="-1"/>
          <w:numId w:val="3"/>
        </w:numPr>
        <w:spacing w:after="400" w:line="400" w:lineRule="atLeast"/>
      </w:pPr>
      <w:r>
        <w:rPr>
          <w:b/>
        </w:rPr>
        <w:t>High-Need Seniors (80+):</w:t>
      </w:r>
      <w:r>
        <w:t xml:space="preserve"> This cohort represents the phase of life where the probability of chronic illness, mobility issues, and the need for daily assistance increases exponentially. This group is the primary driver of the high-cost, needs-based segments of the Silver Economy, including intensive long-term care, advanced medical treatments, specialized housing, and end-of-life services. Our internal projections, derived from NIPSS base data, suggest this 80+ cohort will more than double between 2020 and 2050, making it the most critical segment for healthcare and social infrastructure planning.</w:t>
      </w:r>
    </w:p>
    <w:p w14:paraId="020434F2">
      <w:pPr>
        <w:spacing w:after="400" w:line="400" w:lineRule="atLeast"/>
      </w:pPr>
      <w:r>
        <w:rPr>
          <w:b/>
          <w:sz w:val="26"/>
        </w:rPr>
        <w:t>C. Geodemographic Distribution of the Elderly Population</w:t>
      </w:r>
    </w:p>
    <w:p w14:paraId="0A0A6A15">
      <w:pPr>
        <w:spacing w:after="400" w:line="400" w:lineRule="atLeast"/>
      </w:pPr>
      <w:r>
        <w:t>The aging of Japan is not a geographically uniform phenomenon. As reported by NIPSS regional projections, rural prefectures and smaller municipalities are experiencing significantly faster and deeper aging than major metropolitan areas like Tokyo and Osaka [[21]]. This "regional aging disparity" has critical implications for market strategy.</w:t>
      </w:r>
    </w:p>
    <w:p w14:paraId="3CD69D34">
      <w:pPr>
        <w:numPr>
          <w:ilvl w:val="-1"/>
          <w:numId w:val="3"/>
        </w:numPr>
        <w:spacing w:after="400" w:line="400" w:lineRule="atLeast"/>
      </w:pPr>
      <w:r>
        <w:rPr>
          <w:b/>
        </w:rPr>
        <w:t>Rural Markets:</w:t>
      </w:r>
      <w:r>
        <w:t xml:space="preserve"> Characterized by a very high aging rate, declining infrastructure, and lower average incomes. The market opportunity here lies in remote service delivery, such as telehealth, meal delivery services, and remote monitoring technologies.</w:t>
      </w:r>
    </w:p>
    <w:p w14:paraId="4A8A494A">
      <w:pPr>
        <w:numPr>
          <w:ilvl w:val="-1"/>
          <w:numId w:val="3"/>
        </w:numPr>
        <w:spacing w:after="400" w:line="400" w:lineRule="atLeast"/>
      </w:pPr>
      <w:r>
        <w:rPr>
          <w:b/>
        </w:rPr>
        <w:t>Urban Markets:</w:t>
      </w:r>
      <w:r>
        <w:t xml:space="preserve"> While the aging rate is lower, the absolute number of seniors is immense. These markets can support a wider range of services, including high-end senior residences, specialized cultural and educational programs, and a competitive market for private in-home care.</w:t>
      </w:r>
    </w:p>
    <w:p w14:paraId="0000E741">
      <w:pPr>
        <w:spacing w:after="400" w:line="400" w:lineRule="atLeast"/>
      </w:pPr>
      <w:r>
        <w:rPr>
          <w:b/>
          <w:sz w:val="26"/>
        </w:rPr>
        <w:t>D. Synthesis: Potential Advantages &amp; Inherent Limitations of Demographic Forecasts</w:t>
      </w:r>
    </w:p>
    <w:p w14:paraId="0C5CC14B">
      <w:pPr>
        <w:numPr>
          <w:ilvl w:val="-1"/>
          <w:numId w:val="3"/>
        </w:numPr>
        <w:spacing w:after="400" w:line="400" w:lineRule="atLeast"/>
      </w:pPr>
      <w:r>
        <w:rPr>
          <w:b/>
        </w:rPr>
        <w:t>Potential Advantages:</w:t>
      </w:r>
      <w:r>
        <w:t xml:space="preserve"> Demographic projections for the next 20-30 years are among the most reliable forms of long-term forecasting. The individuals who will constitute the elderly population in 2050 have already been born, making the forecast less susceptible to the wild fluctuations inherent in economic or technological predictions. This reliability provides a stable and predictable foundation for long-term strategic planning and investment.</w:t>
      </w:r>
    </w:p>
    <w:p w14:paraId="2C458977">
      <w:pPr>
        <w:numPr>
          <w:ilvl w:val="-1"/>
          <w:numId w:val="3"/>
        </w:numPr>
        <w:spacing w:after="400" w:line="400" w:lineRule="atLeast"/>
      </w:pPr>
      <w:r>
        <w:rPr>
          <w:b/>
        </w:rPr>
        <w:t>Inherent Limitations/Constraints:</w:t>
      </w:r>
      <w:r>
        <w:t xml:space="preserve"> While the numbers are robust, forecasts are still subject to certain uncertainties. Significant breakthroughs in medical technology could extend healthy life expectancy beyond current assumptions, altering the transition point from "Active Senior" to "High-Need Senior." Furthermore, these quantitative projections do not capture qualitative shifts in attitudes, values, or behaviors of future elderly cohorts, which could substantially impact consumption patterns. The projections also rely on stable migration assumptions, which could be altered by future government policy.</w:t>
      </w:r>
    </w:p>
    <w:p w14:paraId="3A88B9B5">
      <w:pPr>
        <w:spacing w:after="400" w:line="400" w:lineRule="atLeast"/>
      </w:pPr>
      <w:r>
        <w:rPr>
          <w:b/>
          <w:sz w:val="30"/>
        </w:rPr>
        <w:t>III. Market Sizing &amp; Sectoral Opportunity Analysis: Quantifying the Silver Tsunami</w:t>
      </w:r>
    </w:p>
    <w:p w14:paraId="19615B76">
      <w:pPr>
        <w:spacing w:after="400" w:line="400" w:lineRule="atLeast"/>
      </w:pPr>
      <w:r>
        <w:t>Building upon the demographic foundation, this section quantifies the economic scale of Japan's Silver Economy and dissects the key market sectors that constitute this multi-trillion-yen opportunity.</w:t>
      </w:r>
    </w:p>
    <w:p w14:paraId="15D57C5E">
      <w:pPr>
        <w:spacing w:after="400" w:line="400" w:lineRule="atLeast"/>
      </w:pPr>
      <w:r>
        <w:rPr>
          <w:b/>
          <w:sz w:val="26"/>
        </w:rPr>
        <w:t>A. Aggregate Market Size Estimation: The Multi-Trillion Yen Silver Economy</w:t>
      </w:r>
    </w:p>
    <w:p w14:paraId="31420E52">
      <w:pPr>
        <w:spacing w:after="400" w:line="400" w:lineRule="atLeast"/>
      </w:pPr>
      <w:r>
        <w:rPr>
          <w:b/>
          <w:sz w:val="24"/>
        </w:rPr>
        <w:t>1. Top-Down Consumption-Based Sizing Methodology</w:t>
      </w:r>
    </w:p>
    <w:p w14:paraId="2030C2F7">
      <w:pPr>
        <w:spacing w:after="400" w:line="400" w:lineRule="atLeast"/>
      </w:pPr>
      <w:r>
        <w:t>The aggregate size of the Silver Economy is a complex figure to calculate, as it encompasses a wide array of public and private spending. Our methodology is based on a top-down model that begins with total household consumption and disaggregates it by the age of the head of household, supplemented by government expenditure data on social security and healthcare.</w:t>
      </w:r>
    </w:p>
    <w:p w14:paraId="5A6EF129">
      <w:pPr>
        <w:spacing w:after="400" w:line="400" w:lineRule="atLeast"/>
      </w:pPr>
      <w:r>
        <w:t>The process involves:</w:t>
      </w:r>
    </w:p>
    <w:p w14:paraId="4F0AE3E0">
      <w:pPr>
        <w:numPr>
          <w:ilvl w:val="0"/>
          <w:numId w:val="4"/>
        </w:numPr>
        <w:spacing w:after="400" w:line="400" w:lineRule="atLeast"/>
      </w:pPr>
      <w:r>
        <w:t>Establishing a baseline of total personal consumption expenditure (PCE) in Japan.</w:t>
      </w:r>
    </w:p>
    <w:p w14:paraId="7C47E8A3">
      <w:pPr>
        <w:numPr>
          <w:ilvl w:val="0"/>
          <w:numId w:val="4"/>
        </w:numPr>
        <w:spacing w:after="400" w:line="400" w:lineRule="atLeast"/>
      </w:pPr>
      <w:r>
        <w:t>Utilizing data from the Family Income and Expenditure Survey, conducted by the Statistics Bureau of Japan, to determine the proportion of spending attributable to households headed by individuals aged 65 and over.</w:t>
      </w:r>
    </w:p>
    <w:p w14:paraId="2055B9E6">
      <w:pPr>
        <w:numPr>
          <w:ilvl w:val="0"/>
          <w:numId w:val="4"/>
        </w:numPr>
        <w:spacing w:after="400" w:line="400" w:lineRule="atLeast"/>
      </w:pPr>
      <w:r>
        <w:t>Augmenting this figure with government spending in categories directly benefiting the elderly, primarily from the Ministry of Health, Labour and Welfare (MHLW), such as Long-Term Care Insurance (LTCI) benefits and medical cost subsidies.</w:t>
      </w:r>
    </w:p>
    <w:p w14:paraId="7D21BD66">
      <w:pPr>
        <w:numPr>
          <w:ilvl w:val="0"/>
          <w:numId w:val="4"/>
        </w:numPr>
        <w:spacing w:after="400" w:line="400" w:lineRule="atLeast"/>
      </w:pPr>
      <w:r>
        <w:t>Projecting this baseline figure forward to 2050 by applying a Compound Annual Growth Rate (CAGR) derived from the projected growth of the elderly population cohorts and assumptions about inflation and consumption elasticity.</w:t>
      </w:r>
    </w:p>
    <w:p w14:paraId="40B3426A">
      <w:pPr>
        <w:spacing w:after="400" w:line="400" w:lineRule="atLeast"/>
      </w:pPr>
      <w:r>
        <w:t xml:space="preserve">Based on this methodology, the estimated size of the Japanese Silver Economy was approximately </w:t>
      </w:r>
      <w:r>
        <w:rPr>
          <w:b/>
        </w:rPr>
        <w:t>¥108 trillion</w:t>
      </w:r>
      <w:r>
        <w:t xml:space="preserve"> in 2020.</w:t>
      </w:r>
    </w:p>
    <w:p w14:paraId="2CB1C0BB">
      <w:pPr>
        <w:spacing w:after="400" w:line="400" w:lineRule="atLeast"/>
      </w:pPr>
      <w:r>
        <w:rPr>
          <w:b/>
          <w:sz w:val="24"/>
        </w:rPr>
        <w:t>2. Projected Growth Trajectory of the Overall Silver Economy</w:t>
      </w:r>
    </w:p>
    <w:p w14:paraId="62F1B6BD">
      <w:pPr>
        <w:spacing w:after="400" w:line="400" w:lineRule="atLeast"/>
      </w:pPr>
      <w:r>
        <w:t>While the working-age population's consumption will shrink, the sheer size and needs-based spending of the elderly cohort will drive modest but steady growth in the overall Silver Economy. The primary growth driver is the expansion of the high-needs 75+ cohort, whose per-capita consumption, particularly in healthcare, is significantly higher than that of younger groups.</w:t>
      </w:r>
    </w:p>
    <w:p w14:paraId="50775C18">
      <w:pPr>
        <w:spacing w:after="400" w:line="400" w:lineRule="atLeast"/>
      </w:pPr>
      <w:r>
        <w:rPr>
          <w:b/>
        </w:rPr>
        <w:t>Table 3.1: Projected Growth of Japan's Aggregate Silver Economy (2020-2050)</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19C1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A874B9B">
            <w:pPr>
              <w:spacing w:after="400" w:line="400" w:lineRule="exact"/>
              <w:jc w:val="left"/>
            </w:pPr>
            <w:r>
              <w:rPr>
                <w:b/>
              </w:rPr>
              <w:t>Year</w:t>
            </w:r>
          </w:p>
        </w:tc>
        <w:tc>
          <w:tcPr>
            <w:tcW w:w="2074" w:type="dxa"/>
          </w:tcPr>
          <w:p w14:paraId="039ECC0F">
            <w:pPr>
              <w:spacing w:after="400" w:line="400" w:lineRule="exact"/>
              <w:jc w:val="left"/>
            </w:pPr>
            <w:r>
              <w:rPr>
                <w:b/>
              </w:rPr>
              <w:t>Projected Elderly Population (65+, millions)</w:t>
            </w:r>
          </w:p>
        </w:tc>
        <w:tc>
          <w:tcPr>
            <w:tcW w:w="2074" w:type="dxa"/>
          </w:tcPr>
          <w:p w14:paraId="5A2A03A0">
            <w:pPr>
              <w:spacing w:after="400" w:line="400" w:lineRule="exact"/>
              <w:jc w:val="left"/>
            </w:pPr>
            <w:r>
              <w:rPr>
                <w:b/>
              </w:rPr>
              <w:t>Estimated Market Size (Trillion JPY)</w:t>
            </w:r>
          </w:p>
        </w:tc>
        <w:tc>
          <w:tcPr>
            <w:tcW w:w="2074" w:type="dxa"/>
          </w:tcPr>
          <w:p w14:paraId="09BBFC0B">
            <w:pPr>
              <w:spacing w:after="400" w:line="400" w:lineRule="exact"/>
              <w:jc w:val="left"/>
            </w:pPr>
            <w:r>
              <w:rPr>
                <w:b/>
              </w:rPr>
              <w:t>Projected CAGR (Per Period)</w:t>
            </w:r>
          </w:p>
        </w:tc>
      </w:tr>
      <w:tr w14:paraId="38E31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1FD1A24">
            <w:pPr>
              <w:spacing w:after="400" w:line="400" w:lineRule="exact"/>
              <w:jc w:val="left"/>
            </w:pPr>
            <w:r>
              <w:rPr>
                <w:b/>
              </w:rPr>
              <w:t>2020 (Baseline)</w:t>
            </w:r>
          </w:p>
        </w:tc>
        <w:tc>
          <w:tcPr>
            <w:tcW w:w="2074" w:type="dxa"/>
          </w:tcPr>
          <w:p w14:paraId="6BBDFB72">
            <w:pPr>
              <w:spacing w:after="400" w:line="400" w:lineRule="exact"/>
              <w:jc w:val="left"/>
            </w:pPr>
            <w:r>
              <w:t>36.0</w:t>
            </w:r>
          </w:p>
        </w:tc>
        <w:tc>
          <w:tcPr>
            <w:tcW w:w="2074" w:type="dxa"/>
          </w:tcPr>
          <w:p w14:paraId="522CB5FA">
            <w:pPr>
              <w:spacing w:after="400" w:line="400" w:lineRule="exact"/>
              <w:jc w:val="left"/>
            </w:pPr>
            <w:r>
              <w:t>¥108</w:t>
            </w:r>
          </w:p>
        </w:tc>
        <w:tc>
          <w:tcPr>
            <w:tcW w:w="2074" w:type="dxa"/>
          </w:tcPr>
          <w:p w14:paraId="5D16ED87">
            <w:pPr>
              <w:spacing w:after="400" w:line="400" w:lineRule="exact"/>
              <w:jc w:val="left"/>
            </w:pPr>
            <w:r>
              <w:t>-</w:t>
            </w:r>
          </w:p>
        </w:tc>
      </w:tr>
      <w:tr w14:paraId="293C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7CBCE0A">
            <w:pPr>
              <w:spacing w:after="400" w:line="400" w:lineRule="exact"/>
              <w:jc w:val="left"/>
            </w:pPr>
            <w:r>
              <w:rPr>
                <w:b/>
              </w:rPr>
              <w:t>2030</w:t>
            </w:r>
          </w:p>
        </w:tc>
        <w:tc>
          <w:tcPr>
            <w:tcW w:w="2074" w:type="dxa"/>
          </w:tcPr>
          <w:p w14:paraId="35885A53">
            <w:pPr>
              <w:spacing w:after="400" w:line="400" w:lineRule="exact"/>
              <w:jc w:val="left"/>
            </w:pPr>
            <w:r>
              <w:t>37.3</w:t>
            </w:r>
          </w:p>
        </w:tc>
        <w:tc>
          <w:tcPr>
            <w:tcW w:w="2074" w:type="dxa"/>
          </w:tcPr>
          <w:p w14:paraId="6B9CFAB1">
            <w:pPr>
              <w:spacing w:after="400" w:line="400" w:lineRule="exact"/>
              <w:jc w:val="left"/>
            </w:pPr>
            <w:r>
              <w:t>¥132</w:t>
            </w:r>
          </w:p>
        </w:tc>
        <w:tc>
          <w:tcPr>
            <w:tcW w:w="2074" w:type="dxa"/>
          </w:tcPr>
          <w:p w14:paraId="5B49B441">
            <w:pPr>
              <w:spacing w:after="400" w:line="400" w:lineRule="exact"/>
              <w:jc w:val="left"/>
            </w:pPr>
            <w:r>
              <w:t>2.0%</w:t>
            </w:r>
          </w:p>
        </w:tc>
      </w:tr>
      <w:tr w14:paraId="653DD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5C48109">
            <w:pPr>
              <w:spacing w:after="400" w:line="400" w:lineRule="exact"/>
              <w:jc w:val="left"/>
            </w:pPr>
            <w:r>
              <w:rPr>
                <w:b/>
              </w:rPr>
              <w:t>2040</w:t>
            </w:r>
          </w:p>
        </w:tc>
        <w:tc>
          <w:tcPr>
            <w:tcW w:w="2074" w:type="dxa"/>
          </w:tcPr>
          <w:p w14:paraId="042D7D8D">
            <w:pPr>
              <w:spacing w:after="400" w:line="400" w:lineRule="exact"/>
              <w:jc w:val="left"/>
            </w:pPr>
            <w:r>
              <w:t>38.1</w:t>
            </w:r>
          </w:p>
        </w:tc>
        <w:tc>
          <w:tcPr>
            <w:tcW w:w="2074" w:type="dxa"/>
          </w:tcPr>
          <w:p w14:paraId="23F99036">
            <w:pPr>
              <w:spacing w:after="400" w:line="400" w:lineRule="exact"/>
              <w:jc w:val="left"/>
            </w:pPr>
            <w:r>
              <w:t>¥155</w:t>
            </w:r>
          </w:p>
        </w:tc>
        <w:tc>
          <w:tcPr>
            <w:tcW w:w="2074" w:type="dxa"/>
          </w:tcPr>
          <w:p w14:paraId="0CB5D69A">
            <w:pPr>
              <w:spacing w:after="400" w:line="400" w:lineRule="exact"/>
              <w:jc w:val="left"/>
            </w:pPr>
            <w:r>
              <w:t>1.6%</w:t>
            </w:r>
          </w:p>
        </w:tc>
      </w:tr>
      <w:tr w14:paraId="177FB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0077B0E">
            <w:pPr>
              <w:spacing w:after="400" w:line="400" w:lineRule="exact"/>
              <w:jc w:val="left"/>
            </w:pPr>
            <w:r>
              <w:rPr>
                <w:b/>
              </w:rPr>
              <w:t>2050</w:t>
            </w:r>
          </w:p>
        </w:tc>
        <w:tc>
          <w:tcPr>
            <w:tcW w:w="2074" w:type="dxa"/>
          </w:tcPr>
          <w:p w14:paraId="6DE38ECE">
            <w:pPr>
              <w:spacing w:after="400" w:line="400" w:lineRule="exact"/>
              <w:jc w:val="left"/>
            </w:pPr>
            <w:r>
              <w:t>37.9</w:t>
            </w:r>
          </w:p>
        </w:tc>
        <w:tc>
          <w:tcPr>
            <w:tcW w:w="2074" w:type="dxa"/>
          </w:tcPr>
          <w:p w14:paraId="30547745">
            <w:pPr>
              <w:spacing w:after="400" w:line="400" w:lineRule="exact"/>
              <w:jc w:val="left"/>
            </w:pPr>
            <w:r>
              <w:t>¥175</w:t>
            </w:r>
          </w:p>
        </w:tc>
        <w:tc>
          <w:tcPr>
            <w:tcW w:w="2074" w:type="dxa"/>
          </w:tcPr>
          <w:p w14:paraId="0A6CA9D9">
            <w:pPr>
              <w:spacing w:after="400" w:line="400" w:lineRule="exact"/>
              <w:jc w:val="left"/>
            </w:pPr>
            <w:r>
              <w:t>1.2%</w:t>
            </w:r>
          </w:p>
        </w:tc>
      </w:tr>
      <w:tr w14:paraId="51288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ECF87E8">
            <w:pPr>
              <w:spacing w:after="400" w:line="400" w:lineRule="exact"/>
              <w:jc w:val="left"/>
            </w:pPr>
            <w:r>
              <w:rPr>
                <w:b/>
              </w:rPr>
              <w:t>Overall (2020-2050)</w:t>
            </w:r>
          </w:p>
        </w:tc>
        <w:tc>
          <w:tcPr>
            <w:tcW w:w="2074" w:type="dxa"/>
          </w:tcPr>
          <w:p w14:paraId="797C8045">
            <w:pPr>
              <w:spacing w:after="400" w:line="400" w:lineRule="exact"/>
              <w:jc w:val="left"/>
            </w:pPr>
            <w:r>
              <w:rPr>
                <w:b/>
              </w:rPr>
              <w:t>-</w:t>
            </w:r>
          </w:p>
        </w:tc>
        <w:tc>
          <w:tcPr>
            <w:tcW w:w="2074" w:type="dxa"/>
          </w:tcPr>
          <w:p w14:paraId="0409B096">
            <w:pPr>
              <w:spacing w:after="400" w:line="400" w:lineRule="exact"/>
              <w:jc w:val="left"/>
            </w:pPr>
            <w:r>
              <w:rPr>
                <w:b/>
              </w:rPr>
              <w:t>-</w:t>
            </w:r>
          </w:p>
        </w:tc>
        <w:tc>
          <w:tcPr>
            <w:tcW w:w="2074" w:type="dxa"/>
          </w:tcPr>
          <w:p w14:paraId="47BC6EF4">
            <w:pPr>
              <w:spacing w:after="400" w:line="400" w:lineRule="exact"/>
              <w:jc w:val="left"/>
            </w:pPr>
            <w:r>
              <w:rPr>
                <w:b/>
              </w:rPr>
              <w:t>Avg. ~1.6%</w:t>
            </w:r>
          </w:p>
        </w:tc>
      </w:tr>
    </w:tbl>
    <w:p w14:paraId="50496A8A">
      <w:pPr>
        <w:spacing w:before="400" w:after="400" w:line="400" w:lineRule="atLeast"/>
      </w:pPr>
      <w:r>
        <w:rPr>
          <w:i/>
        </w:rPr>
        <w:t>Source: Internal analysis based on NIPSS population data and government consumption statistics.</w:t>
      </w:r>
    </w:p>
    <w:p w14:paraId="1033DD81">
      <w:pPr>
        <w:spacing w:after="400" w:line="400" w:lineRule="atLeast"/>
      </w:pPr>
      <w:r>
        <w:rPr>
          <w:i/>
        </w:rPr>
        <w:t>Note: Market size figures are in nominal terms and incorporate modest inflationary assumptions. The CAGR reflects the slowing growth of the total elderly population in later years.</w:t>
      </w:r>
    </w:p>
    <w:p w14:paraId="729678A6">
      <w:pPr>
        <w:spacing w:after="400" w:line="400" w:lineRule="atLeast"/>
      </w:pPr>
      <w:r>
        <w:rPr>
          <w:b/>
          <w:sz w:val="26"/>
        </w:rPr>
        <w:t>B. Priority Sector Deep-Dive: High-Growth Verticals</w:t>
      </w:r>
    </w:p>
    <w:p w14:paraId="1ED8B4C6">
      <w:pPr>
        <w:spacing w:after="400" w:line="400" w:lineRule="atLeast"/>
      </w:pPr>
      <w:r>
        <w:t>The aggregate growth of the Silver Economy is not evenly distributed. As emphasized in strategic investment analyses, sectors like healthcare and technology are expected to vastly outperform others [[22]][[23]]. We identify three priority areas poised for disproportionate growth.</w:t>
      </w:r>
    </w:p>
    <w:p w14:paraId="38662893">
      <w:pPr>
        <w:spacing w:after="400" w:line="400" w:lineRule="atLeast"/>
      </w:pPr>
      <w:r>
        <w:rPr>
          <w:b/>
          <w:sz w:val="24"/>
        </w:rPr>
        <w:t>1. The Healthcare &amp; Medical Sector: A Non-Discretionary Imperative</w:t>
      </w:r>
    </w:p>
    <w:p w14:paraId="57618C5D">
      <w:pPr>
        <w:spacing w:after="400" w:line="400" w:lineRule="atLeast"/>
      </w:pPr>
      <w:r>
        <w:t>This is the largest, most critical, and most resilient component of the Silver Economy. Demand in this sector is fundamentally needs-driven and largely inelastic.</w:t>
      </w:r>
    </w:p>
    <w:p w14:paraId="1C4EED4A">
      <w:pPr>
        <w:numPr>
          <w:ilvl w:val="-1"/>
          <w:numId w:val="3"/>
        </w:numPr>
        <w:spacing w:after="400" w:line="400" w:lineRule="atLeast"/>
      </w:pPr>
      <w:r>
        <w:rPr>
          <w:b/>
        </w:rPr>
        <w:t>a. Geriatric Medicine &amp; Pharmaceuticals:</w:t>
      </w:r>
    </w:p>
    <w:p w14:paraId="08C5C6F2">
      <w:pPr>
        <w:numPr>
          <w:ilvl w:val="-1"/>
          <w:numId w:val="3"/>
        </w:numPr>
        <w:spacing w:after="400" w:line="400" w:lineRule="atLeast"/>
      </w:pPr>
      <w:r>
        <w:rPr>
          <w:b/>
        </w:rPr>
        <w:t>Market Drivers:</w:t>
      </w:r>
      <w:r>
        <w:t xml:space="preserve"> The increasing prevalence of age-related chronic conditions such as dementia, cardiovascular disease, osteoporosis, and diabetes will fuel sustained demand for specialized pharmaceuticals and geriatric treatments. The "old-old" (75+) cohort are the highest per-capita consumers of prescription drugs.</w:t>
      </w:r>
    </w:p>
    <w:p w14:paraId="06971261">
      <w:pPr>
        <w:numPr>
          <w:ilvl w:val="-1"/>
          <w:numId w:val="3"/>
        </w:numPr>
        <w:spacing w:after="400" w:line="400" w:lineRule="atLeast"/>
      </w:pPr>
      <w:r>
        <w:rPr>
          <w:b/>
        </w:rPr>
        <w:t>Market Sizing:</w:t>
      </w:r>
      <w:r>
        <w:t xml:space="preserve"> This sub-sector is projected to grow at a CAGR of 3-4%, driven by both volume and the introduction of higher-priced innovative therapies.</w:t>
      </w:r>
    </w:p>
    <w:p w14:paraId="602C4812">
      <w:pPr>
        <w:numPr>
          <w:ilvl w:val="-1"/>
          <w:numId w:val="3"/>
        </w:numPr>
        <w:spacing w:after="400" w:line="400" w:lineRule="atLeast"/>
      </w:pPr>
      <w:r>
        <w:rPr>
          <w:b/>
        </w:rPr>
        <w:t>b. Long-Term Care (LTC) &amp; Nursing Services:</w:t>
      </w:r>
    </w:p>
    <w:p w14:paraId="2CC0FC10">
      <w:pPr>
        <w:numPr>
          <w:ilvl w:val="-1"/>
          <w:numId w:val="3"/>
        </w:numPr>
        <w:spacing w:after="400" w:line="400" w:lineRule="atLeast"/>
      </w:pPr>
      <w:r>
        <w:rPr>
          <w:b/>
        </w:rPr>
        <w:t>Market Drivers:</w:t>
      </w:r>
      <w:r>
        <w:t xml:space="preserve"> This market is directly fueled by the explosion of the 80+ "High-Need Seniors" cohort. Japan's public Long-Term Care Insurance (LTCI) system provides a stable financing mechanism, but demand for both institutional care (nursing homes) and in-home care services is projected to outstrip supply, creating significant opportunities for private providers. The MHLW continually adjusts policies in this area, creating a dynamic regulatory environment [[24]].</w:t>
      </w:r>
    </w:p>
    <w:p w14:paraId="0D57CC07">
      <w:pPr>
        <w:numPr>
          <w:ilvl w:val="-1"/>
          <w:numId w:val="3"/>
        </w:numPr>
        <w:spacing w:after="400" w:line="400" w:lineRule="atLeast"/>
      </w:pPr>
      <w:r>
        <w:rPr>
          <w:b/>
        </w:rPr>
        <w:t>Market Sizing:</w:t>
      </w:r>
      <w:r>
        <w:t xml:space="preserve"> The LTC market is forecast to be one of the fastest-growing segments, with a potential CAGR of 4-5%, though it faces significant constraints from a severe labor shortage of caregivers.</w:t>
      </w:r>
    </w:p>
    <w:p w14:paraId="6C035BE8">
      <w:pPr>
        <w:numPr>
          <w:ilvl w:val="-1"/>
          <w:numId w:val="3"/>
        </w:numPr>
        <w:spacing w:after="400" w:line="400" w:lineRule="atLeast"/>
      </w:pPr>
      <w:r>
        <w:rPr>
          <w:b/>
        </w:rPr>
        <w:t>c. Preventive Health &amp; Wellness:</w:t>
      </w:r>
    </w:p>
    <w:p w14:paraId="09549356">
      <w:pPr>
        <w:numPr>
          <w:ilvl w:val="-1"/>
          <w:numId w:val="3"/>
        </w:numPr>
        <w:spacing w:after="400" w:line="400" w:lineRule="atLeast"/>
      </w:pPr>
      <w:r>
        <w:rPr>
          <w:b/>
        </w:rPr>
        <w:t>Market Drivers:</w:t>
      </w:r>
      <w:r>
        <w:t xml:space="preserve"> Aimed primarily at the "Active Seniors" cohort, this segment includes fitness centers for seniors, nutritional counseling, health check-ups (Ningen Dock), and wellness programs. There is growing awareness, promoted by government campaigns, of the importance of extending "healthy life expectancy."</w:t>
      </w:r>
    </w:p>
    <w:p w14:paraId="3B159CDF">
      <w:pPr>
        <w:numPr>
          <w:ilvl w:val="-1"/>
          <w:numId w:val="3"/>
        </w:numPr>
        <w:spacing w:after="400" w:line="400" w:lineRule="atLeast"/>
      </w:pPr>
      <w:r>
        <w:rPr>
          <w:b/>
        </w:rPr>
        <w:t>Market Sizing:</w:t>
      </w:r>
      <w:r>
        <w:t xml:space="preserve"> This is a more discretionary market but holds significant potential, with an estimated CAGR of 3.5%. It is an area where consumer-facing brands can build strong engagement.</w:t>
      </w:r>
    </w:p>
    <w:p w14:paraId="6107B872">
      <w:pPr>
        <w:spacing w:after="400" w:line="400" w:lineRule="atLeast"/>
      </w:pPr>
      <w:r>
        <w:rPr>
          <w:b/>
          <w:sz w:val="24"/>
        </w:rPr>
        <w:t>2. "Age-Tech" &amp; Digital Transformation: The Technological Frontier</w:t>
      </w:r>
    </w:p>
    <w:p w14:paraId="1BB65F28">
      <w:pPr>
        <w:spacing w:after="400" w:line="400" w:lineRule="atLeast"/>
      </w:pPr>
      <w:r>
        <w:t>Technology is a critical enabler for addressing the challenges of a super-aging society, from healthcare efficiency to social isolation. This sector is characterized by high innovation and potential for disruptive growth.</w:t>
      </w:r>
    </w:p>
    <w:p w14:paraId="23B8FA25">
      <w:pPr>
        <w:numPr>
          <w:ilvl w:val="-1"/>
          <w:numId w:val="3"/>
        </w:numPr>
        <w:spacing w:after="400" w:line="400" w:lineRule="atLeast"/>
      </w:pPr>
      <w:r>
        <w:rPr>
          <w:b/>
        </w:rPr>
        <w:t>a. AI-Powered Diagnostics &amp; Telehealth Platforms:</w:t>
      </w:r>
    </w:p>
    <w:p w14:paraId="75E9CD77">
      <w:pPr>
        <w:numPr>
          <w:ilvl w:val="-1"/>
          <w:numId w:val="3"/>
        </w:numPr>
        <w:spacing w:after="400" w:line="400" w:lineRule="atLeast"/>
      </w:pPr>
      <w:r>
        <w:rPr>
          <w:b/>
        </w:rPr>
        <w:t>Market Drivers:</w:t>
      </w:r>
      <w:r>
        <w:t xml:space="preserve"> The convergence of aging demographics and a shortage of medical professionals creates a perfect storm for telehealth adoption. AI-powered diagnostic tools can assist physicians in early detection of diseases like cancer or Alzheimer's. Remote patient monitoring systems allow for continuous care at home, reducing hospitalizations. Sectoral analyses consistently point to AI as a transformative force in healthcare [[25]].</w:t>
      </w:r>
    </w:p>
    <w:p w14:paraId="2F643A13">
      <w:pPr>
        <w:numPr>
          <w:ilvl w:val="-1"/>
          <w:numId w:val="3"/>
        </w:numPr>
        <w:spacing w:after="400" w:line="400" w:lineRule="atLeast"/>
      </w:pPr>
      <w:r>
        <w:rPr>
          <w:b/>
        </w:rPr>
        <w:t>Market Sizing:</w:t>
      </w:r>
      <w:r>
        <w:t xml:space="preserve"> While starting from a smaller base, this sub-sector is projected to have the highest CAGR in the Silver Economy, potentially exceeding 15-20% annually in the short to medium term.</w:t>
      </w:r>
    </w:p>
    <w:p w14:paraId="3217CAA3">
      <w:pPr>
        <w:numPr>
          <w:ilvl w:val="-1"/>
          <w:numId w:val="3"/>
        </w:numPr>
        <w:spacing w:after="400" w:line="400" w:lineRule="atLeast"/>
      </w:pPr>
      <w:r>
        <w:rPr>
          <w:b/>
        </w:rPr>
        <w:t>b. Robotics &amp; Assistive Living Technologies:</w:t>
      </w:r>
    </w:p>
    <w:p w14:paraId="2DA0865A">
      <w:pPr>
        <w:numPr>
          <w:ilvl w:val="-1"/>
          <w:numId w:val="3"/>
        </w:numPr>
        <w:spacing w:after="400" w:line="400" w:lineRule="atLeast"/>
      </w:pPr>
      <w:r>
        <w:rPr>
          <w:b/>
        </w:rPr>
        <w:t>Market Drivers:</w:t>
      </w:r>
      <w:r>
        <w:t xml:space="preserve"> Japan's government is heavily promoting robotics as a solution to the caregiver shortage. This includes communication robots to combat loneliness (e.g., Paro), mobility assistance robots (wearable exoskeletons), and automated systems for lifting and moving patients in care facilities.</w:t>
      </w:r>
    </w:p>
    <w:p w14:paraId="4F405C43">
      <w:pPr>
        <w:numPr>
          <w:ilvl w:val="-1"/>
          <w:numId w:val="3"/>
        </w:numPr>
        <w:spacing w:after="400" w:line="400" w:lineRule="atLeast"/>
      </w:pPr>
      <w:r>
        <w:rPr>
          <w:b/>
        </w:rPr>
        <w:t>Market Sizing:</w:t>
      </w:r>
      <w:r>
        <w:t xml:space="preserve"> High R&amp;D costs and slow adoption have historically constrained this market, but increasing government subsidies and technological maturation are expected to drive a CAGR of 10-12%.</w:t>
      </w:r>
    </w:p>
    <w:p w14:paraId="4A546D76">
      <w:pPr>
        <w:numPr>
          <w:ilvl w:val="-1"/>
          <w:numId w:val="3"/>
        </w:numPr>
        <w:spacing w:after="400" w:line="400" w:lineRule="atLeast"/>
      </w:pPr>
      <w:r>
        <w:rPr>
          <w:b/>
        </w:rPr>
        <w:t>c. FinTech for Seniors: Asset Management &amp; Security:</w:t>
      </w:r>
    </w:p>
    <w:p w14:paraId="6A130C68">
      <w:pPr>
        <w:numPr>
          <w:ilvl w:val="-1"/>
          <w:numId w:val="3"/>
        </w:numPr>
        <w:spacing w:after="400" w:line="400" w:lineRule="atLeast"/>
      </w:pPr>
      <w:r>
        <w:rPr>
          <w:b/>
        </w:rPr>
        <w:t>Market Drivers:</w:t>
      </w:r>
      <w:r>
        <w:t xml:space="preserve"> The elderly population holds a disproportionately large share of Japan's household financial assets. This creates a large market for wealth management, inheritance planning, and simplified, secure digital banking solutions. FinTech applications that protect against financial fraud are also in high demand.</w:t>
      </w:r>
    </w:p>
    <w:p w14:paraId="0F56A036">
      <w:pPr>
        <w:numPr>
          <w:ilvl w:val="-1"/>
          <w:numId w:val="3"/>
        </w:numPr>
        <w:spacing w:after="400" w:line="400" w:lineRule="atLeast"/>
      </w:pPr>
      <w:r>
        <w:rPr>
          <w:b/>
        </w:rPr>
        <w:t>Market Sizing:</w:t>
      </w:r>
      <w:r>
        <w:t xml:space="preserve"> This sub-sector is poised for strong growth (CAGR 8-10%) as more "Active Seniors" become comfortable with digital financial tools.</w:t>
      </w:r>
    </w:p>
    <w:p w14:paraId="382750D1">
      <w:pPr>
        <w:spacing w:after="400" w:line="400" w:lineRule="atLeast"/>
      </w:pPr>
      <w:r>
        <w:rPr>
          <w:b/>
          <w:sz w:val="24"/>
        </w:rPr>
        <w:t>3. Living &amp; Housing: The Real Estate &amp; Home Modification Market</w:t>
      </w:r>
    </w:p>
    <w:p w14:paraId="6B979758">
      <w:pPr>
        <w:spacing w:after="400" w:line="400" w:lineRule="atLeast"/>
      </w:pPr>
      <w:r>
        <w:t>Where and how seniors live is a foundational pillar of the Silver Economy.</w:t>
      </w:r>
    </w:p>
    <w:p w14:paraId="01C5C26A">
      <w:pPr>
        <w:numPr>
          <w:ilvl w:val="-1"/>
          <w:numId w:val="3"/>
        </w:numPr>
        <w:spacing w:after="400" w:line="400" w:lineRule="atLeast"/>
      </w:pPr>
      <w:r>
        <w:rPr>
          <w:b/>
        </w:rPr>
        <w:t>a. Senior-Friendly Housing &amp; Assisted Living Facilities:</w:t>
      </w:r>
    </w:p>
    <w:p w14:paraId="00C7B9FD">
      <w:pPr>
        <w:numPr>
          <w:ilvl w:val="-1"/>
          <w:numId w:val="3"/>
        </w:numPr>
        <w:spacing w:after="400" w:line="400" w:lineRule="atLeast"/>
      </w:pPr>
      <w:r>
        <w:rPr>
          <w:b/>
        </w:rPr>
        <w:t>Market Drivers:</w:t>
      </w:r>
      <w:r>
        <w:t xml:space="preserve"> There is a growing demand for a spectrum of housing options, from independent living communities with extensive amenities for "Active Seniors" to facilities providing 24-hour medical supervision for "High-Need Seniors." Real estate developers are increasingly focusing on this lucrative niche.</w:t>
      </w:r>
    </w:p>
    <w:p w14:paraId="4B90A01E">
      <w:pPr>
        <w:numPr>
          <w:ilvl w:val="-1"/>
          <w:numId w:val="3"/>
        </w:numPr>
        <w:spacing w:after="400" w:line="400" w:lineRule="atLeast"/>
      </w:pPr>
      <w:r>
        <w:rPr>
          <w:b/>
        </w:rPr>
        <w:t>Market Sizing:</w:t>
      </w:r>
      <w:r>
        <w:t xml:space="preserve"> A capital-intensive but stable market with a projected CAGR of 2.5-3.5%.</w:t>
      </w:r>
    </w:p>
    <w:p w14:paraId="383C24FF">
      <w:pPr>
        <w:numPr>
          <w:ilvl w:val="-1"/>
          <w:numId w:val="3"/>
        </w:numPr>
        <w:spacing w:after="400" w:line="400" w:lineRule="atLeast"/>
      </w:pPr>
      <w:r>
        <w:rPr>
          <w:b/>
        </w:rPr>
        <w:t>b. Home Renovation &amp; "Barrier-Free" Solutions:</w:t>
      </w:r>
    </w:p>
    <w:p w14:paraId="4C19B7A4">
      <w:pPr>
        <w:numPr>
          <w:ilvl w:val="-1"/>
          <w:numId w:val="3"/>
        </w:numPr>
        <w:spacing w:after="400" w:line="400" w:lineRule="atLeast"/>
      </w:pPr>
      <w:r>
        <w:rPr>
          <w:b/>
        </w:rPr>
        <w:t>Market Drivers:</w:t>
      </w:r>
      <w:r>
        <w:t xml:space="preserve"> A strong government and societal preference for "aging in place" drives a massive market for home modifications. This includes installing handrails, converting bathrooms, widening doorways for wheelchair access, and installing smart home safety features (e.g., fall detectors).</w:t>
      </w:r>
    </w:p>
    <w:p w14:paraId="1FE301DD">
      <w:pPr>
        <w:numPr>
          <w:ilvl w:val="-1"/>
          <w:numId w:val="3"/>
        </w:numPr>
        <w:spacing w:after="400" w:line="400" w:lineRule="atLeast"/>
      </w:pPr>
      <w:r>
        <w:rPr>
          <w:b/>
        </w:rPr>
        <w:t>Market Sizing:</w:t>
      </w:r>
      <w:r>
        <w:t xml:space="preserve"> This is a large, fragmented market composed of many small contractors, but it is expected to grow steadily at a CAGR of 3-4%.</w:t>
      </w:r>
    </w:p>
    <w:p w14:paraId="2A808D75">
      <w:pPr>
        <w:spacing w:after="400" w:line="400" w:lineRule="atLeast"/>
      </w:pPr>
      <w:r>
        <w:rPr>
          <w:b/>
          <w:sz w:val="26"/>
        </w:rPr>
        <w:t>C. Analysis of Mature &amp; Evolving Sectors</w:t>
      </w:r>
    </w:p>
    <w:p w14:paraId="3A285898">
      <w:pPr>
        <w:spacing w:after="400" w:line="400" w:lineRule="atLeast"/>
      </w:pPr>
      <w:r>
        <w:t>While not exhibiting the explosive growth of the priority sectors, these traditional markets are nonetheless enormous in absolute terms and are undergoing significant internal transformation.</w:t>
      </w:r>
    </w:p>
    <w:p w14:paraId="6095F83D">
      <w:pPr>
        <w:spacing w:after="400" w:line="400" w:lineRule="atLeast"/>
      </w:pPr>
      <w:r>
        <w:rPr>
          <w:b/>
          <w:sz w:val="24"/>
        </w:rPr>
        <w:t>1. Consumer Goods: Shifting Preferences &amp; Needs</w:t>
      </w:r>
    </w:p>
    <w:p w14:paraId="52BDFD6D">
      <w:pPr>
        <w:numPr>
          <w:ilvl w:val="-1"/>
          <w:numId w:val="3"/>
        </w:numPr>
        <w:spacing w:after="400" w:line="400" w:lineRule="atLeast"/>
      </w:pPr>
      <w:r>
        <w:rPr>
          <w:b/>
        </w:rPr>
        <w:t>a. Food, Beverage &amp; Nutritional Supplements:</w:t>
      </w:r>
      <w:r>
        <w:t xml:space="preserve"> This is the largest single category of discretionary spending for seniors. The market is shifting towards smaller portion sizes, easy-to-prepare meals, foods with functional health benefits (FOSHU), and specialized foods for those with swallowing difficulties (dysphagia). Nutritional supplements targeting joint health, cognitive function, and general vitality are also a major growth area.</w:t>
      </w:r>
    </w:p>
    <w:p w14:paraId="46B5EECD">
      <w:pPr>
        <w:numPr>
          <w:ilvl w:val="-1"/>
          <w:numId w:val="3"/>
        </w:numPr>
        <w:spacing w:after="400" w:line="400" w:lineRule="atLeast"/>
      </w:pPr>
      <w:r>
        <w:rPr>
          <w:b/>
        </w:rPr>
        <w:t>b. Personal Care &amp; Apparel:</w:t>
      </w:r>
      <w:r>
        <w:t xml:space="preserve"> Demand is growing for cosmetics formulated for mature skin, easy-to-use packaging, and apparel that combines comfort, functionality (e.g., easy to put on), and style.</w:t>
      </w:r>
    </w:p>
    <w:p w14:paraId="3796500F">
      <w:pPr>
        <w:spacing w:after="400" w:line="400" w:lineRule="atLeast"/>
      </w:pPr>
      <w:r>
        <w:rPr>
          <w:b/>
          <w:sz w:val="24"/>
        </w:rPr>
        <w:t>2. Leisure, Culture &amp; Lifelong Learning</w:t>
      </w:r>
    </w:p>
    <w:p w14:paraId="1E65ED1B">
      <w:pPr>
        <w:spacing w:after="400" w:line="400" w:lineRule="atLeast"/>
      </w:pPr>
      <w:r>
        <w:t>This sector is primarily driven by the "Active Seniors" cohort. Demand is strong for domestic travel packages, cultural classes (calligraphy, painting), social clubs, and continuing education programs offered by universities and community centers. However, as the population ages, spending may shift from active pursuits like travel to more home-based hobbies and entertainment.</w:t>
      </w:r>
    </w:p>
    <w:p w14:paraId="33AED174">
      <w:pPr>
        <w:spacing w:after="400" w:line="400" w:lineRule="atLeast"/>
      </w:pPr>
      <w:r>
        <w:rPr>
          <w:b/>
          <w:sz w:val="26"/>
        </w:rPr>
        <w:t>D. Consolidated Market Sizing &amp; Growth Projections</w:t>
      </w:r>
    </w:p>
    <w:p w14:paraId="4831CD3B">
      <w:pPr>
        <w:spacing w:after="400" w:line="400" w:lineRule="atLeast"/>
      </w:pPr>
      <w:r>
        <w:t>The following table provides a consolidated, high-level forecast of the key sectors within the Japanese Silver Economy. It is intended to be illustrative of relative scale and growth potential.</w:t>
      </w:r>
    </w:p>
    <w:p w14:paraId="5F737889">
      <w:pPr>
        <w:spacing w:after="400" w:line="400" w:lineRule="atLeast"/>
      </w:pPr>
      <w:r>
        <w:rPr>
          <w:b/>
        </w:rPr>
        <w:t>Table 3.2: Japan Silver Economy Sectoral Market Size &amp; Projected CAGR (2025–2035)</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1382"/>
        <w:gridCol w:w="1382"/>
        <w:gridCol w:w="1382"/>
        <w:gridCol w:w="1382"/>
        <w:gridCol w:w="1435"/>
      </w:tblGrid>
      <w:tr w14:paraId="2D435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69F0BD6">
            <w:pPr>
              <w:spacing w:after="400" w:line="400" w:lineRule="exact"/>
              <w:jc w:val="left"/>
            </w:pPr>
            <w:r>
              <w:rPr>
                <w:b/>
              </w:rPr>
              <w:t>Market Sector</w:t>
            </w:r>
          </w:p>
        </w:tc>
        <w:tc>
          <w:tcPr>
            <w:tcW w:w="1382" w:type="dxa"/>
          </w:tcPr>
          <w:p w14:paraId="4838DDFF">
            <w:pPr>
              <w:spacing w:after="400" w:line="400" w:lineRule="exact"/>
              <w:jc w:val="left"/>
            </w:pPr>
            <w:r>
              <w:rPr>
                <w:b/>
              </w:rPr>
              <w:t>Sub-Sector</w:t>
            </w:r>
          </w:p>
        </w:tc>
        <w:tc>
          <w:tcPr>
            <w:tcW w:w="1382" w:type="dxa"/>
          </w:tcPr>
          <w:p w14:paraId="5113B637">
            <w:pPr>
              <w:spacing w:after="400" w:line="400" w:lineRule="exact"/>
              <w:jc w:val="left"/>
            </w:pPr>
            <w:r>
              <w:rPr>
                <w:b/>
              </w:rPr>
              <w:t>Est. 2025 Market Size (Trillion JPY)</w:t>
            </w:r>
          </w:p>
        </w:tc>
        <w:tc>
          <w:tcPr>
            <w:tcW w:w="1382" w:type="dxa"/>
          </w:tcPr>
          <w:p w14:paraId="45C73683">
            <w:pPr>
              <w:spacing w:after="400" w:line="400" w:lineRule="exact"/>
              <w:jc w:val="left"/>
            </w:pPr>
            <w:r>
              <w:rPr>
                <w:b/>
              </w:rPr>
              <w:t>Projected 2035 Market Size (Trillion JPY)</w:t>
            </w:r>
          </w:p>
        </w:tc>
        <w:tc>
          <w:tcPr>
            <w:tcW w:w="1382" w:type="dxa"/>
          </w:tcPr>
          <w:p w14:paraId="2B3A1067">
            <w:pPr>
              <w:spacing w:after="400" w:line="400" w:lineRule="exact"/>
              <w:jc w:val="left"/>
            </w:pPr>
            <w:r>
              <w:rPr>
                <w:b/>
              </w:rPr>
              <w:t>Projected CAGR (2025-2035)</w:t>
            </w:r>
          </w:p>
        </w:tc>
        <w:tc>
          <w:tcPr>
            <w:tcW w:w="1382" w:type="dxa"/>
          </w:tcPr>
          <w:p w14:paraId="013F2C98">
            <w:pPr>
              <w:spacing w:after="400" w:line="400" w:lineRule="exact"/>
              <w:jc w:val="left"/>
            </w:pPr>
            <w:r>
              <w:rPr>
                <w:b/>
              </w:rPr>
              <w:t>Key Drivers</w:t>
            </w:r>
          </w:p>
        </w:tc>
      </w:tr>
      <w:tr w14:paraId="32D0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351F918">
            <w:pPr>
              <w:spacing w:after="400" w:line="400" w:lineRule="exact"/>
              <w:jc w:val="left"/>
            </w:pPr>
            <w:r>
              <w:rPr>
                <w:b/>
              </w:rPr>
              <w:t>I. Healthcare &amp; Medical</w:t>
            </w:r>
          </w:p>
        </w:tc>
        <w:tc>
          <w:tcPr>
            <w:tcW w:w="1382" w:type="dxa"/>
          </w:tcPr>
          <w:p w14:paraId="26EC2CE6">
            <w:pPr>
              <w:spacing w:after="400" w:line="400" w:lineRule="exact"/>
              <w:jc w:val="left"/>
            </w:pPr>
            <w:r>
              <w:rPr>
                <w:b/>
              </w:rPr>
              <w:t>TOTAL</w:t>
            </w:r>
          </w:p>
        </w:tc>
        <w:tc>
          <w:tcPr>
            <w:tcW w:w="1382" w:type="dxa"/>
          </w:tcPr>
          <w:p w14:paraId="69426DF6">
            <w:pPr>
              <w:spacing w:after="400" w:line="400" w:lineRule="exact"/>
              <w:jc w:val="left"/>
            </w:pPr>
            <w:r>
              <w:rPr>
                <w:b/>
              </w:rPr>
              <w:t>¥45.0</w:t>
            </w:r>
          </w:p>
        </w:tc>
        <w:tc>
          <w:tcPr>
            <w:tcW w:w="1382" w:type="dxa"/>
          </w:tcPr>
          <w:p w14:paraId="092435E9">
            <w:pPr>
              <w:spacing w:after="400" w:line="400" w:lineRule="exact"/>
              <w:jc w:val="left"/>
            </w:pPr>
            <w:r>
              <w:rPr>
                <w:b/>
              </w:rPr>
              <w:t>¥65.5</w:t>
            </w:r>
          </w:p>
        </w:tc>
        <w:tc>
          <w:tcPr>
            <w:tcW w:w="1382" w:type="dxa"/>
          </w:tcPr>
          <w:p w14:paraId="284F7F9A">
            <w:pPr>
              <w:spacing w:after="400" w:line="400" w:lineRule="exact"/>
              <w:jc w:val="left"/>
            </w:pPr>
            <w:r>
              <w:rPr>
                <w:b/>
              </w:rPr>
              <w:t>3.8%</w:t>
            </w:r>
          </w:p>
        </w:tc>
        <w:tc>
          <w:tcPr>
            <w:tcW w:w="1382" w:type="dxa"/>
          </w:tcPr>
          <w:p w14:paraId="12FB8D62">
            <w:pPr>
              <w:spacing w:after="400" w:line="400" w:lineRule="exact"/>
              <w:jc w:val="left"/>
            </w:pPr>
            <w:r>
              <w:rPr>
                <w:b/>
              </w:rPr>
              <w:t>Non-discretionary; 75+ cohort growth</w:t>
            </w:r>
          </w:p>
        </w:tc>
      </w:tr>
      <w:tr w14:paraId="0BD4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13A0787">
            <w:pPr>
              <w:spacing w:after="400" w:line="400" w:lineRule="exact"/>
              <w:jc w:val="left"/>
            </w:pPr>
            <w:r>
              <w:t xml:space="preserve"> </w:t>
            </w:r>
          </w:p>
        </w:tc>
        <w:tc>
          <w:tcPr>
            <w:tcW w:w="1382" w:type="dxa"/>
          </w:tcPr>
          <w:p w14:paraId="0317805B">
            <w:pPr>
              <w:spacing w:after="400" w:line="400" w:lineRule="exact"/>
              <w:jc w:val="left"/>
            </w:pPr>
            <w:r>
              <w:t>Geriatric Meds &amp; Pharma</w:t>
            </w:r>
          </w:p>
        </w:tc>
        <w:tc>
          <w:tcPr>
            <w:tcW w:w="1382" w:type="dxa"/>
          </w:tcPr>
          <w:p w14:paraId="7ADD2112">
            <w:pPr>
              <w:spacing w:after="400" w:line="400" w:lineRule="exact"/>
              <w:jc w:val="left"/>
            </w:pPr>
            <w:r>
              <w:t>¥15.0</w:t>
            </w:r>
          </w:p>
        </w:tc>
        <w:tc>
          <w:tcPr>
            <w:tcW w:w="1382" w:type="dxa"/>
          </w:tcPr>
          <w:p w14:paraId="510ACC01">
            <w:pPr>
              <w:spacing w:after="400" w:line="400" w:lineRule="exact"/>
              <w:jc w:val="left"/>
            </w:pPr>
            <w:r>
              <w:t>¥21.0</w:t>
            </w:r>
          </w:p>
        </w:tc>
        <w:tc>
          <w:tcPr>
            <w:tcW w:w="1382" w:type="dxa"/>
          </w:tcPr>
          <w:p w14:paraId="1EC95A05">
            <w:pPr>
              <w:spacing w:after="400" w:line="400" w:lineRule="exact"/>
              <w:jc w:val="left"/>
            </w:pPr>
            <w:r>
              <w:t>3.4%</w:t>
            </w:r>
          </w:p>
        </w:tc>
        <w:tc>
          <w:tcPr>
            <w:tcW w:w="1382" w:type="dxa"/>
          </w:tcPr>
          <w:p w14:paraId="1A226A5F">
            <w:pPr>
              <w:spacing w:after="400" w:line="400" w:lineRule="exact"/>
              <w:jc w:val="left"/>
            </w:pPr>
            <w:r>
              <w:t>Chronic disease prevalence</w:t>
            </w:r>
          </w:p>
        </w:tc>
      </w:tr>
      <w:tr w14:paraId="0467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2125CE02">
            <w:pPr>
              <w:spacing w:after="400" w:line="400" w:lineRule="exact"/>
              <w:jc w:val="left"/>
            </w:pPr>
            <w:r>
              <w:t xml:space="preserve"> </w:t>
            </w:r>
          </w:p>
        </w:tc>
        <w:tc>
          <w:tcPr>
            <w:tcW w:w="1382" w:type="dxa"/>
          </w:tcPr>
          <w:p w14:paraId="6567FA3D">
            <w:pPr>
              <w:spacing w:after="400" w:line="400" w:lineRule="exact"/>
              <w:jc w:val="left"/>
            </w:pPr>
            <w:r>
              <w:t>Long-Term Care (LTC)</w:t>
            </w:r>
          </w:p>
        </w:tc>
        <w:tc>
          <w:tcPr>
            <w:tcW w:w="1382" w:type="dxa"/>
          </w:tcPr>
          <w:p w14:paraId="26E2AA60">
            <w:pPr>
              <w:spacing w:after="400" w:line="400" w:lineRule="exact"/>
              <w:jc w:val="left"/>
            </w:pPr>
            <w:r>
              <w:t>¥18.0</w:t>
            </w:r>
          </w:p>
        </w:tc>
        <w:tc>
          <w:tcPr>
            <w:tcW w:w="1382" w:type="dxa"/>
          </w:tcPr>
          <w:p w14:paraId="786145B6">
            <w:pPr>
              <w:spacing w:after="400" w:line="400" w:lineRule="exact"/>
              <w:jc w:val="left"/>
            </w:pPr>
            <w:r>
              <w:t>¥28.5</w:t>
            </w:r>
          </w:p>
        </w:tc>
        <w:tc>
          <w:tcPr>
            <w:tcW w:w="1382" w:type="dxa"/>
          </w:tcPr>
          <w:p w14:paraId="0DF26C84">
            <w:pPr>
              <w:spacing w:after="400" w:line="400" w:lineRule="exact"/>
              <w:jc w:val="left"/>
            </w:pPr>
            <w:r>
              <w:t>4.7%</w:t>
            </w:r>
          </w:p>
        </w:tc>
        <w:tc>
          <w:tcPr>
            <w:tcW w:w="1382" w:type="dxa"/>
          </w:tcPr>
          <w:p w14:paraId="54D488E9">
            <w:pPr>
              <w:spacing w:after="400" w:line="400" w:lineRule="exact"/>
              <w:jc w:val="left"/>
            </w:pPr>
            <w:r>
              <w:t>80+ cohort surge; labor shortage</w:t>
            </w:r>
          </w:p>
        </w:tc>
      </w:tr>
      <w:tr w14:paraId="7AA33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75822115">
            <w:pPr>
              <w:spacing w:after="400" w:line="400" w:lineRule="exact"/>
              <w:jc w:val="left"/>
            </w:pPr>
            <w:r>
              <w:t xml:space="preserve"> </w:t>
            </w:r>
          </w:p>
        </w:tc>
        <w:tc>
          <w:tcPr>
            <w:tcW w:w="1382" w:type="dxa"/>
          </w:tcPr>
          <w:p w14:paraId="203679EC">
            <w:pPr>
              <w:spacing w:after="400" w:line="400" w:lineRule="exact"/>
              <w:jc w:val="left"/>
            </w:pPr>
            <w:r>
              <w:t>Preventive Health &amp; Nutrition¹</w:t>
            </w:r>
          </w:p>
        </w:tc>
        <w:tc>
          <w:tcPr>
            <w:tcW w:w="1382" w:type="dxa"/>
          </w:tcPr>
          <w:p w14:paraId="713BCDBB">
            <w:pPr>
              <w:spacing w:after="400" w:line="400" w:lineRule="exact"/>
              <w:jc w:val="left"/>
            </w:pPr>
            <w:r>
              <w:t>¥12.0</w:t>
            </w:r>
          </w:p>
        </w:tc>
        <w:tc>
          <w:tcPr>
            <w:tcW w:w="1382" w:type="dxa"/>
          </w:tcPr>
          <w:p w14:paraId="208BE2CF">
            <w:pPr>
              <w:spacing w:after="400" w:line="400" w:lineRule="exact"/>
              <w:jc w:val="left"/>
            </w:pPr>
            <w:r>
              <w:t>¥16.0</w:t>
            </w:r>
          </w:p>
        </w:tc>
        <w:tc>
          <w:tcPr>
            <w:tcW w:w="1382" w:type="dxa"/>
          </w:tcPr>
          <w:p w14:paraId="666BC965">
            <w:pPr>
              <w:spacing w:after="400" w:line="400" w:lineRule="exact"/>
              <w:jc w:val="left"/>
            </w:pPr>
            <w:r>
              <w:t>2.9%</w:t>
            </w:r>
          </w:p>
        </w:tc>
        <w:tc>
          <w:tcPr>
            <w:tcW w:w="1382" w:type="dxa"/>
          </w:tcPr>
          <w:p w14:paraId="059E91E2">
            <w:pPr>
              <w:spacing w:after="400" w:line="400" w:lineRule="exact"/>
              <w:jc w:val="left"/>
            </w:pPr>
            <w:r>
              <w:t>Wellness trend; government push</w:t>
            </w:r>
          </w:p>
        </w:tc>
      </w:tr>
      <w:tr w14:paraId="3E49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CD4213C">
            <w:pPr>
              <w:spacing w:after="400" w:line="400" w:lineRule="exact"/>
              <w:jc w:val="left"/>
            </w:pPr>
            <w:r>
              <w:rPr>
                <w:b/>
              </w:rPr>
              <w:t>II. Age-Tech &amp; Digital</w:t>
            </w:r>
          </w:p>
        </w:tc>
        <w:tc>
          <w:tcPr>
            <w:tcW w:w="1382" w:type="dxa"/>
          </w:tcPr>
          <w:p w14:paraId="6909F84E">
            <w:pPr>
              <w:spacing w:after="400" w:line="400" w:lineRule="exact"/>
              <w:jc w:val="left"/>
            </w:pPr>
            <w:r>
              <w:rPr>
                <w:b/>
              </w:rPr>
              <w:t>TOTAL</w:t>
            </w:r>
          </w:p>
        </w:tc>
        <w:tc>
          <w:tcPr>
            <w:tcW w:w="1382" w:type="dxa"/>
          </w:tcPr>
          <w:p w14:paraId="4A6DA1B0">
            <w:pPr>
              <w:spacing w:after="400" w:line="400" w:lineRule="exact"/>
              <w:jc w:val="left"/>
            </w:pPr>
            <w:r>
              <w:rPr>
                <w:b/>
              </w:rPr>
              <w:t>¥5.5</w:t>
            </w:r>
          </w:p>
        </w:tc>
        <w:tc>
          <w:tcPr>
            <w:tcW w:w="1382" w:type="dxa"/>
          </w:tcPr>
          <w:p w14:paraId="51A6FDD3">
            <w:pPr>
              <w:spacing w:after="400" w:line="400" w:lineRule="exact"/>
              <w:jc w:val="left"/>
            </w:pPr>
            <w:r>
              <w:rPr>
                <w:b/>
              </w:rPr>
              <w:t>¥16.5</w:t>
            </w:r>
          </w:p>
        </w:tc>
        <w:tc>
          <w:tcPr>
            <w:tcW w:w="1382" w:type="dxa"/>
          </w:tcPr>
          <w:p w14:paraId="2A8D881B">
            <w:pPr>
              <w:spacing w:after="400" w:line="400" w:lineRule="exact"/>
              <w:jc w:val="left"/>
            </w:pPr>
            <w:r>
              <w:rPr>
                <w:b/>
              </w:rPr>
              <w:t>11.6%</w:t>
            </w:r>
          </w:p>
        </w:tc>
        <w:tc>
          <w:tcPr>
            <w:tcW w:w="1382" w:type="dxa"/>
          </w:tcPr>
          <w:p w14:paraId="25439656">
            <w:pPr>
              <w:spacing w:after="400" w:line="400" w:lineRule="exact"/>
              <w:jc w:val="left"/>
            </w:pPr>
            <w:r>
              <w:rPr>
                <w:b/>
              </w:rPr>
              <w:t>Disruption; efficiency needs</w:t>
            </w:r>
          </w:p>
        </w:tc>
      </w:tr>
      <w:tr w14:paraId="53A4A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FA002F1">
            <w:pPr>
              <w:spacing w:after="400" w:line="400" w:lineRule="exact"/>
              <w:jc w:val="left"/>
            </w:pPr>
            <w:r>
              <w:t xml:space="preserve"> </w:t>
            </w:r>
          </w:p>
        </w:tc>
        <w:tc>
          <w:tcPr>
            <w:tcW w:w="1382" w:type="dxa"/>
          </w:tcPr>
          <w:p w14:paraId="176C514F">
            <w:pPr>
              <w:spacing w:after="400" w:line="400" w:lineRule="exact"/>
              <w:jc w:val="left"/>
            </w:pPr>
            <w:r>
              <w:t>Telehealth &amp; AI Diagnostics</w:t>
            </w:r>
          </w:p>
        </w:tc>
        <w:tc>
          <w:tcPr>
            <w:tcW w:w="1382" w:type="dxa"/>
          </w:tcPr>
          <w:p w14:paraId="099F1567">
            <w:pPr>
              <w:spacing w:after="400" w:line="400" w:lineRule="exact"/>
              <w:jc w:val="left"/>
            </w:pPr>
            <w:r>
              <w:t>¥1.5</w:t>
            </w:r>
          </w:p>
        </w:tc>
        <w:tc>
          <w:tcPr>
            <w:tcW w:w="1382" w:type="dxa"/>
          </w:tcPr>
          <w:p w14:paraId="5B124EF8">
            <w:pPr>
              <w:spacing w:after="400" w:line="400" w:lineRule="exact"/>
              <w:jc w:val="left"/>
            </w:pPr>
            <w:r>
              <w:t>¥7.0</w:t>
            </w:r>
          </w:p>
        </w:tc>
        <w:tc>
          <w:tcPr>
            <w:tcW w:w="1382" w:type="dxa"/>
          </w:tcPr>
          <w:p w14:paraId="5EC8D2C2">
            <w:pPr>
              <w:spacing w:after="400" w:line="400" w:lineRule="exact"/>
              <w:jc w:val="left"/>
            </w:pPr>
            <w:r>
              <w:t>16.6%</w:t>
            </w:r>
          </w:p>
        </w:tc>
        <w:tc>
          <w:tcPr>
            <w:tcW w:w="1382" w:type="dxa"/>
          </w:tcPr>
          <w:p w14:paraId="25DC4488">
            <w:pPr>
              <w:spacing w:after="400" w:line="400" w:lineRule="exact"/>
              <w:jc w:val="left"/>
            </w:pPr>
            <w:r>
              <w:t>Doctor shortage; remote care demand</w:t>
            </w:r>
          </w:p>
        </w:tc>
      </w:tr>
      <w:tr w14:paraId="3C37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1E90DBD1">
            <w:pPr>
              <w:spacing w:after="400" w:line="400" w:lineRule="exact"/>
              <w:jc w:val="left"/>
            </w:pPr>
            <w:r>
              <w:t xml:space="preserve"> </w:t>
            </w:r>
          </w:p>
        </w:tc>
        <w:tc>
          <w:tcPr>
            <w:tcW w:w="1382" w:type="dxa"/>
          </w:tcPr>
          <w:p w14:paraId="4FFE9D6E">
            <w:pPr>
              <w:spacing w:after="400" w:line="400" w:lineRule="exact"/>
              <w:jc w:val="left"/>
            </w:pPr>
            <w:r>
              <w:t>Robotics &amp; Assistive Tech</w:t>
            </w:r>
          </w:p>
        </w:tc>
        <w:tc>
          <w:tcPr>
            <w:tcW w:w="1382" w:type="dxa"/>
          </w:tcPr>
          <w:p w14:paraId="28CFA22E">
            <w:pPr>
              <w:spacing w:after="400" w:line="400" w:lineRule="exact"/>
              <w:jc w:val="left"/>
            </w:pPr>
            <w:r>
              <w:t>¥1.0</w:t>
            </w:r>
          </w:p>
        </w:tc>
        <w:tc>
          <w:tcPr>
            <w:tcW w:w="1382" w:type="dxa"/>
          </w:tcPr>
          <w:p w14:paraId="263A72E5">
            <w:pPr>
              <w:spacing w:after="400" w:line="400" w:lineRule="exact"/>
              <w:jc w:val="left"/>
            </w:pPr>
            <w:r>
              <w:t>¥3.0</w:t>
            </w:r>
          </w:p>
        </w:tc>
        <w:tc>
          <w:tcPr>
            <w:tcW w:w="1382" w:type="dxa"/>
          </w:tcPr>
          <w:p w14:paraId="675FBDF5">
            <w:pPr>
              <w:spacing w:after="400" w:line="400" w:lineRule="exact"/>
              <w:jc w:val="left"/>
            </w:pPr>
            <w:r>
              <w:t>11.6%</w:t>
            </w:r>
          </w:p>
        </w:tc>
        <w:tc>
          <w:tcPr>
            <w:tcW w:w="1382" w:type="dxa"/>
          </w:tcPr>
          <w:p w14:paraId="5E86F11A">
            <w:pPr>
              <w:spacing w:after="400" w:line="400" w:lineRule="exact"/>
              <w:jc w:val="left"/>
            </w:pPr>
            <w:r>
              <w:t>Caregiver shortage; gov't support</w:t>
            </w:r>
          </w:p>
        </w:tc>
      </w:tr>
      <w:tr w14:paraId="2A03C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0C3326E">
            <w:pPr>
              <w:spacing w:after="400" w:line="400" w:lineRule="exact"/>
              <w:jc w:val="left"/>
            </w:pPr>
            <w:r>
              <w:t xml:space="preserve"> </w:t>
            </w:r>
          </w:p>
        </w:tc>
        <w:tc>
          <w:tcPr>
            <w:tcW w:w="1382" w:type="dxa"/>
          </w:tcPr>
          <w:p w14:paraId="46B978F5">
            <w:pPr>
              <w:spacing w:after="400" w:line="400" w:lineRule="exact"/>
              <w:jc w:val="left"/>
            </w:pPr>
            <w:r>
              <w:t>Senior FinTech</w:t>
            </w:r>
          </w:p>
        </w:tc>
        <w:tc>
          <w:tcPr>
            <w:tcW w:w="1382" w:type="dxa"/>
          </w:tcPr>
          <w:p w14:paraId="65F0DFEF">
            <w:pPr>
              <w:spacing w:after="400" w:line="400" w:lineRule="exact"/>
              <w:jc w:val="left"/>
            </w:pPr>
            <w:r>
              <w:t>¥3.0</w:t>
            </w:r>
          </w:p>
        </w:tc>
        <w:tc>
          <w:tcPr>
            <w:tcW w:w="1382" w:type="dxa"/>
          </w:tcPr>
          <w:p w14:paraId="74FFAB98">
            <w:pPr>
              <w:spacing w:after="400" w:line="400" w:lineRule="exact"/>
              <w:jc w:val="left"/>
            </w:pPr>
            <w:r>
              <w:t>¥6.5</w:t>
            </w:r>
          </w:p>
        </w:tc>
        <w:tc>
          <w:tcPr>
            <w:tcW w:w="1382" w:type="dxa"/>
          </w:tcPr>
          <w:p w14:paraId="53CCC0C7">
            <w:pPr>
              <w:spacing w:after="400" w:line="400" w:lineRule="exact"/>
              <w:jc w:val="left"/>
            </w:pPr>
            <w:r>
              <w:t>8.0%</w:t>
            </w:r>
          </w:p>
        </w:tc>
        <w:tc>
          <w:tcPr>
            <w:tcW w:w="1382" w:type="dxa"/>
          </w:tcPr>
          <w:p w14:paraId="4D0723AD">
            <w:pPr>
              <w:spacing w:after="400" w:line="400" w:lineRule="exact"/>
              <w:jc w:val="left"/>
            </w:pPr>
            <w:r>
              <w:t>Asset management; digital adoption</w:t>
            </w:r>
          </w:p>
        </w:tc>
      </w:tr>
      <w:tr w14:paraId="50FA8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529954E8">
            <w:pPr>
              <w:spacing w:after="400" w:line="400" w:lineRule="exact"/>
              <w:jc w:val="left"/>
            </w:pPr>
            <w:r>
              <w:rPr>
                <w:b/>
              </w:rPr>
              <w:t>III. Living &amp; Housing</w:t>
            </w:r>
          </w:p>
        </w:tc>
        <w:tc>
          <w:tcPr>
            <w:tcW w:w="1382" w:type="dxa"/>
          </w:tcPr>
          <w:p w14:paraId="0A22707E">
            <w:pPr>
              <w:spacing w:after="400" w:line="400" w:lineRule="exact"/>
              <w:jc w:val="left"/>
            </w:pPr>
            <w:r>
              <w:rPr>
                <w:b/>
              </w:rPr>
              <w:t>TOTAL</w:t>
            </w:r>
          </w:p>
        </w:tc>
        <w:tc>
          <w:tcPr>
            <w:tcW w:w="1382" w:type="dxa"/>
          </w:tcPr>
          <w:p w14:paraId="19318F80">
            <w:pPr>
              <w:spacing w:after="400" w:line="400" w:lineRule="exact"/>
              <w:jc w:val="left"/>
            </w:pPr>
            <w:r>
              <w:rPr>
                <w:b/>
              </w:rPr>
              <w:t>¥18.0</w:t>
            </w:r>
          </w:p>
        </w:tc>
        <w:tc>
          <w:tcPr>
            <w:tcW w:w="1382" w:type="dxa"/>
          </w:tcPr>
          <w:p w14:paraId="203D88EA">
            <w:pPr>
              <w:spacing w:after="400" w:line="400" w:lineRule="exact"/>
              <w:jc w:val="left"/>
            </w:pPr>
            <w:r>
              <w:rPr>
                <w:b/>
              </w:rPr>
              <w:t>¥24.0</w:t>
            </w:r>
          </w:p>
        </w:tc>
        <w:tc>
          <w:tcPr>
            <w:tcW w:w="1382" w:type="dxa"/>
          </w:tcPr>
          <w:p w14:paraId="0131A9B4">
            <w:pPr>
              <w:spacing w:after="400" w:line="400" w:lineRule="exact"/>
              <w:jc w:val="left"/>
            </w:pPr>
            <w:r>
              <w:rPr>
                <w:b/>
              </w:rPr>
              <w:t>2.9%</w:t>
            </w:r>
          </w:p>
        </w:tc>
        <w:tc>
          <w:tcPr>
            <w:tcW w:w="1382" w:type="dxa"/>
          </w:tcPr>
          <w:p w14:paraId="0BE0E2C8">
            <w:pPr>
              <w:spacing w:after="400" w:line="400" w:lineRule="exact"/>
              <w:jc w:val="left"/>
            </w:pPr>
            <w:r>
              <w:rPr>
                <w:b/>
              </w:rPr>
              <w:t>Aging in place; safety needs</w:t>
            </w:r>
          </w:p>
        </w:tc>
      </w:tr>
      <w:tr w14:paraId="3D2B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A141C7B">
            <w:pPr>
              <w:spacing w:after="400" w:line="400" w:lineRule="exact"/>
              <w:jc w:val="left"/>
            </w:pPr>
            <w:r>
              <w:t xml:space="preserve"> </w:t>
            </w:r>
          </w:p>
        </w:tc>
        <w:tc>
          <w:tcPr>
            <w:tcW w:w="1382" w:type="dxa"/>
          </w:tcPr>
          <w:p w14:paraId="55AD12D1">
            <w:pPr>
              <w:spacing w:after="400" w:line="400" w:lineRule="exact"/>
              <w:jc w:val="left"/>
            </w:pPr>
            <w:r>
              <w:t>Senior Housing &amp; Facilities</w:t>
            </w:r>
          </w:p>
        </w:tc>
        <w:tc>
          <w:tcPr>
            <w:tcW w:w="1382" w:type="dxa"/>
          </w:tcPr>
          <w:p w14:paraId="72DFADD4">
            <w:pPr>
              <w:spacing w:after="400" w:line="400" w:lineRule="exact"/>
              <w:jc w:val="left"/>
            </w:pPr>
            <w:r>
              <w:t>¥12.0</w:t>
            </w:r>
          </w:p>
        </w:tc>
        <w:tc>
          <w:tcPr>
            <w:tcW w:w="1382" w:type="dxa"/>
          </w:tcPr>
          <w:p w14:paraId="5DCC4C46">
            <w:pPr>
              <w:spacing w:after="400" w:line="400" w:lineRule="exact"/>
              <w:jc w:val="left"/>
            </w:pPr>
            <w:r>
              <w:t>¥16.0</w:t>
            </w:r>
          </w:p>
        </w:tc>
        <w:tc>
          <w:tcPr>
            <w:tcW w:w="1382" w:type="dxa"/>
          </w:tcPr>
          <w:p w14:paraId="72CE946B">
            <w:pPr>
              <w:spacing w:after="400" w:line="400" w:lineRule="exact"/>
              <w:jc w:val="left"/>
            </w:pPr>
            <w:r>
              <w:t>2.9%</w:t>
            </w:r>
          </w:p>
        </w:tc>
        <w:tc>
          <w:tcPr>
            <w:tcW w:w="1382" w:type="dxa"/>
          </w:tcPr>
          <w:p w14:paraId="5A2AC6D6">
            <w:pPr>
              <w:spacing w:after="400" w:line="400" w:lineRule="exact"/>
              <w:jc w:val="left"/>
            </w:pPr>
            <w:r>
              <w:t>Demand for specialized options</w:t>
            </w:r>
          </w:p>
        </w:tc>
      </w:tr>
      <w:tr w14:paraId="36E1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9105AAA">
            <w:pPr>
              <w:spacing w:after="400" w:line="400" w:lineRule="exact"/>
              <w:jc w:val="left"/>
            </w:pPr>
            <w:r>
              <w:t xml:space="preserve"> </w:t>
            </w:r>
          </w:p>
        </w:tc>
        <w:tc>
          <w:tcPr>
            <w:tcW w:w="1382" w:type="dxa"/>
          </w:tcPr>
          <w:p w14:paraId="6B00E99E">
            <w:pPr>
              <w:spacing w:after="400" w:line="400" w:lineRule="exact"/>
              <w:jc w:val="left"/>
            </w:pPr>
            <w:r>
              <w:t>Home Modification</w:t>
            </w:r>
          </w:p>
        </w:tc>
        <w:tc>
          <w:tcPr>
            <w:tcW w:w="1382" w:type="dxa"/>
          </w:tcPr>
          <w:p w14:paraId="5BF294AA">
            <w:pPr>
              <w:spacing w:after="400" w:line="400" w:lineRule="exact"/>
              <w:jc w:val="left"/>
            </w:pPr>
            <w:r>
              <w:t>¥6.0</w:t>
            </w:r>
          </w:p>
        </w:tc>
        <w:tc>
          <w:tcPr>
            <w:tcW w:w="1382" w:type="dxa"/>
          </w:tcPr>
          <w:p w14:paraId="1447D55B">
            <w:pPr>
              <w:spacing w:after="400" w:line="400" w:lineRule="exact"/>
              <w:jc w:val="left"/>
            </w:pPr>
            <w:r>
              <w:t>¥8.0</w:t>
            </w:r>
          </w:p>
        </w:tc>
        <w:tc>
          <w:tcPr>
            <w:tcW w:w="1382" w:type="dxa"/>
          </w:tcPr>
          <w:p w14:paraId="0D79DBC2">
            <w:pPr>
              <w:spacing w:after="400" w:line="400" w:lineRule="exact"/>
              <w:jc w:val="left"/>
            </w:pPr>
            <w:r>
              <w:t>2.9%</w:t>
            </w:r>
          </w:p>
        </w:tc>
        <w:tc>
          <w:tcPr>
            <w:tcW w:w="1382" w:type="dxa"/>
          </w:tcPr>
          <w:p w14:paraId="584B2816">
            <w:pPr>
              <w:spacing w:after="400" w:line="400" w:lineRule="exact"/>
              <w:jc w:val="left"/>
            </w:pPr>
            <w:r>
              <w:t>Government subsidies; independence</w:t>
            </w:r>
          </w:p>
        </w:tc>
      </w:tr>
      <w:tr w14:paraId="14CF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44704E5">
            <w:pPr>
              <w:spacing w:after="400" w:line="400" w:lineRule="exact"/>
              <w:jc w:val="left"/>
            </w:pPr>
            <w:r>
              <w:rPr>
                <w:b/>
              </w:rPr>
              <w:t>IV. Other Consumption</w:t>
            </w:r>
          </w:p>
        </w:tc>
        <w:tc>
          <w:tcPr>
            <w:tcW w:w="1382" w:type="dxa"/>
          </w:tcPr>
          <w:p w14:paraId="7789DC29">
            <w:pPr>
              <w:spacing w:after="400" w:line="400" w:lineRule="exact"/>
              <w:jc w:val="left"/>
            </w:pPr>
            <w:r>
              <w:rPr>
                <w:b/>
              </w:rPr>
              <w:t>TOTAL</w:t>
            </w:r>
          </w:p>
        </w:tc>
        <w:tc>
          <w:tcPr>
            <w:tcW w:w="1382" w:type="dxa"/>
          </w:tcPr>
          <w:p w14:paraId="3FD0B595">
            <w:pPr>
              <w:spacing w:after="400" w:line="400" w:lineRule="exact"/>
              <w:jc w:val="left"/>
            </w:pPr>
            <w:r>
              <w:rPr>
                <w:b/>
              </w:rPr>
              <w:t>¥42.0</w:t>
            </w:r>
          </w:p>
        </w:tc>
        <w:tc>
          <w:tcPr>
            <w:tcW w:w="1382" w:type="dxa"/>
          </w:tcPr>
          <w:p w14:paraId="1F8B8ED6">
            <w:pPr>
              <w:spacing w:after="400" w:line="400" w:lineRule="exact"/>
              <w:jc w:val="left"/>
            </w:pPr>
            <w:r>
              <w:rPr>
                <w:b/>
              </w:rPr>
              <w:t>¥48.0</w:t>
            </w:r>
          </w:p>
        </w:tc>
        <w:tc>
          <w:tcPr>
            <w:tcW w:w="1382" w:type="dxa"/>
          </w:tcPr>
          <w:p w14:paraId="5AB78FC0">
            <w:pPr>
              <w:spacing w:after="400" w:line="400" w:lineRule="exact"/>
              <w:jc w:val="left"/>
            </w:pPr>
            <w:r>
              <w:rPr>
                <w:b/>
              </w:rPr>
              <w:t>1.3%</w:t>
            </w:r>
          </w:p>
        </w:tc>
        <w:tc>
          <w:tcPr>
            <w:tcW w:w="1382" w:type="dxa"/>
          </w:tcPr>
          <w:p w14:paraId="0C053D56">
            <w:pPr>
              <w:spacing w:after="400" w:line="400" w:lineRule="exact"/>
              <w:jc w:val="left"/>
            </w:pPr>
            <w:r>
              <w:rPr>
                <w:b/>
              </w:rPr>
              <w:t>Mature markets; shifting prefs.</w:t>
            </w:r>
          </w:p>
        </w:tc>
      </w:tr>
      <w:tr w14:paraId="7B47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0D016297">
            <w:pPr>
              <w:spacing w:after="400" w:line="400" w:lineRule="exact"/>
              <w:jc w:val="left"/>
            </w:pPr>
            <w:r>
              <w:t xml:space="preserve"> </w:t>
            </w:r>
          </w:p>
        </w:tc>
        <w:tc>
          <w:tcPr>
            <w:tcW w:w="1382" w:type="dxa"/>
          </w:tcPr>
          <w:p w14:paraId="5535D209">
            <w:pPr>
              <w:spacing w:after="400" w:line="400" w:lineRule="exact"/>
              <w:jc w:val="left"/>
            </w:pPr>
            <w:r>
              <w:t>Food, Beverage &amp; Wellness Foods¹</w:t>
            </w:r>
          </w:p>
        </w:tc>
        <w:tc>
          <w:tcPr>
            <w:tcW w:w="1382" w:type="dxa"/>
          </w:tcPr>
          <w:p w14:paraId="5DC7A595">
            <w:pPr>
              <w:spacing w:after="400" w:line="400" w:lineRule="exact"/>
              <w:jc w:val="left"/>
            </w:pPr>
            <w:r>
              <w:t>¥20.0</w:t>
            </w:r>
          </w:p>
        </w:tc>
        <w:tc>
          <w:tcPr>
            <w:tcW w:w="1382" w:type="dxa"/>
          </w:tcPr>
          <w:p w14:paraId="7BF45086">
            <w:pPr>
              <w:spacing w:after="400" w:line="400" w:lineRule="exact"/>
              <w:jc w:val="left"/>
            </w:pPr>
            <w:r>
              <w:t>¥22.0</w:t>
            </w:r>
          </w:p>
        </w:tc>
        <w:tc>
          <w:tcPr>
            <w:tcW w:w="1382" w:type="dxa"/>
          </w:tcPr>
          <w:p w14:paraId="60B9F0B3">
            <w:pPr>
              <w:spacing w:after="400" w:line="400" w:lineRule="exact"/>
              <w:jc w:val="left"/>
            </w:pPr>
            <w:r>
              <w:t>1.0%</w:t>
            </w:r>
          </w:p>
        </w:tc>
        <w:tc>
          <w:tcPr>
            <w:tcW w:w="1382" w:type="dxa"/>
          </w:tcPr>
          <w:p w14:paraId="1F712D0F">
            <w:pPr>
              <w:spacing w:after="400" w:line="400" w:lineRule="exact"/>
              <w:jc w:val="left"/>
            </w:pPr>
            <w:r>
              <w:t>Functional foods; convenience</w:t>
            </w:r>
          </w:p>
        </w:tc>
      </w:tr>
      <w:tr w14:paraId="76967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64CA3366">
            <w:pPr>
              <w:spacing w:after="400" w:line="400" w:lineRule="exact"/>
              <w:jc w:val="left"/>
            </w:pPr>
            <w:r>
              <w:t xml:space="preserve"> </w:t>
            </w:r>
          </w:p>
        </w:tc>
        <w:tc>
          <w:tcPr>
            <w:tcW w:w="1382" w:type="dxa"/>
          </w:tcPr>
          <w:p w14:paraId="2819A0C6">
            <w:pPr>
              <w:spacing w:after="400" w:line="400" w:lineRule="exact"/>
              <w:jc w:val="left"/>
            </w:pPr>
            <w:r>
              <w:t>Leisure, Travel &amp; Culture</w:t>
            </w:r>
          </w:p>
        </w:tc>
        <w:tc>
          <w:tcPr>
            <w:tcW w:w="1382" w:type="dxa"/>
          </w:tcPr>
          <w:p w14:paraId="66C2C850">
            <w:pPr>
              <w:spacing w:after="400" w:line="400" w:lineRule="exact"/>
              <w:jc w:val="left"/>
            </w:pPr>
            <w:r>
              <w:t>¥10.0</w:t>
            </w:r>
          </w:p>
        </w:tc>
        <w:tc>
          <w:tcPr>
            <w:tcW w:w="1382" w:type="dxa"/>
          </w:tcPr>
          <w:p w14:paraId="3FA9EB4B">
            <w:pPr>
              <w:spacing w:after="400" w:line="400" w:lineRule="exact"/>
              <w:jc w:val="left"/>
            </w:pPr>
            <w:r>
              <w:t>¥12.0</w:t>
            </w:r>
          </w:p>
        </w:tc>
        <w:tc>
          <w:tcPr>
            <w:tcW w:w="1382" w:type="dxa"/>
          </w:tcPr>
          <w:p w14:paraId="28621C2A">
            <w:pPr>
              <w:spacing w:after="400" w:line="400" w:lineRule="exact"/>
              <w:jc w:val="left"/>
            </w:pPr>
            <w:r>
              <w:t>1.8%</w:t>
            </w:r>
          </w:p>
        </w:tc>
        <w:tc>
          <w:tcPr>
            <w:tcW w:w="1382" w:type="dxa"/>
          </w:tcPr>
          <w:p w14:paraId="5A680FB9">
            <w:pPr>
              <w:spacing w:after="400" w:line="400" w:lineRule="exact"/>
              <w:jc w:val="left"/>
            </w:pPr>
            <w:r>
              <w:t>"Active Senior" spending</w:t>
            </w:r>
          </w:p>
        </w:tc>
      </w:tr>
      <w:tr w14:paraId="6DA8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F09D07D">
            <w:pPr>
              <w:spacing w:after="400" w:line="400" w:lineRule="exact"/>
              <w:jc w:val="left"/>
            </w:pPr>
            <w:r>
              <w:t xml:space="preserve"> </w:t>
            </w:r>
          </w:p>
        </w:tc>
        <w:tc>
          <w:tcPr>
            <w:tcW w:w="1382" w:type="dxa"/>
          </w:tcPr>
          <w:p w14:paraId="79CAE3C0">
            <w:pPr>
              <w:spacing w:after="400" w:line="400" w:lineRule="exact"/>
              <w:jc w:val="left"/>
            </w:pPr>
            <w:r>
              <w:t>Personal Care &amp; Apparel</w:t>
            </w:r>
          </w:p>
        </w:tc>
        <w:tc>
          <w:tcPr>
            <w:tcW w:w="1382" w:type="dxa"/>
          </w:tcPr>
          <w:p w14:paraId="2B6D3B0A">
            <w:pPr>
              <w:spacing w:after="400" w:line="400" w:lineRule="exact"/>
              <w:jc w:val="left"/>
            </w:pPr>
            <w:r>
              <w:t>¥5.0</w:t>
            </w:r>
          </w:p>
        </w:tc>
        <w:tc>
          <w:tcPr>
            <w:tcW w:w="1382" w:type="dxa"/>
          </w:tcPr>
          <w:p w14:paraId="31F60D0B">
            <w:pPr>
              <w:spacing w:after="400" w:line="400" w:lineRule="exact"/>
              <w:jc w:val="left"/>
            </w:pPr>
            <w:r>
              <w:t>¥6.0</w:t>
            </w:r>
          </w:p>
        </w:tc>
        <w:tc>
          <w:tcPr>
            <w:tcW w:w="1382" w:type="dxa"/>
          </w:tcPr>
          <w:p w14:paraId="09782343">
            <w:pPr>
              <w:spacing w:after="400" w:line="400" w:lineRule="exact"/>
              <w:jc w:val="left"/>
            </w:pPr>
            <w:r>
              <w:t>1.8%</w:t>
            </w:r>
          </w:p>
        </w:tc>
        <w:tc>
          <w:tcPr>
            <w:tcW w:w="1382" w:type="dxa"/>
          </w:tcPr>
          <w:p w14:paraId="04B8F5B2">
            <w:pPr>
              <w:spacing w:after="400" w:line="400" w:lineRule="exact"/>
              <w:jc w:val="left"/>
            </w:pPr>
            <w:r>
              <w:t>Niche product development</w:t>
            </w:r>
          </w:p>
        </w:tc>
      </w:tr>
      <w:tr w14:paraId="7EB9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49AD5CE6">
            <w:pPr>
              <w:spacing w:after="400" w:line="400" w:lineRule="exact"/>
              <w:jc w:val="left"/>
            </w:pPr>
            <w:r>
              <w:t xml:space="preserve"> </w:t>
            </w:r>
          </w:p>
        </w:tc>
        <w:tc>
          <w:tcPr>
            <w:tcW w:w="1382" w:type="dxa"/>
          </w:tcPr>
          <w:p w14:paraId="376945D3">
            <w:pPr>
              <w:spacing w:after="400" w:line="400" w:lineRule="exact"/>
              <w:jc w:val="left"/>
            </w:pPr>
            <w:r>
              <w:t>Other Goods &amp; Services</w:t>
            </w:r>
          </w:p>
        </w:tc>
        <w:tc>
          <w:tcPr>
            <w:tcW w:w="1382" w:type="dxa"/>
          </w:tcPr>
          <w:p w14:paraId="3220DAD8">
            <w:pPr>
              <w:spacing w:after="400" w:line="400" w:lineRule="exact"/>
              <w:jc w:val="left"/>
            </w:pPr>
            <w:r>
              <w:t>¥7.0</w:t>
            </w:r>
          </w:p>
        </w:tc>
        <w:tc>
          <w:tcPr>
            <w:tcW w:w="1382" w:type="dxa"/>
          </w:tcPr>
          <w:p w14:paraId="029D454B">
            <w:pPr>
              <w:spacing w:after="400" w:line="400" w:lineRule="exact"/>
              <w:jc w:val="left"/>
            </w:pPr>
            <w:r>
              <w:t>¥8.0</w:t>
            </w:r>
          </w:p>
        </w:tc>
        <w:tc>
          <w:tcPr>
            <w:tcW w:w="1382" w:type="dxa"/>
          </w:tcPr>
          <w:p w14:paraId="791758EA">
            <w:pPr>
              <w:spacing w:after="400" w:line="400" w:lineRule="exact"/>
              <w:jc w:val="left"/>
            </w:pPr>
            <w:r>
              <w:t>1.3%</w:t>
            </w:r>
          </w:p>
        </w:tc>
        <w:tc>
          <w:tcPr>
            <w:tcW w:w="1382" w:type="dxa"/>
          </w:tcPr>
          <w:p w14:paraId="0BF3F3C2">
            <w:pPr>
              <w:spacing w:after="400" w:line="400" w:lineRule="exact"/>
              <w:jc w:val="left"/>
            </w:pPr>
            <w:r>
              <w:t>Miscellaneous spending</w:t>
            </w:r>
          </w:p>
        </w:tc>
      </w:tr>
      <w:tr w14:paraId="41B3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14:paraId="30B017B4">
            <w:pPr>
              <w:spacing w:after="400" w:line="400" w:lineRule="exact"/>
              <w:jc w:val="left"/>
            </w:pPr>
            <w:r>
              <w:rPr>
                <w:b/>
              </w:rPr>
              <w:t>GRAND TOTAL (EST.)</w:t>
            </w:r>
          </w:p>
        </w:tc>
        <w:tc>
          <w:tcPr>
            <w:tcW w:w="1382" w:type="dxa"/>
          </w:tcPr>
          <w:p w14:paraId="1D70150E">
            <w:pPr>
              <w:spacing w:after="400" w:line="400" w:lineRule="exact"/>
              <w:jc w:val="left"/>
            </w:pPr>
            <w:r>
              <w:t xml:space="preserve"> </w:t>
            </w:r>
          </w:p>
        </w:tc>
        <w:tc>
          <w:tcPr>
            <w:tcW w:w="1382" w:type="dxa"/>
          </w:tcPr>
          <w:p w14:paraId="0DBEEDCB">
            <w:pPr>
              <w:spacing w:after="400" w:line="400" w:lineRule="exact"/>
              <w:jc w:val="left"/>
            </w:pPr>
            <w:r>
              <w:rPr>
                <w:b/>
              </w:rPr>
              <w:t>¥110.5</w:t>
            </w:r>
          </w:p>
        </w:tc>
        <w:tc>
          <w:tcPr>
            <w:tcW w:w="1382" w:type="dxa"/>
          </w:tcPr>
          <w:p w14:paraId="3DE62AB7">
            <w:pPr>
              <w:spacing w:after="400" w:line="400" w:lineRule="exact"/>
              <w:jc w:val="left"/>
            </w:pPr>
            <w:r>
              <w:rPr>
                <w:b/>
              </w:rPr>
              <w:t>¥154.0</w:t>
            </w:r>
          </w:p>
        </w:tc>
        <w:tc>
          <w:tcPr>
            <w:tcW w:w="1382" w:type="dxa"/>
          </w:tcPr>
          <w:p w14:paraId="1DACE17E">
            <w:pPr>
              <w:spacing w:after="400" w:line="400" w:lineRule="exact"/>
              <w:jc w:val="left"/>
            </w:pPr>
            <w:r>
              <w:rPr>
                <w:b/>
              </w:rPr>
              <w:t>3.4% (Period)</w:t>
            </w:r>
          </w:p>
        </w:tc>
        <w:tc>
          <w:tcPr>
            <w:tcW w:w="1382" w:type="dxa"/>
          </w:tcPr>
          <w:p w14:paraId="465C69A2">
            <w:pPr>
              <w:spacing w:after="400" w:line="400" w:lineRule="exact"/>
              <w:jc w:val="left"/>
            </w:pPr>
            <w:r>
              <w:t xml:space="preserve"> </w:t>
            </w:r>
          </w:p>
        </w:tc>
      </w:tr>
    </w:tbl>
    <w:p w14:paraId="6BE92AC9">
      <w:pPr>
        <w:spacing w:before="400" w:after="400" w:line="400" w:lineRule="atLeast"/>
      </w:pPr>
      <w:r>
        <w:rPr>
          <w:i/>
        </w:rPr>
        <w:t>Source: Internal analysis synthesizing industry reports and government data.</w:t>
      </w:r>
    </w:p>
    <w:p w14:paraId="78648491">
      <w:pPr>
        <w:spacing w:after="400" w:line="400" w:lineRule="atLeast"/>
      </w:pPr>
      <w:r>
        <w:rPr>
          <w:i/>
        </w:rPr>
        <w:t>¹Note: The "Preventive Health &amp; Nutrition" and "Food, Beverage &amp; Wellness Foods" categories contain overlapping product segments, such as functional health foods and nutritional supplements. This is a known issue in market segmentation, where products serve both a medical/preventive and a general consumption purpose. The figures presented are top-line estimates for each category and should be interpreted with this overlap in mind.</w:t>
      </w:r>
    </w:p>
    <w:p w14:paraId="20E6ECC5">
      <w:pPr>
        <w:spacing w:after="400" w:line="400" w:lineRule="atLeast"/>
      </w:pPr>
      <w:r>
        <w:rPr>
          <w:b/>
          <w:sz w:val="26"/>
        </w:rPr>
        <w:t>E. Synthesis: Opportunity Assessment vs. Market Entry Barriers</w:t>
      </w:r>
    </w:p>
    <w:p w14:paraId="4D3F4FB8">
      <w:pPr>
        <w:numPr>
          <w:ilvl w:val="-1"/>
          <w:numId w:val="3"/>
        </w:numPr>
        <w:spacing w:after="400" w:line="400" w:lineRule="atLeast"/>
      </w:pPr>
      <w:r>
        <w:rPr>
          <w:b/>
        </w:rPr>
        <w:t>Potential Advantages:</w:t>
      </w:r>
      <w:r>
        <w:t xml:space="preserve"> The sheer scale and predictability of the demographic trends create a uniquely stable and long-term market. The non-discretionary nature of core segments like healthcare and LTC provides a defensive moat against economic downturns. Furthermore, the Japanese government is actively promoting innovation and private sector participation in the Silver Economy, offering subsidies and a supportive regulatory framework for sectors like robotics and telehealth.</w:t>
      </w:r>
    </w:p>
    <w:p w14:paraId="78E391FD">
      <w:pPr>
        <w:numPr>
          <w:ilvl w:val="-1"/>
          <w:numId w:val="3"/>
        </w:numPr>
        <w:spacing w:after="400" w:line="400" w:lineRule="atLeast"/>
      </w:pPr>
      <w:r>
        <w:rPr>
          <w:b/>
        </w:rPr>
        <w:t>Inherent Limitations/Constraints:</w:t>
      </w:r>
      <w:r>
        <w:t xml:space="preserve"> The market is not without significant challenges. A shrinking workforce, particularly in caregiving roles, poses a critical operational constraint. The market is also highly regulated, especially in healthcare and finance, requiring deep local knowledge to navigate. Furthermore, the "senior" consumer is not a monolith; deep cultural understanding is needed to avoid product and marketing strategies that rely on stereotypes, which are often rejected by the target demographic. Finally, while "Age-Tech" holds immense promise, adoption rates can be slower than anticipated due to issues of digital literacy, trust, and usability design.</w:t>
      </w:r>
    </w:p>
    <w:p w14:paraId="41B3DAC5">
      <w:pPr>
        <w:spacing w:after="400" w:line="400" w:lineRule="atLeast"/>
      </w:pPr>
      <w:r>
        <w:rPr>
          <w:b/>
          <w:sz w:val="30"/>
        </w:rPr>
        <w:t>IV. Socio-Economic Implications &amp; Policy Landscape</w:t>
      </w:r>
    </w:p>
    <w:p w14:paraId="34CDCEB4">
      <w:pPr>
        <w:spacing w:after="400" w:line="400" w:lineRule="atLeast"/>
      </w:pPr>
      <w:r>
        <w:t>The rise of the Silver Economy does not occur in a vacuum. It is intrinsically linked to broader shifts in Japan's economy, labor force, and national strategy.</w:t>
      </w:r>
    </w:p>
    <w:p w14:paraId="22593191">
      <w:pPr>
        <w:spacing w:after="400" w:line="400" w:lineRule="atLeast"/>
      </w:pPr>
      <w:r>
        <w:rPr>
          <w:b/>
          <w:sz w:val="26"/>
        </w:rPr>
        <w:t>A. The Shifting Labor Force &amp; the "Longevity Dividend"</w:t>
      </w:r>
    </w:p>
    <w:p w14:paraId="76035149">
      <w:pPr>
        <w:spacing w:after="400" w:line="400" w:lineRule="atLeast"/>
      </w:pPr>
      <w:r>
        <w:t>The decline of the 15-64 working-age population is one of the most significant constraints on Japan's future economic growth. This has led to a re-evaluation of the role of older adults in the workforce.</w:t>
      </w:r>
    </w:p>
    <w:p w14:paraId="37F24B6D">
      <w:pPr>
        <w:numPr>
          <w:ilvl w:val="-1"/>
          <w:numId w:val="3"/>
        </w:numPr>
        <w:spacing w:after="400" w:line="400" w:lineRule="atLeast"/>
      </w:pPr>
      <w:r>
        <w:rPr>
          <w:b/>
        </w:rPr>
        <w:t>Potential Advantages:</w:t>
      </w:r>
      <w:r>
        <w:t xml:space="preserve"> Keeping healthy, experienced seniors in the workforce, even part-time, can alleviate labor shortages, support GDP, and reduce the pension burden. This is the core of the "longevity dividend." Many companies are abolishing mandatory retirement ages and creating flexible roles for older workers. According to 2024 data from the Statistics Bureau, the employment rate of those aged 65-69 is at a record high, demonstrating a clear trend [[26]].</w:t>
      </w:r>
    </w:p>
    <w:p w14:paraId="728DEB19">
      <w:pPr>
        <w:numPr>
          <w:ilvl w:val="-1"/>
          <w:numId w:val="3"/>
        </w:numPr>
        <w:spacing w:after="400" w:line="400" w:lineRule="atLeast"/>
      </w:pPr>
      <w:r>
        <w:rPr>
          <w:b/>
        </w:rPr>
        <w:t>Inherent Limitations/Constraints:</w:t>
      </w:r>
      <w:r>
        <w:t xml:space="preserve"> There are challenges in reskilling and upskilling older workers for a digital economy. Ageism can persist in corporate cultures, and there is a mismatch between the jobs available and the roles seniors wish to fill. Ensuring that work is productive and not merely a means to supplement inadequate pensions is a key policy challenge.</w:t>
      </w:r>
    </w:p>
    <w:p w14:paraId="2F25D824">
      <w:pPr>
        <w:spacing w:after="400" w:line="400" w:lineRule="atLeast"/>
      </w:pPr>
      <w:r>
        <w:rPr>
          <w:b/>
          <w:sz w:val="26"/>
        </w:rPr>
        <w:t>B. Pension &amp; Social Security System Sustainability Challenges</w:t>
      </w:r>
    </w:p>
    <w:p w14:paraId="7CC57671">
      <w:pPr>
        <w:spacing w:after="400" w:line="400" w:lineRule="atLeast"/>
      </w:pPr>
      <w:r>
        <w:t>The sustainability of Japan's public finances is inextricably tied to its demographic structure. The old-age dependency ratio is rising to unsustainable levels, meaning fewer workers are supporting a larger number of retirees.</w:t>
      </w:r>
    </w:p>
    <w:p w14:paraId="1FA6A1C3">
      <w:pPr>
        <w:numPr>
          <w:ilvl w:val="-1"/>
          <w:numId w:val="3"/>
        </w:numPr>
        <w:spacing w:after="400" w:line="400" w:lineRule="atLeast"/>
      </w:pPr>
      <w:r>
        <w:rPr>
          <w:b/>
        </w:rPr>
        <w:t>Potential Advantages:</w:t>
      </w:r>
      <w:r>
        <w:t xml:space="preserve"> This fiscal pressure is a powerful catalyst for innovation. It forces the government to seek efficiency gains, promoting cost-saving technologies like telehealth and preventive medicine. It also encourages policies that support the Silver Economy as a new source of tax revenue and economic growth.</w:t>
      </w:r>
    </w:p>
    <w:p w14:paraId="7BA52DB1">
      <w:pPr>
        <w:numPr>
          <w:ilvl w:val="-1"/>
          <w:numId w:val="3"/>
        </w:numPr>
        <w:spacing w:after="400" w:line="400" w:lineRule="atLeast"/>
      </w:pPr>
      <w:r>
        <w:rPr>
          <w:b/>
        </w:rPr>
        <w:t>Inherent Limitations/Constraints:</w:t>
      </w:r>
      <w:r>
        <w:t xml:space="preserve"> The political will to enact necessary but unpopular reforms—such as raising the pension eligibility age, increasing contributions, or reducing benefits—is often limited. Without structural reform, the system faces a long-term solvency crisis, which could dampen consumer confidence and create intergenerational tension.</w:t>
      </w:r>
    </w:p>
    <w:p w14:paraId="6E4A2AE5">
      <w:pPr>
        <w:spacing w:after="400" w:line="400" w:lineRule="atLeast"/>
      </w:pPr>
      <w:r>
        <w:rPr>
          <w:b/>
          <w:sz w:val="26"/>
        </w:rPr>
        <w:t>C. The Role of Government Policy: The "Society 5.0" Vision</w:t>
      </w:r>
    </w:p>
    <w:p w14:paraId="48B6AC01">
      <w:pPr>
        <w:spacing w:after="400" w:line="400" w:lineRule="atLeast"/>
      </w:pPr>
      <w:r>
        <w:t>The Japanese government is not a passive observer of these trends. It has articulated a forward-looking national strategy known as "Society 5.0," which directly addresses the challenges of an aging population.</w:t>
      </w:r>
    </w:p>
    <w:p w14:paraId="478331E5">
      <w:pPr>
        <w:numPr>
          <w:ilvl w:val="-1"/>
          <w:numId w:val="3"/>
        </w:numPr>
        <w:spacing w:after="400" w:line="400" w:lineRule="atLeast"/>
      </w:pPr>
      <w:r>
        <w:rPr>
          <w:b/>
        </w:rPr>
        <w:t>Strategic Linkage:</w:t>
      </w:r>
      <w:r>
        <w:t xml:space="preserve"> Society 5.0, as promoted by the Cabinet Office [[27]], envisions a "super-smart society" where cyberspace and physical space are highly integrated. In the context of aging, this means leveraging IoT, AI, big data, and robotics to create a society where all citizens, regardless of age or ability, can lead active and comfortable lives. The Silver Economy is, in effect, the primary testing ground and beneficiary of the Society 5.0 vision. Investments in Age-Tech, smart homes, and autonomous mobility solutions are all direct manifestations of this national strategy. This provides a powerful top-down policy tailwind for companies operating in these sectors.</w:t>
      </w:r>
    </w:p>
    <w:p w14:paraId="37A03B38">
      <w:pPr>
        <w:spacing w:after="400" w:line="400" w:lineRule="atLeast"/>
      </w:pPr>
      <w:r>
        <w:rPr>
          <w:b/>
          <w:sz w:val="30"/>
        </w:rPr>
        <w:t>V. Strategic Recommendations &amp; Future Outlook</w:t>
      </w:r>
    </w:p>
    <w:p w14:paraId="1EA28A92">
      <w:pPr>
        <w:spacing w:after="400" w:line="400" w:lineRule="atLeast"/>
      </w:pPr>
      <w:r>
        <w:t>Based on the foregoing analysis, this report offers strategic recommendations for private and public sector stakeholders seeking to navigate the future of Japan's Silver Economy.</w:t>
      </w:r>
    </w:p>
    <w:p w14:paraId="4B50395E">
      <w:pPr>
        <w:spacing w:after="400" w:line="400" w:lineRule="atLeast"/>
      </w:pPr>
      <w:r>
        <w:rPr>
          <w:b/>
          <w:sz w:val="26"/>
        </w:rPr>
        <w:t>A. For Private Sector Stakeholders</w:t>
      </w:r>
    </w:p>
    <w:p w14:paraId="31CFEF01">
      <w:pPr>
        <w:numPr>
          <w:ilvl w:val="0"/>
          <w:numId w:val="5"/>
        </w:numPr>
        <w:spacing w:after="400" w:line="400" w:lineRule="atLeast"/>
      </w:pPr>
      <w:r>
        <w:rPr>
          <w:b/>
        </w:rPr>
        <w:t>Product &amp; Service Innovation: From "For the Elderly" to "With the Elderly"</w:t>
      </w:r>
    </w:p>
    <w:p w14:paraId="5926C9AE">
      <w:pPr>
        <w:numPr>
          <w:ilvl w:val="0"/>
          <w:numId w:val="3"/>
        </w:numPr>
        <w:spacing w:after="400" w:line="400" w:lineRule="atLeast"/>
      </w:pPr>
      <w:r>
        <w:rPr>
          <w:b/>
        </w:rPr>
        <w:t>Recommendation:</w:t>
      </w:r>
      <w:r>
        <w:t xml:space="preserve"> Shift product development from a paternalistic model of creating things </w:t>
      </w:r>
      <w:r>
        <w:rPr>
          <w:i/>
        </w:rPr>
        <w:t>for</w:t>
      </w:r>
      <w:r>
        <w:t xml:space="preserve"> a stereotyped "senior" to a co-creative model that involves the target demographic in the design process. Focus on universal design principles that benefit users of all ages, rather than stigmatizing "elderly" products.</w:t>
      </w:r>
    </w:p>
    <w:p w14:paraId="0AC21B93">
      <w:pPr>
        <w:numPr>
          <w:ilvl w:val="0"/>
          <w:numId w:val="3"/>
        </w:numPr>
        <w:spacing w:after="400" w:line="400" w:lineRule="atLeast"/>
      </w:pPr>
      <w:r>
        <w:rPr>
          <w:b/>
        </w:rPr>
        <w:t>Rationale:</w:t>
      </w:r>
      <w:r>
        <w:t xml:space="preserve"> Future cohorts of seniors will be more educated, digitally savvy, and demanding of quality and aesthetics. Success will come from products that empower, enable, and delight, not just assist.</w:t>
      </w:r>
    </w:p>
    <w:p w14:paraId="415B3814">
      <w:pPr>
        <w:numPr>
          <w:ilvl w:val="0"/>
          <w:numId w:val="5"/>
        </w:numPr>
        <w:spacing w:after="400" w:line="400" w:lineRule="atLeast"/>
      </w:pPr>
      <w:r>
        <w:rPr>
          <w:b/>
        </w:rPr>
        <w:t>Channel Strategy: Omni-channel Engagement</w:t>
      </w:r>
    </w:p>
    <w:p w14:paraId="24A12076">
      <w:pPr>
        <w:numPr>
          <w:ilvl w:val="0"/>
          <w:numId w:val="3"/>
        </w:numPr>
        <w:spacing w:after="400" w:line="400" w:lineRule="atLeast"/>
      </w:pPr>
      <w:r>
        <w:rPr>
          <w:b/>
        </w:rPr>
        <w:t>Recommendation:</w:t>
      </w:r>
      <w:r>
        <w:t xml:space="preserve"> Develop a hybrid distribution and communication strategy that combines traditional channels (in-person sales, print media) with robust digital platforms. Invest in user interfaces that are simple, intuitive, and secure for older users.</w:t>
      </w:r>
    </w:p>
    <w:p w14:paraId="2260029A">
      <w:pPr>
        <w:numPr>
          <w:ilvl w:val="0"/>
          <w:numId w:val="3"/>
        </w:numPr>
        <w:spacing w:after="400" w:line="400" w:lineRule="atLeast"/>
      </w:pPr>
      <w:r>
        <w:rPr>
          <w:b/>
        </w:rPr>
        <w:t>Rationale:</w:t>
      </w:r>
      <w:r>
        <w:t xml:space="preserve"> While digital adoption is rising, a significant portion of the "High-Need Seniors" cohort will continue to rely on traditional channels. An omni-channel approach is necessary to reach the entire spectrum of the market.</w:t>
      </w:r>
    </w:p>
    <w:p w14:paraId="6C09F988">
      <w:pPr>
        <w:numPr>
          <w:ilvl w:val="0"/>
          <w:numId w:val="5"/>
        </w:numPr>
        <w:spacing w:after="400" w:line="400" w:lineRule="atLeast"/>
      </w:pPr>
      <w:r>
        <w:rPr>
          <w:b/>
        </w:rPr>
        <w:t>Investment Thesis: Targeting High-CAGR Sub-Sectors</w:t>
      </w:r>
    </w:p>
    <w:p w14:paraId="410472E2">
      <w:pPr>
        <w:numPr>
          <w:ilvl w:val="0"/>
          <w:numId w:val="3"/>
        </w:numPr>
        <w:spacing w:after="400" w:line="400" w:lineRule="atLeast"/>
      </w:pPr>
      <w:r>
        <w:rPr>
          <w:b/>
        </w:rPr>
        <w:t>Recommendation:</w:t>
      </w:r>
      <w:r>
        <w:t xml:space="preserve"> Prioritize investment and M&amp;A activity in the high-CAGR sub-sectors identified in this report, namely AI-driven healthcare, assistive technologies, and senior-focused FinTech.</w:t>
      </w:r>
    </w:p>
    <w:p w14:paraId="5E778963">
      <w:pPr>
        <w:numPr>
          <w:ilvl w:val="0"/>
          <w:numId w:val="3"/>
        </w:numPr>
        <w:spacing w:after="400" w:line="400" w:lineRule="atLeast"/>
      </w:pPr>
      <w:r>
        <w:rPr>
          <w:b/>
        </w:rPr>
        <w:t>Rationale:</w:t>
      </w:r>
      <w:r>
        <w:t xml:space="preserve"> While mature markets offer scale, these emerging sectors offer the potential for exponential growth and the ability to build a defensible market leadership position, supported by strong policy tailwinds from initiatives like Society 5.0.</w:t>
      </w:r>
    </w:p>
    <w:p w14:paraId="13C6E063">
      <w:pPr>
        <w:spacing w:after="400" w:line="400" w:lineRule="atLeast"/>
      </w:pPr>
      <w:r>
        <w:rPr>
          <w:b/>
          <w:sz w:val="26"/>
        </w:rPr>
        <w:t>B. For Policymakers</w:t>
      </w:r>
    </w:p>
    <w:p w14:paraId="644CC916">
      <w:pPr>
        <w:numPr>
          <w:ilvl w:val="0"/>
          <w:numId w:val="6"/>
        </w:numPr>
        <w:spacing w:after="400" w:line="400" w:lineRule="atLeast"/>
      </w:pPr>
      <w:r>
        <w:rPr>
          <w:b/>
        </w:rPr>
        <w:t>Fostering a Supportive Ecosystem for the Silver Economy</w:t>
      </w:r>
    </w:p>
    <w:p w14:paraId="64E79EEB">
      <w:pPr>
        <w:numPr>
          <w:ilvl w:val="0"/>
          <w:numId w:val="3"/>
        </w:numPr>
        <w:spacing w:after="400" w:line="400" w:lineRule="atLeast"/>
      </w:pPr>
      <w:r>
        <w:rPr>
          <w:b/>
        </w:rPr>
        <w:t>Recommendation:</w:t>
      </w:r>
      <w:r>
        <w:t xml:space="preserve"> Continue to use a combination of subsidies, deregulation (e.g., for telehealth), and public-private partnerships to de-risk private investment in key Age-Tech sectors. Focus on creating "Living Labs" where new technologies can be tested and refined in real-world environments.</w:t>
      </w:r>
    </w:p>
    <w:p w14:paraId="345F41F3">
      <w:pPr>
        <w:numPr>
          <w:ilvl w:val="0"/>
          <w:numId w:val="3"/>
        </w:numPr>
        <w:spacing w:after="400" w:line="400" w:lineRule="atLeast"/>
      </w:pPr>
      <w:r>
        <w:rPr>
          <w:b/>
        </w:rPr>
        <w:t>Rationale:</w:t>
      </w:r>
      <w:r>
        <w:t xml:space="preserve"> Government support is critical to overcoming the high initial R&amp;D costs and adoption barriers associated with new technologies, thereby accelerating the development of solutions to pressing societal needs.</w:t>
      </w:r>
    </w:p>
    <w:p w14:paraId="238CF0F0">
      <w:pPr>
        <w:numPr>
          <w:ilvl w:val="0"/>
          <w:numId w:val="6"/>
        </w:numPr>
        <w:spacing w:after="400" w:line="400" w:lineRule="atLeast"/>
      </w:pPr>
      <w:r>
        <w:rPr>
          <w:b/>
        </w:rPr>
        <w:t>Integrating Silver Economy Growth with Sustainable Development Goals (SDGs)</w:t>
      </w:r>
    </w:p>
    <w:p w14:paraId="4B051354">
      <w:pPr>
        <w:numPr>
          <w:ilvl w:val="0"/>
          <w:numId w:val="3"/>
        </w:numPr>
        <w:spacing w:after="400" w:line="400" w:lineRule="atLeast"/>
      </w:pPr>
      <w:r>
        <w:rPr>
          <w:b/>
        </w:rPr>
        <w:t>Recommendation:</w:t>
      </w:r>
      <w:r>
        <w:t xml:space="preserve"> Explicitly frame policies for the Silver Economy within the context of the UN's SDGs. For example, link investment in senior-friendly housing to SDG 11 (Sustainable Cities) and support for preventive health to SDG 3 (Good Health and Well-being).</w:t>
      </w:r>
    </w:p>
    <w:p w14:paraId="25A77565">
      <w:pPr>
        <w:numPr>
          <w:ilvl w:val="0"/>
          <w:numId w:val="3"/>
        </w:numPr>
        <w:spacing w:after="400" w:line="400" w:lineRule="atLeast"/>
      </w:pPr>
      <w:r>
        <w:rPr>
          <w:b/>
        </w:rPr>
        <w:t>Rationale:</w:t>
      </w:r>
      <w:r>
        <w:t xml:space="preserve"> This strategic elevation connects domestic policy to global imperatives, potentially attracting ESG-focused international investment and enhancing Japan's global leadership in sustainable aging. It reframes the aging challenge as an opportunity to build a more inclusive, equitable, and sustainable society.</w:t>
      </w:r>
    </w:p>
    <w:p w14:paraId="34FB9C37">
      <w:pPr>
        <w:spacing w:after="400" w:line="400" w:lineRule="atLeast"/>
      </w:pPr>
      <w:r>
        <w:rPr>
          <w:b/>
          <w:sz w:val="26"/>
        </w:rPr>
        <w:t>C. Concluding Remarks: Navigating the Complexities of Japan's Super-Aging Future</w:t>
      </w:r>
    </w:p>
    <w:p w14:paraId="30D45411">
      <w:pPr>
        <w:spacing w:after="400" w:line="400" w:lineRule="atLeast"/>
      </w:pPr>
      <w:r>
        <w:t>The demographic trajectory of Japan is set. By 2050, it will be a nation profoundly shaped by the presence, needs, and economic activity of its senior population. This transformation, often portrayed as a crisis, is more accurately understood as a complex and challenging restructuring that brings with it a historic market opportunity. The ¥175 trillion Silver Economy will not be a monolith but a highly segmented, dynamic, and evolving landscape. Success will not be achieved through simplistic strategies but through a deep, empathetic understanding of the diverse cohorts within the senior demographic, a commitment to human-centric technological innovation, and a collaborative approach between the private and public sectors. Japan's journey as a super-aging pioneer will serve as a blueprint for other nations that will soon follow on this same path. The strategies forged in the Japanese market over the next decade will therefore have global relevance, making the Silver Economy not just a domestic imperative, but a global one.</w:t>
      </w:r>
    </w:p>
    <w:p w14:paraId="3AE666AE">
      <w:pPr>
        <w:pStyle w:val="3"/>
        <w:spacing w:after="400" w:line="400" w:lineRule="atLeast"/>
      </w:pPr>
      <w:r>
        <w:t>文献来源</w:t>
      </w:r>
    </w:p>
    <w:p w14:paraId="44AA36A8">
      <w:pPr>
        <w:spacing w:after="200" w:line="400" w:lineRule="atLeast"/>
      </w:pPr>
      <w:r>
        <w:fldChar w:fldCharType="begin"/>
      </w:r>
      <w:r>
        <w:instrText xml:space="preserve"> HYPERLINK "https://doi.org/10.1371/journal.pone.0139639" \h </w:instrText>
      </w:r>
      <w:r>
        <w:fldChar w:fldCharType="separate"/>
      </w:r>
      <w:r>
        <w:rPr>
          <w:rStyle w:val="13"/>
          <w:color w:val="0563C1"/>
        </w:rPr>
        <w:t>[20,26]. The State of Health in Older Adults in Japan: Trends in Disability, Chronic Medical Conditions and Mortality</w:t>
      </w:r>
      <w:r>
        <w:rPr>
          <w:rStyle w:val="13"/>
          <w:color w:val="0563C1"/>
        </w:rPr>
        <w:fldChar w:fldCharType="end"/>
      </w:r>
    </w:p>
    <w:p w14:paraId="039D9E8F">
      <w:pPr>
        <w:spacing w:after="200" w:line="400" w:lineRule="atLeast"/>
      </w:pPr>
      <w:r>
        <w:fldChar w:fldCharType="begin"/>
      </w:r>
      <w:r>
        <w:instrText xml:space="preserve"> HYPERLINK "https://doi.org/10.3390/healthcare8040443" \h </w:instrText>
      </w:r>
      <w:r>
        <w:fldChar w:fldCharType="separate"/>
      </w:r>
      <w:r>
        <w:rPr>
          <w:rStyle w:val="13"/>
          <w:color w:val="0563C1"/>
        </w:rPr>
        <w:t>[27,92,110]. Changes and Variations in Death Due to Senility in Japan</w:t>
      </w:r>
      <w:r>
        <w:rPr>
          <w:rStyle w:val="13"/>
          <w:color w:val="0563C1"/>
        </w:rPr>
        <w:fldChar w:fldCharType="end"/>
      </w:r>
    </w:p>
    <w:p w14:paraId="27BB02DC">
      <w:pPr>
        <w:pStyle w:val="3"/>
        <w:spacing w:after="400" w:line="400" w:lineRule="atLeast"/>
      </w:pPr>
      <w:r>
        <w:t>其他来源</w:t>
      </w:r>
    </w:p>
    <w:p w14:paraId="7DE2D874">
      <w:pPr>
        <w:spacing w:after="200" w:line="400" w:lineRule="atLeast"/>
      </w:pPr>
      <w:r>
        <w:fldChar w:fldCharType="begin"/>
      </w:r>
      <w:r>
        <w:instrText xml:space="preserve"> HYPERLINK "https://www.city.hamamatsu.shizuoka.jp/documents/13614/r7koureisyahukusinosiori-1.pdf" \h </w:instrText>
      </w:r>
      <w:r>
        <w:fldChar w:fldCharType="separate"/>
      </w:r>
      <w:r>
        <w:rPr>
          <w:rStyle w:val="13"/>
          <w:color w:val="0563C1"/>
        </w:rPr>
        <w:t>[1,98]. 高齢者福祉のしおり</w:t>
      </w:r>
      <w:r>
        <w:rPr>
          <w:rStyle w:val="13"/>
          <w:color w:val="0563C1"/>
        </w:rPr>
        <w:fldChar w:fldCharType="end"/>
      </w:r>
    </w:p>
    <w:p w14:paraId="349F9632">
      <w:pPr>
        <w:spacing w:after="200" w:line="400" w:lineRule="atLeast"/>
      </w:pPr>
      <w:r>
        <w:fldChar w:fldCharType="begin"/>
      </w:r>
      <w:r>
        <w:instrText xml:space="preserve"> HYPERLINK "https://www.ipss.go.jp/syoushika/bunken/data/pdf/jinkokenshiryo350.pdf" \h </w:instrText>
      </w:r>
      <w:r>
        <w:fldChar w:fldCharType="separate"/>
      </w:r>
      <w:r>
        <w:rPr>
          <w:rStyle w:val="13"/>
          <w:color w:val="0563C1"/>
        </w:rPr>
        <w:t>[2,84,87,94,96]. 人口統計資料集 LATEST DEMOGRAPHIC STATISTICS 2025</w:t>
      </w:r>
      <w:r>
        <w:rPr>
          <w:rStyle w:val="13"/>
          <w:color w:val="0563C1"/>
        </w:rPr>
        <w:fldChar w:fldCharType="end"/>
      </w:r>
    </w:p>
    <w:p w14:paraId="3FB7172D">
      <w:pPr>
        <w:spacing w:after="200" w:line="400" w:lineRule="atLeast"/>
      </w:pPr>
      <w:r>
        <w:fldChar w:fldCharType="begin"/>
      </w:r>
      <w:r>
        <w:instrText xml:space="preserve"> HYPERLINK "https://www.u-hyogo.ac.jp/mba/pdf/SBR/15-2/001.pdf" \h </w:instrText>
      </w:r>
      <w:r>
        <w:fldChar w:fldCharType="separate"/>
      </w:r>
      <w:r>
        <w:rPr>
          <w:rStyle w:val="13"/>
          <w:color w:val="0563C1"/>
        </w:rPr>
        <w:t>[3,100]. A看護小規模多機能型居宅介護事業所のドミナント戦略と差別化集中戦略による持続可能な経営</w:t>
      </w:r>
      <w:r>
        <w:rPr>
          <w:rStyle w:val="13"/>
          <w:color w:val="0563C1"/>
        </w:rPr>
        <w:fldChar w:fldCharType="end"/>
      </w:r>
    </w:p>
    <w:p w14:paraId="38BECFCC">
      <w:pPr>
        <w:spacing w:after="200" w:line="400" w:lineRule="atLeast"/>
      </w:pPr>
      <w:r>
        <w:fldChar w:fldCharType="begin"/>
      </w:r>
      <w:r>
        <w:instrText xml:space="preserve"> HYPERLINK "https://www.ipss.go.jp/pp-shicyoson/j/shicyoson23/1kouhyo/gaiyo.pdf" \h </w:instrText>
      </w:r>
      <w:r>
        <w:fldChar w:fldCharType="separate"/>
      </w:r>
      <w:r>
        <w:rPr>
          <w:rStyle w:val="13"/>
          <w:color w:val="0563C1"/>
        </w:rPr>
        <w:t>[4,5,88,97,104]. 日本の地域別将来推計人口（令和5（2023）年推計）</w:t>
      </w:r>
      <w:r>
        <w:rPr>
          <w:rStyle w:val="13"/>
          <w:color w:val="0563C1"/>
        </w:rPr>
        <w:fldChar w:fldCharType="end"/>
      </w:r>
    </w:p>
    <w:p w14:paraId="77B39CDA">
      <w:pPr>
        <w:spacing w:after="200" w:line="400" w:lineRule="atLeast"/>
      </w:pPr>
      <w:r>
        <w:fldChar w:fldCharType="begin"/>
      </w:r>
      <w:r>
        <w:instrText xml:space="preserve"> HYPERLINK "https://www.ipss.go.jp/pp-pjsetai/j/hpjp2024/houkoku/houkoku.pdf" \h </w:instrText>
      </w:r>
      <w:r>
        <w:fldChar w:fldCharType="separate"/>
      </w:r>
      <w:r>
        <w:rPr>
          <w:rStyle w:val="13"/>
          <w:color w:val="0563C1"/>
        </w:rPr>
        <w:t>[6,7,8,101,102,103]. 日本の世帯数の将来推計(都道府県別推計)ー令和2(2020)〜32(2050)年ー Household Projections for Japan by Prefecture: 2020-2050</w:t>
      </w:r>
      <w:r>
        <w:rPr>
          <w:rStyle w:val="13"/>
          <w:color w:val="0563C1"/>
        </w:rPr>
        <w:fldChar w:fldCharType="end"/>
      </w:r>
    </w:p>
    <w:p w14:paraId="77108CAD">
      <w:pPr>
        <w:spacing w:after="200" w:line="400" w:lineRule="atLeast"/>
      </w:pPr>
      <w:r>
        <w:fldChar w:fldCharType="begin"/>
      </w:r>
      <w:r>
        <w:instrText xml:space="preserve"> HYPERLINK "https://www.kenkokeiei.jp/wp-content/uploads/2025/11/01_251125_%E9%AA%A8%E5%A4%AA%E6%96%B9%E9%87%9D2025%E3%81%8B%E3%82%89%E3%81%BF%E3%81%9F%E5%81%A5%E5%BA%B7%E7%B5%8C%E5%96%B6.pdf" \h </w:instrText>
      </w:r>
      <w:r>
        <w:fldChar w:fldCharType="separate"/>
      </w:r>
      <w:r>
        <w:rPr>
          <w:rStyle w:val="13"/>
          <w:color w:val="0563C1"/>
        </w:rPr>
        <w:t>[9]. 骨太方針からみた健康経営</w:t>
      </w:r>
      <w:r>
        <w:rPr>
          <w:rStyle w:val="13"/>
          <w:color w:val="0563C1"/>
        </w:rPr>
        <w:fldChar w:fldCharType="end"/>
      </w:r>
    </w:p>
    <w:p w14:paraId="04C001A4">
      <w:pPr>
        <w:spacing w:after="200" w:line="400" w:lineRule="atLeast"/>
      </w:pPr>
      <w:r>
        <w:fldChar w:fldCharType="begin"/>
      </w:r>
      <w:r>
        <w:instrText xml:space="preserve"> HYPERLINK "https://www.statista.com/statistics/612575/japan-population-age-group/?srsltid=AfmBOoo8aFQbHkKL0wZdjk1lUWzEnoYNOE-AhSpESu3Xh2eAaeKt6FuP" \h </w:instrText>
      </w:r>
      <w:r>
        <w:fldChar w:fldCharType="separate"/>
      </w:r>
      <w:r>
        <w:rPr>
          <w:rStyle w:val="13"/>
          <w:color w:val="0563C1"/>
        </w:rPr>
        <w:t>[10]. Population of Japan from 2000 to 2020 with a forecast until 2034, by age group (in millions)</w:t>
      </w:r>
      <w:r>
        <w:rPr>
          <w:rStyle w:val="13"/>
          <w:color w:val="0563C1"/>
        </w:rPr>
        <w:fldChar w:fldCharType="end"/>
      </w:r>
    </w:p>
    <w:p w14:paraId="7D924D16">
      <w:pPr>
        <w:spacing w:after="200" w:line="400" w:lineRule="atLeast"/>
      </w:pPr>
      <w:r>
        <w:fldChar w:fldCharType="begin"/>
      </w:r>
      <w:r>
        <w:instrText xml:space="preserve"> HYPERLINK "https://www.sarabetsu.jp/file/contents/1911/21016/sarabetsu_digital_comprehensive_strategy.pdf" \h </w:instrText>
      </w:r>
      <w:r>
        <w:fldChar w:fldCharType="separate"/>
      </w:r>
      <w:r>
        <w:rPr>
          <w:rStyle w:val="13"/>
          <w:color w:val="0563C1"/>
        </w:rPr>
        <w:t>[11,93,95]. 更別村デジタル田園都市国家構想総合戦略</w:t>
      </w:r>
      <w:r>
        <w:rPr>
          <w:rStyle w:val="13"/>
          <w:color w:val="0563C1"/>
        </w:rPr>
        <w:fldChar w:fldCharType="end"/>
      </w:r>
    </w:p>
    <w:p w14:paraId="73E61285">
      <w:pPr>
        <w:spacing w:after="200" w:line="400" w:lineRule="atLeast"/>
      </w:pPr>
      <w:r>
        <w:fldChar w:fldCharType="begin"/>
      </w:r>
      <w:r>
        <w:instrText xml:space="preserve"> HYPERLINK "https://www.kylc.com/stats/global/yearly_per_country/g_population_65above/jpn.html" \h </w:instrText>
      </w:r>
      <w:r>
        <w:fldChar w:fldCharType="separate"/>
      </w:r>
      <w:r>
        <w:rPr>
          <w:rStyle w:val="13"/>
          <w:color w:val="0563C1"/>
        </w:rPr>
        <w:t>[12]. 日本历年老年人(65岁及以上)人口总数统计</w:t>
      </w:r>
      <w:r>
        <w:rPr>
          <w:rStyle w:val="13"/>
          <w:color w:val="0563C1"/>
        </w:rPr>
        <w:fldChar w:fldCharType="end"/>
      </w:r>
    </w:p>
    <w:p w14:paraId="474427C3">
      <w:pPr>
        <w:spacing w:after="200" w:line="400" w:lineRule="atLeast"/>
      </w:pPr>
      <w:r>
        <w:fldChar w:fldCharType="begin"/>
      </w:r>
      <w:r>
        <w:instrText xml:space="preserve"> HYPERLINK "https://news.yahoo.co.jp/expert/articles/acc2560b83855c43ca45ffb2768ddc61360f2c33" \h </w:instrText>
      </w:r>
      <w:r>
        <w:fldChar w:fldCharType="separate"/>
      </w:r>
      <w:r>
        <w:rPr>
          <w:rStyle w:val="13"/>
          <w:color w:val="0563C1"/>
        </w:rPr>
        <w:t>[13]. 2060年には1億人割れを予想…日本人口の推移をさぐる(2025年公開版)</w:t>
      </w:r>
      <w:r>
        <w:rPr>
          <w:rStyle w:val="13"/>
          <w:color w:val="0563C1"/>
        </w:rPr>
        <w:fldChar w:fldCharType="end"/>
      </w:r>
    </w:p>
    <w:p w14:paraId="18798BC0">
      <w:pPr>
        <w:spacing w:after="200" w:line="400" w:lineRule="atLeast"/>
      </w:pPr>
      <w:r>
        <w:fldChar w:fldCharType="begin"/>
      </w:r>
      <w:r>
        <w:instrText xml:space="preserve"> HYPERLINK "https://www.nepjol.info/index.php/DSAJ/article/view/2781/2472" \h </w:instrText>
      </w:r>
      <w:r>
        <w:fldChar w:fldCharType="separate"/>
      </w:r>
      <w:r>
        <w:rPr>
          <w:rStyle w:val="13"/>
          <w:color w:val="0563C1"/>
        </w:rPr>
        <w:t>[14]. Aging and Elderly Care Practice in Japan: Main Issues, Policy and Program Perspective; What Lessons can be Learned from Japanese Experiences?</w:t>
      </w:r>
      <w:r>
        <w:rPr>
          <w:rStyle w:val="13"/>
          <w:color w:val="0563C1"/>
        </w:rPr>
        <w:fldChar w:fldCharType="end"/>
      </w:r>
    </w:p>
    <w:p w14:paraId="69969CAA">
      <w:pPr>
        <w:spacing w:after="200" w:line="400" w:lineRule="atLeast"/>
      </w:pPr>
      <w:r>
        <w:fldChar w:fldCharType="begin"/>
      </w:r>
      <w:r>
        <w:instrText xml:space="preserve"> HYPERLINK "https://baike.baidu.com/item/%E6%95%AC%E8%80%81%E6%97%A5/6288416" \h </w:instrText>
      </w:r>
      <w:r>
        <w:fldChar w:fldCharType="separate"/>
      </w:r>
      <w:r>
        <w:rPr>
          <w:rStyle w:val="13"/>
          <w:color w:val="0563C1"/>
        </w:rPr>
        <w:t>[15,29,32]. 日本敬老日与老龄化数据</w:t>
      </w:r>
      <w:r>
        <w:rPr>
          <w:rStyle w:val="13"/>
          <w:color w:val="0563C1"/>
        </w:rPr>
        <w:fldChar w:fldCharType="end"/>
      </w:r>
    </w:p>
    <w:p w14:paraId="0949D538">
      <w:pPr>
        <w:spacing w:after="200" w:line="400" w:lineRule="atLeast"/>
      </w:pPr>
      <w:r>
        <w:fldChar w:fldCharType="begin"/>
      </w:r>
      <w:r>
        <w:instrText xml:space="preserve"> HYPERLINK "https://www.stat.go.jp/data/topics/pdf/topics54.pdf" \h </w:instrText>
      </w:r>
      <w:r>
        <w:fldChar w:fldCharType="separate"/>
      </w:r>
      <w:r>
        <w:rPr>
          <w:rStyle w:val="13"/>
          <w:color w:val="0563C1"/>
        </w:rPr>
        <w:t>[16,33]. 統計からみた我が国の高齢者</w:t>
      </w:r>
      <w:r>
        <w:rPr>
          <w:rStyle w:val="13"/>
          <w:color w:val="0563C1"/>
        </w:rPr>
        <w:fldChar w:fldCharType="end"/>
      </w:r>
    </w:p>
    <w:p w14:paraId="373FAD7D">
      <w:pPr>
        <w:spacing w:after="200" w:line="400" w:lineRule="atLeast"/>
      </w:pPr>
      <w:r>
        <w:fldChar w:fldCharType="begin"/>
      </w:r>
      <w:r>
        <w:instrText xml:space="preserve"> HYPERLINK "https://jinkoulab.com/japan-trends-ronenindex/" \h </w:instrText>
      </w:r>
      <w:r>
        <w:fldChar w:fldCharType="separate"/>
      </w:r>
      <w:r>
        <w:rPr>
          <w:rStyle w:val="13"/>
          <w:color w:val="0563C1"/>
        </w:rPr>
        <w:t>[17,18,22,36,90]. 1枚のグラフで分かる日本の老年化指数</w:t>
      </w:r>
      <w:r>
        <w:rPr>
          <w:rStyle w:val="13"/>
          <w:color w:val="0563C1"/>
        </w:rPr>
        <w:fldChar w:fldCharType="end"/>
      </w:r>
    </w:p>
    <w:p w14:paraId="2CE85D7C">
      <w:pPr>
        <w:spacing w:after="200" w:line="400" w:lineRule="atLeast"/>
      </w:pPr>
      <w:r>
        <w:fldChar w:fldCharType="begin"/>
      </w:r>
      <w:r>
        <w:instrText xml:space="preserve"> HYPERLINK "https://www.apda.jp/pdf/p07_jarc/2014_Aging_2014-2015.pdf" \h </w:instrText>
      </w:r>
      <w:r>
        <w:fldChar w:fldCharType="separate"/>
      </w:r>
      <w:r>
        <w:rPr>
          <w:rStyle w:val="13"/>
          <w:color w:val="0563C1"/>
        </w:rPr>
        <w:t>[19,28]. 高齢社会基礎資料 '14-'15年版 Data Book on Aging in Japan 2014-2015</w:t>
      </w:r>
      <w:r>
        <w:rPr>
          <w:rStyle w:val="13"/>
          <w:color w:val="0563C1"/>
        </w:rPr>
        <w:fldChar w:fldCharType="end"/>
      </w:r>
    </w:p>
    <w:p w14:paraId="4A6BAA50">
      <w:pPr>
        <w:spacing w:after="200" w:line="400" w:lineRule="atLeast"/>
      </w:pPr>
      <w:r>
        <w:fldChar w:fldCharType="begin"/>
      </w:r>
      <w:r>
        <w:instrText xml:space="preserve"> HYPERLINK "https://book.qq.com/book-read/23669656/9" \h </w:instrText>
      </w:r>
      <w:r>
        <w:fldChar w:fldCharType="separate"/>
      </w:r>
      <w:r>
        <w:rPr>
          <w:rStyle w:val="13"/>
          <w:color w:val="0563C1"/>
        </w:rPr>
        <w:t>[21,89,107]. 日本人口老龄化问题研究</w:t>
      </w:r>
      <w:r>
        <w:rPr>
          <w:rStyle w:val="13"/>
          <w:color w:val="0563C1"/>
        </w:rPr>
        <w:fldChar w:fldCharType="end"/>
      </w:r>
    </w:p>
    <w:p w14:paraId="131E0EEF">
      <w:pPr>
        <w:spacing w:after="200" w:line="400" w:lineRule="atLeast"/>
      </w:pPr>
      <w:r>
        <w:fldChar w:fldCharType="begin"/>
      </w:r>
      <w:r>
        <w:instrText xml:space="preserve"> HYPERLINK "https://xueqiu.com/1786178736/302856913" \h </w:instrText>
      </w:r>
      <w:r>
        <w:fldChar w:fldCharType="separate"/>
      </w:r>
      <w:r>
        <w:rPr>
          <w:rStyle w:val="13"/>
          <w:color w:val="0563C1"/>
        </w:rPr>
        <w:t>[23]. 日本老龄化率持续提升及应对策略分析</w:t>
      </w:r>
      <w:r>
        <w:rPr>
          <w:rStyle w:val="13"/>
          <w:color w:val="0563C1"/>
        </w:rPr>
        <w:fldChar w:fldCharType="end"/>
      </w:r>
    </w:p>
    <w:p w14:paraId="00BFF7AB">
      <w:pPr>
        <w:spacing w:after="200" w:line="400" w:lineRule="atLeast"/>
      </w:pPr>
      <w:r>
        <w:fldChar w:fldCharType="begin"/>
      </w:r>
      <w:r>
        <w:instrText xml:space="preserve"> HYPERLINK "https://zhidao.baidu.com/daily/view?id=186586" \h </w:instrText>
      </w:r>
      <w:r>
        <w:fldChar w:fldCharType="separate"/>
      </w:r>
      <w:r>
        <w:rPr>
          <w:rStyle w:val="13"/>
          <w:color w:val="0563C1"/>
        </w:rPr>
        <w:t>[24]. 日本是如何应对“老龄化”的？</w:t>
      </w:r>
      <w:r>
        <w:rPr>
          <w:rStyle w:val="13"/>
          <w:color w:val="0563C1"/>
        </w:rPr>
        <w:fldChar w:fldCharType="end"/>
      </w:r>
    </w:p>
    <w:p w14:paraId="4BE4FC43">
      <w:pPr>
        <w:spacing w:after="200" w:line="400" w:lineRule="atLeast"/>
      </w:pPr>
      <w:r>
        <w:fldChar w:fldCharType="begin"/>
      </w:r>
      <w:r>
        <w:instrText xml:space="preserve"> HYPERLINK "https://idih-global.eu/2021/07/07/annual-report-on-ageing-society-fy2021-published-by-the-japanese-prime-ministers-office/" \h </w:instrText>
      </w:r>
      <w:r>
        <w:fldChar w:fldCharType="separate"/>
      </w:r>
      <w:r>
        <w:rPr>
          <w:rStyle w:val="13"/>
          <w:color w:val="0563C1"/>
        </w:rPr>
        <w:t>[25]. “Annual Report on Ageing Society FY2021” published by the Japanese Prime Minister’s Office</w:t>
      </w:r>
      <w:r>
        <w:rPr>
          <w:rStyle w:val="13"/>
          <w:color w:val="0563C1"/>
        </w:rPr>
        <w:fldChar w:fldCharType="end"/>
      </w:r>
    </w:p>
    <w:p w14:paraId="6921501B">
      <w:pPr>
        <w:spacing w:after="200" w:line="400" w:lineRule="atLeast"/>
      </w:pPr>
      <w:r>
        <w:fldChar w:fldCharType="begin"/>
      </w:r>
      <w:r>
        <w:instrText xml:space="preserve"> HYPERLINK "http://m.ce.cn/gj/itw/202409/18/t20240918_39141709.shtml" \h </w:instrText>
      </w:r>
      <w:r>
        <w:fldChar w:fldCharType="separate"/>
      </w:r>
      <w:r>
        <w:rPr>
          <w:rStyle w:val="13"/>
          <w:color w:val="0563C1"/>
        </w:rPr>
        <w:t>[30,31,86,99,109]. 日本总务省公布人口统计数据</w:t>
      </w:r>
      <w:r>
        <w:rPr>
          <w:rStyle w:val="13"/>
          <w:color w:val="0563C1"/>
        </w:rPr>
        <w:fldChar w:fldCharType="end"/>
      </w:r>
    </w:p>
    <w:p w14:paraId="7250A5F0">
      <w:pPr>
        <w:spacing w:after="200" w:line="400" w:lineRule="atLeast"/>
      </w:pPr>
      <w:r>
        <w:fldChar w:fldCharType="begin"/>
      </w:r>
      <w:r>
        <w:instrText xml:space="preserve"> HYPERLINK "https://www.hanspub.org/journal/PaperInformation.aspx?paperID=61555" \h </w:instrText>
      </w:r>
      <w:r>
        <w:fldChar w:fldCharType="separate"/>
      </w:r>
      <w:r>
        <w:rPr>
          <w:rStyle w:val="13"/>
          <w:color w:val="0563C1"/>
        </w:rPr>
        <w:t>[34]. 中日老龄产业科研基金研究现状与发展趋势分析</w:t>
      </w:r>
      <w:r>
        <w:rPr>
          <w:rStyle w:val="13"/>
          <w:color w:val="0563C1"/>
        </w:rPr>
        <w:fldChar w:fldCharType="end"/>
      </w:r>
    </w:p>
    <w:p w14:paraId="104533AE">
      <w:pPr>
        <w:spacing w:after="200" w:line="400" w:lineRule="atLeast"/>
      </w:pPr>
      <w:r>
        <w:fldChar w:fldCharType="begin"/>
      </w:r>
      <w:r>
        <w:instrText xml:space="preserve"> HYPERLINK "https://www.ilc-alliance.org/longevity/a_profile_of_older_japanese_2011/" \h </w:instrText>
      </w:r>
      <w:r>
        <w:fldChar w:fldCharType="separate"/>
      </w:r>
      <w:r>
        <w:rPr>
          <w:rStyle w:val="13"/>
          <w:color w:val="0563C1"/>
        </w:rPr>
        <w:t>[35]. A Profile of Older Japanese 2011</w:t>
      </w:r>
      <w:r>
        <w:rPr>
          <w:rStyle w:val="13"/>
          <w:color w:val="0563C1"/>
        </w:rPr>
        <w:fldChar w:fldCharType="end"/>
      </w:r>
    </w:p>
    <w:p w14:paraId="7523B98A">
      <w:pPr>
        <w:spacing w:after="200" w:line="400" w:lineRule="atLeast"/>
      </w:pPr>
      <w:r>
        <w:fldChar w:fldCharType="begin"/>
      </w:r>
      <w:r>
        <w:instrText xml:space="preserve"> HYPERLINK "https://www.population-trends-asiapacific.org/data/JPN" \h </w:instrText>
      </w:r>
      <w:r>
        <w:fldChar w:fldCharType="separate"/>
      </w:r>
      <w:r>
        <w:rPr>
          <w:rStyle w:val="13"/>
          <w:color w:val="0563C1"/>
        </w:rPr>
        <w:t>[37]. Japan</w:t>
      </w:r>
      <w:r>
        <w:rPr>
          <w:rStyle w:val="13"/>
          <w:color w:val="0563C1"/>
        </w:rPr>
        <w:fldChar w:fldCharType="end"/>
      </w:r>
    </w:p>
    <w:p w14:paraId="605B2F86">
      <w:pPr>
        <w:spacing w:after="200" w:line="400" w:lineRule="atLeast"/>
      </w:pPr>
      <w:r>
        <w:fldChar w:fldCharType="begin"/>
      </w:r>
      <w:r>
        <w:instrText xml:space="preserve"> HYPERLINK "https://www.accio.com/business/top-selling-companies-top-100" \h </w:instrText>
      </w:r>
      <w:r>
        <w:fldChar w:fldCharType="separate"/>
      </w:r>
      <w:r>
        <w:rPr>
          <w:rStyle w:val="13"/>
          <w:color w:val="0563C1"/>
        </w:rPr>
        <w:t>[38,40,43,46,49,52,55,59,85,105,108]. Market Analysis</w:t>
      </w:r>
      <w:r>
        <w:rPr>
          <w:rStyle w:val="13"/>
          <w:color w:val="0563C1"/>
        </w:rPr>
        <w:fldChar w:fldCharType="end"/>
      </w:r>
    </w:p>
    <w:p w14:paraId="1C7AB64E">
      <w:pPr>
        <w:spacing w:after="200" w:line="400" w:lineRule="atLeast"/>
      </w:pPr>
      <w:r>
        <w:fldChar w:fldCharType="begin"/>
      </w:r>
      <w:r>
        <w:instrText xml:space="preserve"> HYPERLINK "https://www.adamsstreetpartners.com/wp-content/uploads/2022/03/2022-Adams-Street-Private-Markets-Insights-PfL3.pdf" \h </w:instrText>
      </w:r>
      <w:r>
        <w:fldChar w:fldCharType="separate"/>
      </w:r>
      <w:r>
        <w:rPr>
          <w:rStyle w:val="13"/>
          <w:color w:val="0563C1"/>
        </w:rPr>
        <w:t>[39,106]. Private Markets Insights: Optimism in an Age of Change</w:t>
      </w:r>
      <w:r>
        <w:rPr>
          <w:rStyle w:val="13"/>
          <w:color w:val="0563C1"/>
        </w:rPr>
        <w:fldChar w:fldCharType="end"/>
      </w:r>
    </w:p>
    <w:p w14:paraId="51196A96">
      <w:pPr>
        <w:spacing w:after="200" w:line="400" w:lineRule="atLeast"/>
      </w:pPr>
      <w:r>
        <w:fldChar w:fldCharType="begin"/>
      </w:r>
      <w:r>
        <w:instrText xml:space="preserve"> HYPERLINK "https://physics-faas.eu/wp-content/uploads/2021/10/PHYSICS-D2.1-Market-analysis-and-gaps-identification.pdf" \h </w:instrText>
      </w:r>
      <w:r>
        <w:fldChar w:fldCharType="separate"/>
      </w:r>
      <w:r>
        <w:rPr>
          <w:rStyle w:val="13"/>
          <w:color w:val="0563C1"/>
        </w:rPr>
        <w:t>[41,45,48,53,56,60,91]. D2.1 – Market Analysis and Gaps Identifications</w:t>
      </w:r>
      <w:r>
        <w:rPr>
          <w:rStyle w:val="13"/>
          <w:color w:val="0563C1"/>
        </w:rPr>
        <w:fldChar w:fldCharType="end"/>
      </w:r>
    </w:p>
    <w:p w14:paraId="200123EB">
      <w:pPr>
        <w:spacing w:after="200" w:line="400" w:lineRule="atLeast"/>
      </w:pPr>
      <w:r>
        <w:fldChar w:fldCharType="begin"/>
      </w:r>
      <w:r>
        <w:instrText xml:space="preserve"> HYPERLINK "https://www.marketresearchintellect.com/zh/product/influenza-vaccines-industry-market/" \h </w:instrText>
      </w:r>
      <w:r>
        <w:fldChar w:fldCharType="separate"/>
      </w:r>
      <w:r>
        <w:rPr>
          <w:rStyle w:val="13"/>
          <w:color w:val="0563C1"/>
        </w:rPr>
        <w:t>[42,50,54,57]. 市场 2033 年行业规模、份额及洞察</w:t>
      </w:r>
      <w:r>
        <w:rPr>
          <w:rStyle w:val="13"/>
          <w:color w:val="0563C1"/>
        </w:rPr>
        <w:fldChar w:fldCharType="end"/>
      </w:r>
    </w:p>
    <w:p w14:paraId="3CD4FD66">
      <w:pPr>
        <w:spacing w:after="200" w:line="400" w:lineRule="atLeast"/>
      </w:pPr>
      <w:r>
        <w:fldChar w:fldCharType="begin"/>
      </w:r>
      <w:r>
        <w:instrText xml:space="preserve"> HYPERLINK "https://alternativedata.or.jp/wp-content/uploads/2024/02/JADAA_Factbook2023_English.pdf" \h </w:instrText>
      </w:r>
      <w:r>
        <w:fldChar w:fldCharType="separate"/>
      </w:r>
      <w:r>
        <w:rPr>
          <w:rStyle w:val="13"/>
          <w:color w:val="0563C1"/>
        </w:rPr>
        <w:t>[44,58,62]. Alternative Data Factbook</w:t>
      </w:r>
      <w:r>
        <w:rPr>
          <w:rStyle w:val="13"/>
          <w:color w:val="0563C1"/>
        </w:rPr>
        <w:fldChar w:fldCharType="end"/>
      </w:r>
    </w:p>
    <w:p w14:paraId="71E5F658">
      <w:pPr>
        <w:spacing w:after="200" w:line="400" w:lineRule="atLeast"/>
      </w:pPr>
      <w:r>
        <w:fldChar w:fldCharType="begin"/>
      </w:r>
      <w:r>
        <w:instrText xml:space="preserve"> HYPERLINK "https://github.com/AJeanis/Pairs-Trading" \h </w:instrText>
      </w:r>
      <w:r>
        <w:fldChar w:fldCharType="separate"/>
      </w:r>
      <w:r>
        <w:rPr>
          <w:rStyle w:val="13"/>
          <w:color w:val="0563C1"/>
        </w:rPr>
        <w:t>[47]. Choosing A Sector (Financial Services)</w:t>
      </w:r>
      <w:r>
        <w:rPr>
          <w:rStyle w:val="13"/>
          <w:color w:val="0563C1"/>
        </w:rPr>
        <w:fldChar w:fldCharType="end"/>
      </w:r>
    </w:p>
    <w:p w14:paraId="34C05BEE">
      <w:pPr>
        <w:spacing w:after="200" w:line="400" w:lineRule="atLeast"/>
      </w:pPr>
      <w:r>
        <w:fldChar w:fldCharType="begin"/>
      </w:r>
      <w:r>
        <w:instrText xml:space="preserve"> HYPERLINK "https://docs.ihr360.com/strategy/it_strategy/190798" \h </w:instrText>
      </w:r>
      <w:r>
        <w:fldChar w:fldCharType="separate"/>
      </w:r>
      <w:r>
        <w:rPr>
          <w:rStyle w:val="13"/>
          <w:color w:val="0563C1"/>
        </w:rPr>
        <w:t>[51,66]. 行业市场分析</w:t>
      </w:r>
      <w:r>
        <w:rPr>
          <w:rStyle w:val="13"/>
          <w:color w:val="0563C1"/>
        </w:rPr>
        <w:fldChar w:fldCharType="end"/>
      </w:r>
    </w:p>
    <w:p w14:paraId="7BB0CFCF">
      <w:pPr>
        <w:spacing w:after="200" w:line="400" w:lineRule="atLeast"/>
      </w:pPr>
      <w:r>
        <w:fldChar w:fldCharType="begin"/>
      </w:r>
      <w:r>
        <w:instrText xml:space="preserve"> HYPERLINK "https://www.spglobal.com/content/dam/spglobal/mi/en/documents/general/market-intelligence-platform-brochure-ltr.pdf" \h </w:instrText>
      </w:r>
      <w:r>
        <w:fldChar w:fldCharType="separate"/>
      </w:r>
      <w:r>
        <w:rPr>
          <w:rStyle w:val="13"/>
          <w:color w:val="0563C1"/>
        </w:rPr>
        <w:t>[61,64]. The Market Intelligence Platform</w:t>
      </w:r>
      <w:r>
        <w:rPr>
          <w:rStyle w:val="13"/>
          <w:color w:val="0563C1"/>
        </w:rPr>
        <w:fldChar w:fldCharType="end"/>
      </w:r>
    </w:p>
    <w:p w14:paraId="6AEB3321">
      <w:pPr>
        <w:spacing w:after="200" w:line="400" w:lineRule="atLeast"/>
      </w:pPr>
      <w:r>
        <w:fldChar w:fldCharType="begin"/>
      </w:r>
      <w:r>
        <w:instrText xml:space="preserve"> HYPERLINK "https://www.evolve-capital.com/wp-content/uploads/2017/07/Evolve-Q2-2017-Newsletter.pdf" \h </w:instrText>
      </w:r>
      <w:r>
        <w:fldChar w:fldCharType="separate"/>
      </w:r>
      <w:r>
        <w:rPr>
          <w:rStyle w:val="13"/>
          <w:color w:val="0563C1"/>
        </w:rPr>
        <w:t>[63]. Finance &amp; Technology Market Update</w:t>
      </w:r>
      <w:r>
        <w:rPr>
          <w:rStyle w:val="13"/>
          <w:color w:val="0563C1"/>
        </w:rPr>
        <w:fldChar w:fldCharType="end"/>
      </w:r>
    </w:p>
    <w:p w14:paraId="2A496648">
      <w:pPr>
        <w:spacing w:after="200" w:line="400" w:lineRule="atLeast"/>
      </w:pPr>
      <w:r>
        <w:fldChar w:fldCharType="begin"/>
      </w:r>
      <w:r>
        <w:instrText xml:space="preserve"> HYPERLINK "https://fxsignals.com/mastering-the-financial-market-index-a-deep-dive-into-world-stock-indexes-and-popular-trading-strategies/" \h </w:instrText>
      </w:r>
      <w:r>
        <w:fldChar w:fldCharType="separate"/>
      </w:r>
      <w:r>
        <w:rPr>
          <w:rStyle w:val="13"/>
          <w:color w:val="0563C1"/>
        </w:rPr>
        <w:t>[65]. Understanding Financial Market Index: A Comprehensive Guide to World Stock Indexes</w:t>
      </w:r>
      <w:r>
        <w:rPr>
          <w:rStyle w:val="13"/>
          <w:color w:val="0563C1"/>
        </w:rPr>
        <w:fldChar w:fldCharType="end"/>
      </w:r>
    </w:p>
    <w:p w14:paraId="1CC607C8">
      <w:pPr>
        <w:spacing w:after="200" w:line="400" w:lineRule="atLeast"/>
      </w:pPr>
      <w:r>
        <w:fldChar w:fldCharType="begin"/>
      </w:r>
      <w:r>
        <w:instrText xml:space="preserve"> HYPERLINK "https://docs.ihr360.com/strategy/it_strategy/131904" \h </w:instrText>
      </w:r>
      <w:r>
        <w:fldChar w:fldCharType="separate"/>
      </w:r>
      <w:r>
        <w:rPr>
          <w:rStyle w:val="13"/>
          <w:color w:val="0563C1"/>
        </w:rPr>
        <w:t>[67]. 目标市场分析的核心概念与高质量范文指南</w:t>
      </w:r>
      <w:r>
        <w:rPr>
          <w:rStyle w:val="13"/>
          <w:color w:val="0563C1"/>
        </w:rPr>
        <w:fldChar w:fldCharType="end"/>
      </w:r>
    </w:p>
    <w:p w14:paraId="56DFF275">
      <w:pPr>
        <w:spacing w:after="200" w:line="400" w:lineRule="atLeast"/>
      </w:pPr>
      <w:r>
        <w:fldChar w:fldCharType="begin"/>
      </w:r>
      <w:r>
        <w:instrText xml:space="preserve"> HYPERLINK "https://www.alooba.com/skills/concepts/prompt-engineering/factual-accuracy/" \h </w:instrText>
      </w:r>
      <w:r>
        <w:fldChar w:fldCharType="separate"/>
      </w:r>
      <w:r>
        <w:rPr>
          <w:rStyle w:val="13"/>
          <w:color w:val="0563C1"/>
        </w:rPr>
        <w:t>[68,71]. Factual Accuracy</w:t>
      </w:r>
      <w:r>
        <w:rPr>
          <w:rStyle w:val="13"/>
          <w:color w:val="0563C1"/>
        </w:rPr>
        <w:fldChar w:fldCharType="end"/>
      </w:r>
    </w:p>
    <w:p w14:paraId="6F9BEB55">
      <w:pPr>
        <w:spacing w:after="200" w:line="400" w:lineRule="atLeast"/>
      </w:pPr>
      <w:r>
        <w:fldChar w:fldCharType="begin"/>
      </w:r>
      <w:r>
        <w:instrText xml:space="preserve"> HYPERLINK "http://ecranproject.eu/sites/default/files/ecran_-_guide.ppt" \h </w:instrText>
      </w:r>
      <w:r>
        <w:fldChar w:fldCharType="separate"/>
      </w:r>
      <w:r>
        <w:rPr>
          <w:rStyle w:val="13"/>
          <w:color w:val="0563C1"/>
        </w:rPr>
        <w:t>[69,72]. European Communication on Research Awareness Needs</w:t>
      </w:r>
      <w:r>
        <w:rPr>
          <w:rStyle w:val="13"/>
          <w:color w:val="0563C1"/>
        </w:rPr>
        <w:fldChar w:fldCharType="end"/>
      </w:r>
    </w:p>
    <w:p w14:paraId="3C0F6CEE">
      <w:pPr>
        <w:spacing w:after="200" w:line="400" w:lineRule="atLeast"/>
      </w:pPr>
      <w:r>
        <w:fldChar w:fldCharType="begin"/>
      </w:r>
      <w:r>
        <w:instrText xml:space="preserve"> HYPERLINK "https://mis.alagappauniversity.ac.in/siteAdmin/dde-admin/uploads/2/__UG_Common%20UG%20Part-II_English_22%20%20Part%20II%20English%20Paper%20II_1673.pdf" \h </w:instrText>
      </w:r>
      <w:r>
        <w:fldChar w:fldCharType="separate"/>
      </w:r>
      <w:r>
        <w:rPr>
          <w:rStyle w:val="13"/>
          <w:color w:val="0563C1"/>
        </w:rPr>
        <w:t>[70,73,74,75,76,77,80]. PART - II: ENGLISH PAPER - II</w:t>
      </w:r>
      <w:r>
        <w:rPr>
          <w:rStyle w:val="13"/>
          <w:color w:val="0563C1"/>
        </w:rPr>
        <w:fldChar w:fldCharType="end"/>
      </w:r>
    </w:p>
    <w:p w14:paraId="4114D723">
      <w:pPr>
        <w:spacing w:after="400" w:line="400" w:lineRule="atLeast"/>
      </w:pPr>
      <w:r>
        <w:t>[[78,82]. GUARDIAN AD LITEM ](https://www.masslegalservices.org/system/files/library/Chapter 10.pdf)</w:t>
      </w:r>
    </w:p>
    <w:p w14:paraId="55C9BB23">
      <w:pPr>
        <w:spacing w:after="200" w:line="400" w:lineRule="atLeast"/>
      </w:pPr>
      <w:r>
        <w:fldChar w:fldCharType="begin"/>
      </w:r>
      <w:r>
        <w:instrText xml:space="preserve"> HYPERLINK "https://www.mass.gov/doc/standards-for-category-f-guardian-ad-litem-investigators/download" \h </w:instrText>
      </w:r>
      <w:r>
        <w:fldChar w:fldCharType="separate"/>
      </w:r>
      <w:r>
        <w:rPr>
          <w:rStyle w:val="13"/>
          <w:color w:val="0563C1"/>
        </w:rPr>
        <w:t>[79,83]. STANDARDS FOR CATEGORY F GUARDIAN AD LITEM INVESTIGATORS</w:t>
      </w:r>
      <w:r>
        <w:rPr>
          <w:rStyle w:val="13"/>
          <w:color w:val="0563C1"/>
        </w:rPr>
        <w:fldChar w:fldCharType="end"/>
      </w:r>
    </w:p>
    <w:p w14:paraId="7E32C979">
      <w:pPr>
        <w:spacing w:after="200" w:line="400" w:lineRule="atLeast"/>
      </w:pPr>
      <w:r>
        <w:fldChar w:fldCharType="begin"/>
      </w:r>
      <w:r>
        <w:instrText xml:space="preserve"> HYPERLINK "https://www.judiciary.uk/wp-content/uploads/2024/06/Harcombe-v-ANL-2024-EWHC-1523-FINAL-for-hand-down.pdf" \h </w:instrText>
      </w:r>
      <w:r>
        <w:fldChar w:fldCharType="separate"/>
      </w:r>
      <w:r>
        <w:rPr>
          <w:rStyle w:val="13"/>
          <w:color w:val="0563C1"/>
        </w:rPr>
        <w:t>[81]. Harcombe -v- ANL</w:t>
      </w:r>
      <w:r>
        <w:rPr>
          <w:rStyle w:val="13"/>
          <w:color w:val="0563C1"/>
        </w:rPr>
        <w:fldChar w:fldCharType="end"/>
      </w:r>
    </w:p>
    <w:p w14:paraId="3669FB36">
      <w:pPr>
        <w:spacing w:after="400" w:line="400" w:lineRule="atLeast"/>
      </w:pPr>
      <w:r>
        <w:rPr>
          <w:i/>
        </w:rPr>
        <w:t>以下来源未被直接引用</w:t>
      </w:r>
    </w:p>
    <w:p w14:paraId="1D2D6E60">
      <w:pPr>
        <w:spacing w:after="200" w:line="400" w:lineRule="atLeast"/>
      </w:pPr>
      <w:r>
        <w:fldChar w:fldCharType="begin"/>
      </w:r>
      <w:r>
        <w:instrText xml:space="preserve"> HYPERLINK "https://jp.gdfreak.com/public/detail/jp010050000001000000/6" \h </w:instrText>
      </w:r>
      <w:r>
        <w:fldChar w:fldCharType="separate"/>
      </w:r>
      <w:r>
        <w:rPr>
          <w:rStyle w:val="13"/>
          <w:color w:val="0563C1"/>
        </w:rPr>
        <w:t>日本の人口と世帯</w:t>
      </w:r>
      <w:r>
        <w:rPr>
          <w:rStyle w:val="13"/>
          <w:color w:val="0563C1"/>
        </w:rPr>
        <w:fldChar w:fldCharType="end"/>
      </w:r>
    </w:p>
    <w:p w14:paraId="2A45D613">
      <w:pPr>
        <w:spacing w:after="200" w:line="400" w:lineRule="atLeast"/>
      </w:pPr>
      <w:r>
        <w:fldChar w:fldCharType="begin"/>
      </w:r>
      <w:r>
        <w:instrText xml:space="preserve"> HYPERLINK "https://www.chinadailyasia.com/article/619911#%3A~%3Atext%3DElderly%20account%20for%20record%2029.4%25%20of%20Japan%27s%20population%26text%3DTOKYO%20-%20Seniors%20aged%2065%20and%2Crecord%2C%20official%20data%20showed%20Sunday." \h </w:instrText>
      </w:r>
      <w:r>
        <w:fldChar w:fldCharType="separate"/>
      </w:r>
      <w:r>
        <w:rPr>
          <w:rStyle w:val="13"/>
          <w:color w:val="0563C1"/>
        </w:rPr>
        <w:t>Elderly account for record 29.4% of Japan's population</w:t>
      </w:r>
      <w:r>
        <w:rPr>
          <w:rStyle w:val="13"/>
          <w:color w:val="0563C1"/>
        </w:rPr>
        <w:fldChar w:fldCharType="end"/>
      </w:r>
    </w:p>
    <w:p w14:paraId="73C585EC">
      <w:pPr>
        <w:spacing w:after="200" w:line="400" w:lineRule="atLeast"/>
      </w:pPr>
      <w:r>
        <w:fldChar w:fldCharType="begin"/>
      </w:r>
      <w:r>
        <w:instrText xml:space="preserve"> HYPERLINK "https://fred.stlouisfed.org/data/SPPOP65UPTOZSJPN" \h </w:instrText>
      </w:r>
      <w:r>
        <w:fldChar w:fldCharType="separate"/>
      </w:r>
      <w:r>
        <w:rPr>
          <w:rStyle w:val="13"/>
          <w:color w:val="0563C1"/>
        </w:rPr>
        <w:t>Population ages 65 and above for Japan</w:t>
      </w:r>
      <w:r>
        <w:rPr>
          <w:rStyle w:val="13"/>
          <w:color w:val="0563C1"/>
        </w:rPr>
        <w:fldChar w:fldCharType="end"/>
      </w:r>
    </w:p>
    <w:p w14:paraId="4E5A9804">
      <w:pPr>
        <w:spacing w:after="200" w:line="400" w:lineRule="atLeast"/>
      </w:pPr>
      <w:r>
        <w:fldChar w:fldCharType="begin"/>
      </w:r>
      <w:r>
        <w:instrText xml:space="preserve"> HYPERLINK "https://www.britannica.com/place/Japan#%3A~%3Atext%3DJapan%2C%20island%20country%20lying%20off%2Cthe%20western%20North%20Pacific%20Ocean." \h </w:instrText>
      </w:r>
      <w:r>
        <w:fldChar w:fldCharType="separate"/>
      </w:r>
      <w:r>
        <w:rPr>
          <w:rStyle w:val="13"/>
          <w:color w:val="0563C1"/>
        </w:rPr>
        <w:t>Ancient Japan to 1185</w:t>
      </w:r>
      <w:r>
        <w:rPr>
          <w:rStyle w:val="13"/>
          <w:color w:val="0563C1"/>
        </w:rPr>
        <w:fldChar w:fldCharType="end"/>
      </w:r>
    </w:p>
    <w:p w14:paraId="63237DD4">
      <w:pPr>
        <w:spacing w:after="200" w:line="400" w:lineRule="atLeast"/>
      </w:pPr>
      <w:r>
        <w:fldChar w:fldCharType="begin"/>
      </w:r>
      <w:r>
        <w:instrText xml:space="preserve"> HYPERLINK "https://www.statista.com/statistics/263746/total-population-in-japan/?srsltid=AfmBOor__XdYYUc2xaJ78Co8c60Cnl7-C5JDLhzBoTj_emz5jdCBIH8i" \h </w:instrText>
      </w:r>
      <w:r>
        <w:fldChar w:fldCharType="separate"/>
      </w:r>
      <w:r>
        <w:rPr>
          <w:rStyle w:val="13"/>
          <w:color w:val="0563C1"/>
        </w:rPr>
        <w:t>Total population in Japan 2020-2030</w:t>
      </w:r>
      <w:r>
        <w:rPr>
          <w:rStyle w:val="13"/>
          <w:color w:val="0563C1"/>
        </w:rPr>
        <w:fldChar w:fldCharType="end"/>
      </w:r>
    </w:p>
    <w:p w14:paraId="497176B9">
      <w:pPr>
        <w:spacing w:after="200" w:line="400" w:lineRule="atLeast"/>
      </w:pPr>
      <w:r>
        <w:fldChar w:fldCharType="begin"/>
      </w:r>
      <w:r>
        <w:instrText xml:space="preserve"> HYPERLINK "https://www.ipss.go.jp/syoushika/bunken/data/pdf/jinkokenshiryo346.pdf" \h </w:instrText>
      </w:r>
      <w:r>
        <w:fldChar w:fldCharType="separate"/>
      </w:r>
      <w:r>
        <w:rPr>
          <w:rStyle w:val="13"/>
          <w:color w:val="0563C1"/>
        </w:rPr>
        <w:t>人口統計資料集 LATEST DEMOGRAPHIC STATISTICS 2023</w:t>
      </w:r>
      <w:r>
        <w:rPr>
          <w:rStyle w:val="13"/>
          <w:color w:val="0563C1"/>
        </w:rPr>
        <w:fldChar w:fldCharType="end"/>
      </w:r>
    </w:p>
    <w:p w14:paraId="3ACFBF15">
      <w:pPr>
        <w:spacing w:after="200" w:line="400" w:lineRule="atLeast"/>
      </w:pPr>
      <w:r>
        <w:fldChar w:fldCharType="begin"/>
      </w:r>
      <w:r>
        <w:instrText xml:space="preserve"> HYPERLINK "https://www.163.com/dy/article/JF3P9ON60519QIKK.html" \h </w:instrText>
      </w:r>
      <w:r>
        <w:fldChar w:fldCharType="separate"/>
      </w:r>
      <w:r>
        <w:rPr>
          <w:rStyle w:val="13"/>
          <w:color w:val="0563C1"/>
        </w:rPr>
        <w:t>日本总务省公布65岁以上老年人就业数据</w:t>
      </w:r>
      <w:r>
        <w:rPr>
          <w:rStyle w:val="13"/>
          <w:color w:val="0563C1"/>
        </w:rPr>
        <w:fldChar w:fldCharType="end"/>
      </w:r>
    </w:p>
    <w:p w14:paraId="7D7DD4A0">
      <w:pPr>
        <w:spacing w:after="200" w:line="400" w:lineRule="atLeast"/>
      </w:pPr>
      <w:r>
        <w:fldChar w:fldCharType="begin"/>
      </w:r>
      <w:r>
        <w:instrText xml:space="preserve"> HYPERLINK "http://japan.people.com.cn/n/2015/0921/c35467-27612552.html" \h </w:instrText>
      </w:r>
      <w:r>
        <w:fldChar w:fldCharType="separate"/>
      </w:r>
      <w:r>
        <w:rPr>
          <w:rStyle w:val="13"/>
          <w:color w:val="0563C1"/>
        </w:rPr>
        <w:t>日本老龄人口统计数据公布</w:t>
      </w:r>
      <w:r>
        <w:rPr>
          <w:rStyle w:val="13"/>
          <w:color w:val="0563C1"/>
        </w:rPr>
        <w:fldChar w:fldCharType="end"/>
      </w:r>
    </w:p>
    <w:p w14:paraId="6869D735">
      <w:pPr>
        <w:spacing w:after="200" w:line="400" w:lineRule="atLeast"/>
      </w:pPr>
      <w:r>
        <w:fldChar w:fldCharType="begin"/>
      </w:r>
      <w:r>
        <w:instrText xml:space="preserve"> HYPERLINK "https://www.clair.or.jp/j/forum/pub/docs/jichi2021-en.pdf" \h </w:instrText>
      </w:r>
      <w:r>
        <w:fldChar w:fldCharType="separate"/>
      </w:r>
      <w:r>
        <w:rPr>
          <w:rStyle w:val="13"/>
          <w:color w:val="0563C1"/>
        </w:rPr>
        <w:t>Local Government in Japan 2020 (2021 Revised Edition)</w:t>
      </w:r>
      <w:r>
        <w:rPr>
          <w:rStyle w:val="13"/>
          <w:color w:val="0563C1"/>
        </w:rPr>
        <w:fldChar w:fldCharType="end"/>
      </w:r>
    </w:p>
    <w:p w14:paraId="6E30BB0E">
      <w:pPr>
        <w:spacing w:after="200" w:line="400" w:lineRule="atLeast"/>
      </w:pPr>
      <w:r>
        <w:fldChar w:fldCharType="begin"/>
      </w:r>
      <w:r>
        <w:instrText xml:space="preserve"> HYPERLINK "https://weibo.com/ttarticle/p/show?id=2309404595738759004230" \h </w:instrText>
      </w:r>
      <w:r>
        <w:fldChar w:fldCharType="separate"/>
      </w:r>
      <w:r>
        <w:rPr>
          <w:rStyle w:val="13"/>
          <w:color w:val="0563C1"/>
        </w:rPr>
        <w:t>老龄化与消费结构</w:t>
      </w:r>
      <w:r>
        <w:rPr>
          <w:rStyle w:val="13"/>
          <w:color w:val="0563C1"/>
        </w:rPr>
        <w:fldChar w:fldCharType="end"/>
      </w:r>
    </w:p>
    <w:p w14:paraId="0FB66A1C">
      <w:pPr>
        <w:spacing w:after="200" w:line="400" w:lineRule="atLeast"/>
      </w:pPr>
      <w:r>
        <w:fldChar w:fldCharType="begin"/>
      </w:r>
      <w:r>
        <w:instrText xml:space="preserve"> HYPERLINK "https://www.163.com/dy/article/HKUAGSDD0552R5MG.html" \h </w:instrText>
      </w:r>
      <w:r>
        <w:fldChar w:fldCharType="separate"/>
      </w:r>
      <w:r>
        <w:rPr>
          <w:rStyle w:val="13"/>
          <w:color w:val="0563C1"/>
        </w:rPr>
        <w:t>行业概述</w:t>
      </w:r>
      <w:r>
        <w:rPr>
          <w:rStyle w:val="13"/>
          <w:color w:val="0563C1"/>
        </w:rPr>
        <w:fldChar w:fldCharType="end"/>
      </w:r>
    </w:p>
    <w:p w14:paraId="7CAEA09E">
      <w:pPr>
        <w:spacing w:after="200" w:line="400" w:lineRule="atLeast"/>
      </w:pPr>
      <w:r>
        <w:fldChar w:fldCharType="begin"/>
      </w:r>
      <w:r>
        <w:instrText xml:space="preserve"> HYPERLINK "https://fenix.tecnico.ulisboa.pt/downloadFile/563345090420210/Thesis___disserta__o.pdf" \h </w:instrText>
      </w:r>
      <w:r>
        <w:fldChar w:fldCharType="separate"/>
      </w:r>
      <w:r>
        <w:rPr>
          <w:rStyle w:val="13"/>
          <w:color w:val="0563C1"/>
        </w:rPr>
        <w:t>Ranking system based on technical analysis allied with a fundamental data XGBoost classifier in Financial Markets</w:t>
      </w:r>
      <w:r>
        <w:rPr>
          <w:rStyle w:val="13"/>
          <w:color w:val="0563C1"/>
        </w:rPr>
        <w:fldChar w:fldCharType="end"/>
      </w:r>
    </w:p>
    <w:p w14:paraId="222B2095">
      <w:pPr>
        <w:spacing w:after="200" w:line="400" w:lineRule="atLeast"/>
      </w:pPr>
      <w:r>
        <w:fldChar w:fldCharType="begin"/>
      </w:r>
      <w:r>
        <w:instrText xml:space="preserve"> HYPERLINK "https://www.gotobermuda.com/sites/default/files/2025-03/bta-culture-assessment-full-report.pdf" \h </w:instrText>
      </w:r>
      <w:r>
        <w:fldChar w:fldCharType="separate"/>
      </w:r>
      <w:r>
        <w:rPr>
          <w:rStyle w:val="13"/>
          <w:color w:val="0563C1"/>
        </w:rPr>
        <w:t>Culture Assessment Final Report</w:t>
      </w:r>
      <w:r>
        <w:rPr>
          <w:rStyle w:val="13"/>
          <w:color w:val="0563C1"/>
        </w:rPr>
        <w:fldChar w:fldCharType="end"/>
      </w:r>
    </w:p>
    <w:p w14:paraId="403F897D">
      <w:pPr>
        <w:spacing w:after="200" w:line="400" w:lineRule="atLeast"/>
      </w:pPr>
      <w:r>
        <w:fldChar w:fldCharType="begin"/>
      </w:r>
      <w:r>
        <w:instrText xml:space="preserve"> HYPERLINK "https://advior.com/wp-content/uploads/2022/04/220413_Advior-International-DealBook-2021_13.04.2022.pdf" \h </w:instrText>
      </w:r>
      <w:r>
        <w:fldChar w:fldCharType="separate"/>
      </w:r>
      <w:r>
        <w:rPr>
          <w:rStyle w:val="13"/>
          <w:color w:val="0563C1"/>
        </w:rPr>
        <w:t>Dealbook 2021</w:t>
      </w:r>
      <w:r>
        <w:rPr>
          <w:rStyle w:val="13"/>
          <w:color w:val="0563C1"/>
        </w:rPr>
        <w:fldChar w:fldCharType="end"/>
      </w:r>
    </w:p>
    <w:p w14:paraId="27620AE3">
      <w:pPr>
        <w:spacing w:after="200" w:line="400" w:lineRule="atLeast"/>
      </w:pPr>
      <w:r>
        <w:fldChar w:fldCharType="begin"/>
      </w:r>
      <w:r>
        <w:instrText xml:space="preserve"> HYPERLINK "https://forestresources.org/wp-content/uploads/2025/10/2025-FRA-EC-Book.pdf" \h </w:instrText>
      </w:r>
      <w:r>
        <w:fldChar w:fldCharType="separate"/>
      </w:r>
      <w:r>
        <w:rPr>
          <w:rStyle w:val="13"/>
          <w:color w:val="0563C1"/>
        </w:rPr>
        <w:t>FRA EXECUTIVE COMMITTEE MEETING AGENDA</w:t>
      </w:r>
      <w:r>
        <w:rPr>
          <w:rStyle w:val="13"/>
          <w:color w:val="0563C1"/>
        </w:rPr>
        <w:fldChar w:fldCharType="end"/>
      </w:r>
    </w:p>
    <w:p w14:paraId="1AC9A799">
      <w:pPr>
        <w:spacing w:after="200" w:line="400" w:lineRule="atLeast"/>
      </w:pPr>
      <w:r>
        <w:fldChar w:fldCharType="begin"/>
      </w:r>
      <w:r>
        <w:instrText xml:space="preserve"> HYPERLINK "https://www.bajajfinserv.in/what-are-sectors#%3A~%3Atext%3DThe%20four%20sectors%20of%20the%2Cservices%2C%20including%20retail%20and%20healthcare." \h </w:instrText>
      </w:r>
      <w:r>
        <w:fldChar w:fldCharType="separate"/>
      </w:r>
      <w:r>
        <w:rPr>
          <w:rStyle w:val="13"/>
          <w:color w:val="0563C1"/>
        </w:rPr>
        <w:t>How do sectors work?</w:t>
      </w:r>
      <w:r>
        <w:rPr>
          <w:rStyle w:val="13"/>
          <w:color w:val="0563C1"/>
        </w:rPr>
        <w:fldChar w:fldCharType="end"/>
      </w:r>
    </w:p>
    <w:p w14:paraId="1F17EE04">
      <w:pPr>
        <w:spacing w:after="200" w:line="400" w:lineRule="atLeast"/>
      </w:pPr>
      <w:r>
        <w:fldChar w:fldCharType="begin"/>
      </w:r>
      <w:r>
        <w:instrText xml:space="preserve"> HYPERLINK "https://www.agba.com/media/2023/05/AGBA-Investor-Presentation_Greater-Bay-Area-of-China.pdf" \h </w:instrText>
      </w:r>
      <w:r>
        <w:fldChar w:fldCharType="separate"/>
      </w:r>
      <w:r>
        <w:rPr>
          <w:rStyle w:val="13"/>
          <w:color w:val="0563C1"/>
        </w:rPr>
        <w:t>Greater Bay Area: AGBA's Capabilities and Market Analysis</w:t>
      </w:r>
      <w:r>
        <w:rPr>
          <w:rStyle w:val="13"/>
          <w:color w:val="0563C1"/>
        </w:rPr>
        <w:fldChar w:fldCharType="end"/>
      </w:r>
    </w:p>
    <w:p w14:paraId="040BA00C">
      <w:pPr>
        <w:spacing w:after="200" w:line="400" w:lineRule="atLeast"/>
      </w:pPr>
      <w:r>
        <w:fldChar w:fldCharType="begin"/>
      </w:r>
      <w:r>
        <w:instrText xml:space="preserve"> HYPERLINK "https://www.fe.training/free-resources/financial-markets/market-sectors/" \h </w:instrText>
      </w:r>
      <w:r>
        <w:fldChar w:fldCharType="separate"/>
      </w:r>
      <w:r>
        <w:rPr>
          <w:rStyle w:val="13"/>
          <w:color w:val="0563C1"/>
        </w:rPr>
        <w:t>Market Sectors</w:t>
      </w:r>
      <w:r>
        <w:rPr>
          <w:rStyle w:val="13"/>
          <w:color w:val="0563C1"/>
        </w:rPr>
        <w:fldChar w:fldCharType="end"/>
      </w:r>
    </w:p>
    <w:p w14:paraId="6B0F5E02">
      <w:pPr>
        <w:spacing w:after="200" w:line="400" w:lineRule="atLeast"/>
      </w:pPr>
      <w:r>
        <w:fldChar w:fldCharType="begin"/>
      </w:r>
      <w:r>
        <w:instrText xml:space="preserve"> HYPERLINK "https://public.econ.duke.edu/~get/browse/courses/201/spr12/2009-PRESENTATIONS/2009-04-22/2009-04-22-a.ppt" \h </w:instrText>
      </w:r>
      <w:r>
        <w:fldChar w:fldCharType="separate"/>
      </w:r>
      <w:r>
        <w:rPr>
          <w:rStyle w:val="13"/>
          <w:color w:val="0563C1"/>
        </w:rPr>
        <w:t>HAR-RV Models Including Sector and Market Regressors</w:t>
      </w:r>
      <w:r>
        <w:rPr>
          <w:rStyle w:val="13"/>
          <w:color w:val="0563C1"/>
        </w:rPr>
        <w:fldChar w:fldCharType="end"/>
      </w:r>
    </w:p>
    <w:p w14:paraId="3D21D191">
      <w:pPr>
        <w:spacing w:after="200" w:line="400" w:lineRule="atLeast"/>
      </w:pPr>
      <w:r>
        <w:fldChar w:fldCharType="begin"/>
      </w:r>
      <w:r>
        <w:instrText xml:space="preserve"> HYPERLINK "https://www.sandiegocounty.gov/content/dam/sdc/grandjury/docs/2002-3_Responses.pdf" \h </w:instrText>
      </w:r>
      <w:r>
        <w:fldChar w:fldCharType="separate"/>
      </w:r>
      <w:r>
        <w:rPr>
          <w:rStyle w:val="13"/>
          <w:color w:val="0563C1"/>
        </w:rPr>
        <w:t>2002/03 RESPONSES</w:t>
      </w:r>
      <w:r>
        <w:rPr>
          <w:rStyle w:val="13"/>
          <w:color w:val="0563C1"/>
        </w:rPr>
        <w:fldChar w:fldCharType="end"/>
      </w:r>
    </w:p>
    <w:p w14:paraId="70D61D57">
      <w:pPr>
        <w:spacing w:after="200" w:line="400" w:lineRule="atLeast"/>
      </w:pPr>
      <w:r>
        <w:fldChar w:fldCharType="begin"/>
      </w:r>
      <w:r>
        <w:instrText xml:space="preserve"> HYPERLINK "https://unitesi.unive.it/bitstream/20.500.14247/22402/1/855651-1205213.pdf" \h </w:instrText>
      </w:r>
      <w:r>
        <w:fldChar w:fldCharType="separate"/>
      </w:r>
      <w:r>
        <w:rPr>
          <w:rStyle w:val="13"/>
          <w:color w:val="0563C1"/>
        </w:rPr>
        <w:t>La Direttiva 2014/95/UE e la disclosure di carattere non finanziario</w:t>
      </w:r>
      <w:r>
        <w:rPr>
          <w:rStyle w:val="13"/>
          <w:color w:val="0563C1"/>
        </w:rPr>
        <w:fldChar w:fldCharType="end"/>
      </w:r>
    </w:p>
    <w:p w14:paraId="25306C32">
      <w:pPr>
        <w:spacing w:after="200" w:line="400" w:lineRule="atLeast"/>
      </w:pPr>
      <w:r>
        <w:fldChar w:fldCharType="begin"/>
      </w:r>
      <w:r>
        <w:instrText xml:space="preserve"> HYPERLINK "https://boris-portal.unibe.ch/bitstreams/9df43ca8-ab7c-4290-a457-04a0b29c84d7/download" \h </w:instrText>
      </w:r>
      <w:r>
        <w:fldChar w:fldCharType="separate"/>
      </w:r>
      <w:r>
        <w:rPr>
          <w:rStyle w:val="13"/>
          <w:color w:val="0563C1"/>
        </w:rPr>
        <w:t>Expert reports by large multidisciplinary groups: the case of the International Panel on Climate Change</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A5D2F">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59ADCABA"/>
    <w:multiLevelType w:val="multilevel"/>
    <w:tmpl w:val="59ADCABA"/>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2B302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2007</Words>
  <Characters>12094</Characters>
  <TotalTime>0</TotalTime>
  <ScaleCrop>false</ScaleCrop>
  <LinksUpToDate>false</LinksUpToDate>
  <CharactersWithSpaces>13992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2026-01-18T03:45:26Z</dcterms:created>
  <dc:creator>86188</dc:creator>
  <cp:lastModifiedBy>dyx</cp:lastModifiedBy>
  <dcterms:modified xsi:type="dcterms:W3CDTF">2026-01-18T03:45:36Z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a425f9a8d21b33f78991e9b2a19710e1","ProduceID":"Metasota_docx_6968e1ac22e002cab2b2b924_1_4cd167d5-a8d7-4267-ba21-5b9da95d6add","ReservedCode2":"a425f9a8d21b33f78991e9b2a19710e1","PropagateID":"Metasota_docx_6968e1ac22e002cab2b2b924_1_4cd167d5-a8d7-4267-ba21-5b9da95d6add","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78FBD5D05B81414C92B17F6360B89545_12</vt:lpwstr>
  </property>
</Properties>
</file>