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1" w:line="222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关键要点</w:t>
      </w:r>
    </w:p>
    <w:p>
      <w:pPr>
        <w:pStyle w:val="BodyText"/>
        <w:ind w:left="369"/>
        <w:spacing w:before="214" w:line="212" w:lineRule="auto"/>
        <w:rPr/>
      </w:pPr>
      <w:r>
        <w:rPr>
          <w:spacing w:val="-2"/>
        </w:rPr>
        <w:t>·人口老龄化趋势：据日本国立社会保障与人口问题研究所</w:t>
      </w:r>
      <w:r>
        <w:rPr>
          <w:spacing w:val="-26"/>
        </w:rPr>
        <w:t xml:space="preserve"> </w:t>
      </w:r>
      <w:r>
        <w:rPr>
          <w:rFonts w:ascii="Arial" w:hAnsi="Arial" w:eastAsia="Arial" w:cs="Arial"/>
          <w:spacing w:val="-2"/>
        </w:rPr>
        <w:t>(IPSS)202</w:t>
      </w:r>
      <w:r>
        <w:rPr>
          <w:rFonts w:ascii="Arial" w:hAnsi="Arial" w:eastAsia="Arial" w:cs="Arial"/>
          <w:spacing w:val="-3"/>
        </w:rPr>
        <w:t>3    </w:t>
      </w:r>
      <w:r>
        <w:rPr>
          <w:spacing w:val="-3"/>
        </w:rPr>
        <w:t>年人口预测显示，</w:t>
      </w:r>
    </w:p>
    <w:p>
      <w:pPr>
        <w:pStyle w:val="BodyText"/>
        <w:ind w:left="500"/>
        <w:spacing w:before="158" w:line="221" w:lineRule="auto"/>
        <w:rPr/>
      </w:pPr>
      <w:r>
        <w:rPr>
          <w:spacing w:val="15"/>
        </w:rPr>
        <w:t>日本65岁及以上老年人口比例从2020年的约28.7%上升至2025年的约29.3%,预</w:t>
      </w:r>
      <w:r>
        <w:rPr>
          <w:spacing w:val="14"/>
        </w:rPr>
        <w:t>计到</w:t>
      </w:r>
    </w:p>
    <w:p>
      <w:pPr>
        <w:pStyle w:val="BodyText"/>
        <w:ind w:left="500" w:right="86"/>
        <w:spacing w:before="55" w:line="294" w:lineRule="auto"/>
        <w:rPr/>
      </w:pPr>
      <w:r>
        <w:rPr>
          <w:spacing w:val="14"/>
        </w:rPr>
        <w:t>2050年将达到38-39%,这标志着日本作为超级老龄化社会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14"/>
        </w:rPr>
        <w:t>(</w:t>
      </w:r>
      <w:r>
        <w:rPr>
          <w:rFonts w:ascii="Arial" w:hAnsi="Arial" w:eastAsia="Arial" w:cs="Arial"/>
        </w:rPr>
        <w:t>super</w:t>
      </w:r>
      <w:r>
        <w:rPr>
          <w:rFonts w:ascii="Arial" w:hAnsi="Arial" w:eastAsia="Arial" w:cs="Arial"/>
          <w:spacing w:val="14"/>
        </w:rPr>
        <w:t>-</w:t>
      </w:r>
      <w:r>
        <w:rPr>
          <w:rFonts w:ascii="Arial" w:hAnsi="Arial" w:eastAsia="Arial" w:cs="Arial"/>
        </w:rPr>
        <w:t>aging</w:t>
      </w:r>
      <w:r>
        <w:rPr>
          <w:rFonts w:ascii="Arial" w:hAnsi="Arial" w:eastAsia="Arial" w:cs="Arial"/>
          <w:spacing w:val="14"/>
        </w:rPr>
        <w:t xml:space="preserve">     </w:t>
      </w:r>
      <w:r>
        <w:rPr>
          <w:rFonts w:ascii="Arial" w:hAnsi="Arial" w:eastAsia="Arial" w:cs="Arial"/>
        </w:rPr>
        <w:t>society</w:t>
      </w:r>
      <w:r>
        <w:rPr>
          <w:rFonts w:ascii="Arial" w:hAnsi="Arial" w:eastAsia="Arial" w:cs="Arial"/>
          <w:spacing w:val="14"/>
        </w:rPr>
        <w:t>,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spacing w:val="14"/>
        </w:rPr>
        <w:t>指65</w:t>
      </w:r>
      <w:r>
        <w:rPr/>
        <w:t xml:space="preserve"> </w:t>
      </w:r>
      <w:r>
        <w:rPr>
          <w:spacing w:val="8"/>
        </w:rPr>
        <w:t>岁以上人口占比超过21%的社会状态)的进一步深化。</w:t>
      </w:r>
    </w:p>
    <w:p>
      <w:pPr>
        <w:pStyle w:val="BodyText"/>
        <w:ind w:left="499" w:right="113" w:hanging="130"/>
        <w:spacing w:before="262" w:line="287" w:lineRule="auto"/>
        <w:rPr/>
      </w:pPr>
      <w:r>
        <w:rPr>
          <w:spacing w:val="4"/>
        </w:rPr>
        <w:t>·老年人口规模：研究表明，老年人口绝对数从2020年的约3620万峰值后缓慢下降，但比例</w:t>
      </w:r>
      <w:r>
        <w:rPr/>
        <w:t xml:space="preserve"> </w:t>
      </w:r>
      <w:r>
        <w:rPr>
          <w:spacing w:val="9"/>
        </w:rPr>
        <w:t>持续上升，通常而言，到2050年总人口预计降至约</w:t>
      </w:r>
      <w:r>
        <w:rPr>
          <w:spacing w:val="8"/>
        </w:rPr>
        <w:t>1.05亿，老年人口仍维持在3800-3900</w:t>
      </w:r>
      <w:r>
        <w:rPr/>
        <w:t xml:space="preserve"> </w:t>
      </w:r>
      <w:r>
        <w:rPr>
          <w:spacing w:val="-9"/>
        </w:rPr>
        <w:t>万左右。</w:t>
      </w:r>
    </w:p>
    <w:p>
      <w:pPr>
        <w:pStyle w:val="BodyText"/>
        <w:ind w:left="499" w:right="77" w:hanging="126"/>
        <w:spacing w:before="262" w:line="282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2"/>
        </w:rPr>
        <w:t>·银色经济市场潜力：</w:t>
      </w:r>
      <w:r>
        <w:rPr>
          <w:spacing w:val="-2"/>
        </w:rPr>
        <w:t>据相关行业报告估算，日本银色经济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(silver  economy,</w:t>
      </w:r>
      <w:r>
        <w:rPr>
          <w:spacing w:val="-2"/>
        </w:rPr>
        <w:t>指针对老年人</w:t>
      </w:r>
      <w:r>
        <w:rPr>
          <w:spacing w:val="1"/>
        </w:rPr>
        <w:t xml:space="preserve"> </w:t>
      </w:r>
      <w:r>
        <w:rPr>
          <w:spacing w:val="8"/>
        </w:rPr>
        <w:t>口的产品与服务市场)规模在2020年代已</w:t>
      </w:r>
      <w:r>
        <w:rPr>
          <w:spacing w:val="7"/>
        </w:rPr>
        <w:t>超100万亿日元，在一定程度上，受高科技保健与</w:t>
      </w:r>
      <w:r>
        <w:rPr/>
        <w:t xml:space="preserve"> </w:t>
      </w:r>
      <w:r>
        <w:rPr>
          <w:spacing w:val="7"/>
        </w:rPr>
        <w:t>护理需求驱动，预计到2030-2035年将显著扩张，但需考虑消费弹</w:t>
      </w:r>
      <w:r>
        <w:rPr>
          <w:spacing w:val="6"/>
        </w:rPr>
        <w:t>性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</w:t>
      </w:r>
      <w:r>
        <w:rPr>
          <w:rFonts w:ascii="Times New Roman" w:hAnsi="Times New Roman" w:eastAsia="Times New Roman" w:cs="Times New Roman"/>
        </w:rPr>
        <w:t>consumption</w:t>
      </w:r>
    </w:p>
    <w:p>
      <w:pPr>
        <w:pStyle w:val="BodyText"/>
        <w:ind w:left="500"/>
        <w:spacing w:before="166" w:line="218" w:lineRule="auto"/>
        <w:rPr/>
      </w:pPr>
      <w:r>
        <w:rPr>
          <w:rFonts w:ascii="SimSun" w:hAnsi="SimSun" w:eastAsia="SimSun" w:cs="SimSun"/>
        </w:rPr>
        <w:t>elasticity</w:t>
      </w:r>
      <w:r>
        <w:rPr>
          <w:rFonts w:ascii="SimSun" w:hAnsi="SimSun" w:eastAsia="SimSun" w:cs="SimSun"/>
          <w:spacing w:val="1"/>
        </w:rPr>
        <w:t>,</w:t>
      </w:r>
      <w:r>
        <w:rPr>
          <w:spacing w:val="1"/>
        </w:rPr>
        <w:t>指收入变化对消费影响的敏感度)下降的风险。</w:t>
      </w:r>
    </w:p>
    <w:p>
      <w:pPr>
        <w:pStyle w:val="BodyText"/>
        <w:ind w:left="373"/>
        <w:spacing w:before="260" w:line="213" w:lineRule="auto"/>
        <w:rPr/>
      </w:pPr>
      <w:r>
        <w:rPr>
          <w:b/>
          <w:bCs/>
          <w:spacing w:val="-2"/>
        </w:rPr>
        <w:t>·经济影响复杂性：</w:t>
      </w:r>
      <w:r>
        <w:rPr>
          <w:spacing w:val="-2"/>
        </w:rPr>
        <w:t>证据倾向于老龄化可能带来劳动力短缺</w:t>
      </w:r>
      <w:r>
        <w:rPr>
          <w:spacing w:val="-3"/>
        </w:rPr>
        <w:t>与财政压力，但也孕育长寿红利</w:t>
      </w:r>
    </w:p>
    <w:p>
      <w:pPr>
        <w:pStyle w:val="BodyText"/>
        <w:ind w:left="500" w:right="105" w:firstLine="159"/>
        <w:spacing w:before="129" w:line="266" w:lineRule="auto"/>
        <w:rPr/>
      </w:pP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longevity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</w:rPr>
        <w:t>dividend</w:t>
      </w:r>
      <w:r>
        <w:rPr>
          <w:rFonts w:ascii="SimSun" w:hAnsi="SimSun" w:eastAsia="SimSun" w:cs="SimSun"/>
          <w:spacing w:val="4"/>
        </w:rPr>
        <w:t>,</w:t>
      </w:r>
      <w:r>
        <w:rPr>
          <w:spacing w:val="4"/>
        </w:rPr>
        <w:t>指通过健康老龄化释放的经济潜力),一种可能的路径是通过技术创</w:t>
      </w:r>
      <w:r>
        <w:rPr>
          <w:spacing w:val="1"/>
        </w:rPr>
        <w:t xml:space="preserve"> </w:t>
      </w:r>
      <w:r>
        <w:rPr>
          <w:spacing w:val="-1"/>
        </w:rPr>
        <w:t>新缓解负面影响。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日本老年人口统计概览</w:t>
      </w:r>
    </w:p>
    <w:p>
      <w:pPr>
        <w:pStyle w:val="BodyText"/>
        <w:spacing w:before="213" w:line="213" w:lineRule="auto"/>
        <w:rPr/>
      </w:pPr>
      <w:r>
        <w:rPr>
          <w:spacing w:val="-2"/>
        </w:rPr>
        <w:t>日本是全球老龄化最严重的国家，老年人口比例持续领先。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市场规模估算</w:t>
      </w:r>
    </w:p>
    <w:p>
      <w:pPr>
        <w:pStyle w:val="BodyText"/>
        <w:spacing w:before="231" w:line="213" w:lineRule="auto"/>
        <w:rPr/>
      </w:pPr>
      <w:r>
        <w:rPr>
          <w:spacing w:val="-1"/>
        </w:rPr>
        <w:t>银色经济涵盖保健、护理、旅游等领域，潜力巨大但面临挑战。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未来投影与风险</w:t>
      </w:r>
    </w:p>
    <w:p>
      <w:pPr>
        <w:pStyle w:val="BodyText"/>
        <w:spacing w:before="200" w:line="213" w:lineRule="auto"/>
        <w:rPr/>
      </w:pPr>
      <w:r>
        <w:rPr>
          <w:spacing w:val="4"/>
        </w:rPr>
        <w:t>到2050年，老龄化将深刻影响经济增长与社会结构。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战略机遇</w:t>
      </w:r>
    </w:p>
    <w:p>
      <w:pPr>
        <w:pStyle w:val="BodyText"/>
        <w:spacing w:before="208" w:line="221" w:lineRule="auto"/>
        <w:rPr/>
      </w:pPr>
      <w:r>
        <w:rPr>
          <w:spacing w:val="-3"/>
        </w:rPr>
        <w:t>高科技解决方案与可持续消费模式或成关键。</w:t>
      </w:r>
    </w:p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149522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18"/>
        </w:rPr>
        <w:t>日本老年人口市场规模分析报告(2020-2050)</w:t>
      </w:r>
    </w:p>
    <w:p>
      <w:pPr>
        <w:pStyle w:val="BodyText"/>
        <w:ind w:left="3"/>
        <w:spacing w:before="196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6"/>
        </w:rPr>
        <w:t>I.</w:t>
      </w:r>
      <w:r>
        <w:rPr>
          <w:b/>
          <w:bCs/>
          <w:spacing w:val="-6"/>
        </w:rPr>
        <w:t>引言与研究框架</w:t>
      </w:r>
    </w:p>
    <w:p>
      <w:pPr>
        <w:spacing w:line="222" w:lineRule="auto"/>
        <w:sectPr>
          <w:pgSz w:w="12240" w:h="15840"/>
          <w:pgMar w:top="1126" w:right="1000" w:bottom="0" w:left="980" w:header="0" w:footer="0" w:gutter="0"/>
        </w:sectPr>
        <w:rPr/>
      </w:pPr>
    </w:p>
    <w:p>
      <w:pPr>
        <w:pStyle w:val="BodyText"/>
        <w:spacing w:before="46" w:line="349" w:lineRule="auto"/>
        <w:jc w:val="both"/>
        <w:rPr>
          <w:sz w:val="22"/>
          <w:szCs w:val="22"/>
        </w:rPr>
      </w:pPr>
      <w:r>
        <w:rPr>
          <w:sz w:val="22"/>
          <w:szCs w:val="22"/>
          <w:spacing w:val="14"/>
        </w:rPr>
        <w:t>据日本厚生劳动省</w:t>
      </w:r>
      <w:r>
        <w:rPr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(</w:t>
      </w:r>
      <w:r>
        <w:rPr>
          <w:rFonts w:ascii="SimSun" w:hAnsi="SimSun" w:eastAsia="SimSun" w:cs="SimSun"/>
          <w:sz w:val="22"/>
          <w:szCs w:val="22"/>
        </w:rPr>
        <w:t>Ministry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of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Health</w:t>
      </w:r>
      <w:r>
        <w:rPr>
          <w:rFonts w:ascii="SimSun" w:hAnsi="SimSun" w:eastAsia="SimSun" w:cs="SimSun"/>
          <w:sz w:val="22"/>
          <w:szCs w:val="22"/>
          <w:spacing w:val="14"/>
        </w:rPr>
        <w:t>,</w:t>
      </w:r>
      <w:r>
        <w:rPr>
          <w:rFonts w:ascii="SimSun" w:hAnsi="SimSun" w:eastAsia="SimSun" w:cs="SimSun"/>
          <w:sz w:val="22"/>
          <w:szCs w:val="22"/>
        </w:rPr>
        <w:t>Labour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and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Welfare</w:t>
      </w:r>
      <w:r>
        <w:rPr>
          <w:rFonts w:ascii="SimSun" w:hAnsi="SimSun" w:eastAsia="SimSun" w:cs="SimSun"/>
          <w:sz w:val="22"/>
          <w:szCs w:val="22"/>
          <w:spacing w:val="14"/>
        </w:rPr>
        <w:t>) </w:t>
      </w:r>
      <w:r>
        <w:rPr>
          <w:sz w:val="22"/>
          <w:szCs w:val="22"/>
          <w:spacing w:val="14"/>
        </w:rPr>
        <w:t>与国立社会保障与人口问题研究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4"/>
        </w:rPr>
        <w:t>所</w:t>
      </w:r>
      <w:r>
        <w:rPr>
          <w:sz w:val="22"/>
          <w:szCs w:val="22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National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Institute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Population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Social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>Security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Research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>IPSS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)  </w:t>
      </w:r>
      <w:r>
        <w:rPr>
          <w:sz w:val="22"/>
          <w:szCs w:val="22"/>
          <w:spacing w:val="3"/>
        </w:rPr>
        <w:t>联合报告显示，日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0"/>
        </w:rPr>
        <w:t>本已进入超级老龄化社会阶段，通常而言，这一现象不仅构成人口结构挑战，亦孕育银色经济机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8"/>
        </w:rPr>
        <w:t>遇。世界银行</w:t>
      </w:r>
      <w:r>
        <w:rPr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18"/>
        </w:rPr>
        <w:t>(</w:t>
      </w:r>
      <w:r>
        <w:rPr>
          <w:rFonts w:ascii="Arial" w:hAnsi="Arial" w:eastAsia="Arial" w:cs="Arial"/>
          <w:sz w:val="22"/>
          <w:szCs w:val="22"/>
        </w:rPr>
        <w:t>World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   </w:t>
      </w:r>
      <w:r>
        <w:rPr>
          <w:rFonts w:ascii="Arial" w:hAnsi="Arial" w:eastAsia="Arial" w:cs="Arial"/>
          <w:sz w:val="22"/>
          <w:szCs w:val="22"/>
        </w:rPr>
        <w:t>Bank</w:t>
      </w:r>
      <w:r>
        <w:rPr>
          <w:rFonts w:ascii="Arial" w:hAnsi="Arial" w:eastAsia="Arial" w:cs="Arial"/>
          <w:sz w:val="22"/>
          <w:szCs w:val="22"/>
          <w:spacing w:val="18"/>
        </w:rPr>
        <w:t>)  </w:t>
      </w:r>
      <w:r>
        <w:rPr>
          <w:sz w:val="22"/>
          <w:szCs w:val="22"/>
          <w:spacing w:val="18"/>
        </w:rPr>
        <w:t>相关分析指出，老龄化社会可能通过</w:t>
      </w:r>
      <w:r>
        <w:rPr>
          <w:sz w:val="22"/>
          <w:szCs w:val="22"/>
          <w:spacing w:val="17"/>
        </w:rPr>
        <w:t>长寿红利驱动可持续增长，但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8"/>
        </w:rPr>
        <w:t>需审慎管理财政与劳动力影响。本报告聚焦2020-2050年日本老年人口(定义</w:t>
      </w:r>
      <w:r>
        <w:rPr>
          <w:sz w:val="22"/>
          <w:szCs w:val="22"/>
          <w:spacing w:val="27"/>
        </w:rPr>
        <w:t>为65岁及以上群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3"/>
        </w:rPr>
        <w:t>体)市场规模，探究其经济内涵与战略路径。</w:t>
      </w:r>
    </w:p>
    <w:p>
      <w:pPr>
        <w:pStyle w:val="BodyText"/>
        <w:ind w:left="3"/>
        <w:spacing w:before="253" w:line="221" w:lineRule="auto"/>
        <w:outlineLvl w:val="4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A.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sz w:val="22"/>
          <w:szCs w:val="22"/>
          <w:b/>
          <w:bCs/>
          <w:spacing w:val="16"/>
        </w:rPr>
        <w:t>报告目的与方法论</w:t>
      </w:r>
    </w:p>
    <w:p>
      <w:pPr>
        <w:pStyle w:val="BodyText"/>
        <w:spacing w:before="221" w:line="365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本分析基于</w:t>
      </w:r>
      <w:r>
        <w:rPr>
          <w:rFonts w:ascii="SimSun" w:hAnsi="SimSun" w:eastAsia="SimSun" w:cs="SimSun"/>
          <w:sz w:val="22"/>
          <w:szCs w:val="22"/>
        </w:rPr>
        <w:t>IPSS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 2023</w:t>
      </w:r>
      <w:r>
        <w:rPr>
          <w:sz w:val="22"/>
          <w:szCs w:val="22"/>
          <w:spacing w:val="14"/>
        </w:rPr>
        <w:t>年中等变异预测模型，通常而言，结合联合国</w:t>
      </w:r>
      <w:r>
        <w:rPr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(</w:t>
      </w:r>
      <w:r>
        <w:rPr>
          <w:rFonts w:ascii="SimSun" w:hAnsi="SimSun" w:eastAsia="SimSun" w:cs="SimSun"/>
          <w:sz w:val="22"/>
          <w:szCs w:val="22"/>
        </w:rPr>
        <w:t>UN</w:t>
      </w:r>
      <w:r>
        <w:rPr>
          <w:rFonts w:ascii="SimSun" w:hAnsi="SimSun" w:eastAsia="SimSun" w:cs="SimSun"/>
          <w:sz w:val="22"/>
          <w:szCs w:val="22"/>
          <w:spacing w:val="14"/>
        </w:rPr>
        <w:t>)</w:t>
      </w:r>
      <w:r>
        <w:rPr>
          <w:rFonts w:ascii="SimSun" w:hAnsi="SimSun" w:eastAsia="SimSun" w:cs="SimSun"/>
          <w:sz w:val="22"/>
          <w:szCs w:val="22"/>
          <w:spacing w:val="51"/>
        </w:rPr>
        <w:t xml:space="preserve">  </w:t>
      </w:r>
      <w:r>
        <w:rPr>
          <w:sz w:val="22"/>
          <w:szCs w:val="22"/>
          <w:spacing w:val="14"/>
        </w:rPr>
        <w:t>与经济合作与发展组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0"/>
        </w:rPr>
        <w:t>织</w:t>
      </w:r>
      <w:r>
        <w:rPr>
          <w:sz w:val="22"/>
          <w:szCs w:val="2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OECD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)     </w:t>
      </w:r>
      <w:r>
        <w:rPr>
          <w:sz w:val="22"/>
          <w:szCs w:val="22"/>
          <w:spacing w:val="10"/>
        </w:rPr>
        <w:t>数据，进行市场规模外推。</w:t>
      </w:r>
    </w:p>
    <w:p>
      <w:pPr>
        <w:pStyle w:val="BodyText"/>
        <w:spacing w:before="238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1.</w:t>
      </w:r>
      <w:r>
        <w:rPr>
          <w:sz w:val="22"/>
          <w:szCs w:val="22"/>
          <w:spacing w:val="16"/>
        </w:rPr>
        <w:t>核心概念界定</w:t>
      </w:r>
    </w:p>
    <w:p>
      <w:pPr>
        <w:pStyle w:val="BodyText"/>
        <w:ind w:left="369"/>
        <w:spacing w:before="277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·</w:t>
      </w:r>
      <w:r>
        <w:rPr>
          <w:sz w:val="22"/>
          <w:szCs w:val="22"/>
          <w:spacing w:val="-79"/>
        </w:rPr>
        <w:t xml:space="preserve"> </w:t>
      </w:r>
      <w:r>
        <w:rPr>
          <w:sz w:val="22"/>
          <w:szCs w:val="22"/>
          <w:spacing w:val="18"/>
        </w:rPr>
        <w:t>超级老龄化社会：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8"/>
        </w:rPr>
        <w:t>65岁以上人口占比超过21%的社</w:t>
      </w:r>
      <w:r>
        <w:rPr>
          <w:sz w:val="22"/>
          <w:szCs w:val="22"/>
          <w:spacing w:val="17"/>
        </w:rPr>
        <w:t>会形态，日本于2007年率先进入。</w:t>
      </w:r>
    </w:p>
    <w:p>
      <w:pPr>
        <w:pStyle w:val="BodyText"/>
        <w:ind w:left="369"/>
        <w:spacing w:before="276" w:line="213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·</w:t>
      </w:r>
      <w:r>
        <w:rPr>
          <w:sz w:val="22"/>
          <w:szCs w:val="22"/>
          <w:spacing w:val="-72"/>
        </w:rPr>
        <w:t xml:space="preserve"> </w:t>
      </w:r>
      <w:r>
        <w:rPr>
          <w:sz w:val="22"/>
          <w:szCs w:val="22"/>
          <w:spacing w:val="16"/>
        </w:rPr>
        <w:t>银色经济：针对老年人口需求的产品、服务与投资生态，包括保健、护理、休闲等领域。</w:t>
      </w:r>
    </w:p>
    <w:p>
      <w:pPr>
        <w:pStyle w:val="BodyText"/>
        <w:ind w:left="369"/>
        <w:spacing w:before="286" w:line="213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·</w:t>
      </w:r>
      <w:r>
        <w:rPr>
          <w:sz w:val="22"/>
          <w:szCs w:val="22"/>
          <w:spacing w:val="-68"/>
        </w:rPr>
        <w:t xml:space="preserve"> </w:t>
      </w:r>
      <w:r>
        <w:rPr>
          <w:sz w:val="22"/>
          <w:szCs w:val="22"/>
          <w:spacing w:val="14"/>
        </w:rPr>
        <w:t>消费弹性：老年群体收入变化对消费支出的响应度，通常较低。</w:t>
      </w:r>
    </w:p>
    <w:p>
      <w:pPr>
        <w:pStyle w:val="BodyText"/>
        <w:ind w:left="369"/>
        <w:spacing w:before="296" w:line="222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76"/>
        </w:rPr>
        <w:t xml:space="preserve"> </w:t>
      </w:r>
      <w:r>
        <w:rPr>
          <w:sz w:val="22"/>
          <w:szCs w:val="22"/>
          <w:spacing w:val="13"/>
        </w:rPr>
        <w:t>长寿红利：通过健康管理延长生产性寿命的经济收益。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2.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26"/>
        </w:rPr>
        <w:t>数据来源可靠性评估表(表1:主要来源对比)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来源机构</w:t>
      </w:r>
      <w:r>
        <w:rPr>
          <w:sz w:val="22"/>
          <w:szCs w:val="22"/>
          <w:spacing w:val="-6"/>
        </w:rPr>
        <w:t xml:space="preserve">      </w:t>
      </w:r>
      <w:r>
        <w:rPr>
          <w:sz w:val="22"/>
          <w:szCs w:val="22"/>
          <w:b/>
          <w:bCs/>
          <w:spacing w:val="-6"/>
        </w:rPr>
        <w:t>数据类型</w:t>
      </w:r>
      <w:r>
        <w:rPr>
          <w:sz w:val="22"/>
          <w:szCs w:val="22"/>
          <w:spacing w:val="-6"/>
        </w:rPr>
        <w:t xml:space="preserve">        </w:t>
      </w:r>
      <w:r>
        <w:rPr>
          <w:sz w:val="22"/>
          <w:szCs w:val="22"/>
          <w:b/>
          <w:bCs/>
          <w:spacing w:val="-6"/>
        </w:rPr>
        <w:t>更新频率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b/>
          <w:bCs/>
          <w:spacing w:val="-6"/>
        </w:rPr>
        <w:t>优势分析</w:t>
      </w:r>
      <w:r>
        <w:rPr>
          <w:sz w:val="22"/>
          <w:szCs w:val="22"/>
          <w:spacing w:val="-6"/>
        </w:rPr>
        <w:t xml:space="preserve">                </w:t>
      </w:r>
      <w:r>
        <w:rPr>
          <w:sz w:val="22"/>
          <w:szCs w:val="22"/>
          <w:b/>
          <w:bCs/>
          <w:spacing w:val="-6"/>
        </w:rPr>
        <w:t>潜在局限性</w:t>
      </w:r>
      <w:r>
        <w:rPr>
          <w:sz w:val="22"/>
          <w:szCs w:val="22"/>
          <w:spacing w:val="20"/>
        </w:rPr>
        <w:t xml:space="preserve">     </w:t>
      </w:r>
      <w:r>
        <w:rPr>
          <w:sz w:val="22"/>
          <w:szCs w:val="22"/>
          <w:b/>
          <w:bCs/>
          <w:spacing w:val="-6"/>
        </w:rPr>
        <w:t>适用条件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2" w:line="228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IPSS                 </w:t>
      </w:r>
      <w:r>
        <w:rPr>
          <w:sz w:val="22"/>
          <w:szCs w:val="22"/>
          <w:spacing w:val="-3"/>
        </w:rPr>
        <w:t>人口预测</w:t>
      </w:r>
      <w:r>
        <w:rPr>
          <w:sz w:val="22"/>
          <w:szCs w:val="22"/>
          <w:spacing w:val="-3"/>
        </w:rPr>
        <w:t xml:space="preserve">        </w:t>
      </w:r>
      <w:r>
        <w:rPr>
          <w:sz w:val="22"/>
          <w:szCs w:val="22"/>
          <w:spacing w:val="-3"/>
        </w:rPr>
        <w:t>每5年</w:t>
      </w:r>
      <w:r>
        <w:rPr>
          <w:sz w:val="22"/>
          <w:szCs w:val="22"/>
          <w:spacing w:val="-3"/>
        </w:rPr>
        <w:t xml:space="preserve">  </w:t>
      </w:r>
      <w:r>
        <w:rPr>
          <w:sz w:val="22"/>
          <w:szCs w:val="22"/>
          <w:spacing w:val="-4"/>
        </w:rPr>
        <w:t xml:space="preserve">   </w:t>
      </w:r>
      <w:r>
        <w:rPr>
          <w:sz w:val="22"/>
          <w:szCs w:val="22"/>
          <w:spacing w:val="-4"/>
        </w:rPr>
        <w:t>官方权威、中等变异准确</w:t>
      </w:r>
      <w:r>
        <w:rPr>
          <w:sz w:val="22"/>
          <w:szCs w:val="22"/>
          <w:spacing w:val="-4"/>
        </w:rPr>
        <w:t xml:space="preserve">  </w:t>
      </w:r>
      <w:r>
        <w:rPr>
          <w:sz w:val="22"/>
          <w:szCs w:val="22"/>
          <w:spacing w:val="-4"/>
        </w:rPr>
        <w:t>假设敏感</w:t>
      </w:r>
      <w:r>
        <w:rPr>
          <w:sz w:val="22"/>
          <w:szCs w:val="22"/>
          <w:spacing w:val="-4"/>
        </w:rPr>
        <w:t xml:space="preserve">        </w:t>
      </w:r>
      <w:r>
        <w:rPr>
          <w:sz w:val="22"/>
          <w:szCs w:val="22"/>
          <w:spacing w:val="-4"/>
        </w:rPr>
        <w:t>长期趋势</w:t>
      </w:r>
    </w:p>
    <w:p>
      <w:pPr>
        <w:spacing w:line="40" w:lineRule="exact"/>
        <w:rPr/>
      </w:pPr>
      <w:r/>
    </w:p>
    <w:tbl>
      <w:tblPr>
        <w:tblStyle w:val="TableNormal"/>
        <w:tblW w:w="99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0"/>
        <w:gridCol w:w="1730"/>
        <w:gridCol w:w="940"/>
        <w:gridCol w:w="1963"/>
        <w:gridCol w:w="2330"/>
        <w:gridCol w:w="1566"/>
      </w:tblGrid>
      <w:tr>
        <w:trPr>
          <w:trHeight w:val="607" w:hRule="atLeast"/>
        </w:trPr>
        <w:tc>
          <w:tcPr>
            <w:tcW w:w="1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8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0"/>
              </w:rPr>
              <w:t>厚生劳动省</w:t>
            </w:r>
          </w:p>
        </w:tc>
        <w:tc>
          <w:tcPr>
            <w:tcW w:w="173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9"/>
              <w:spacing w:before="281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健康与福利统计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"/>
              <w:spacing w:before="29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年度</w:t>
            </w:r>
          </w:p>
        </w:tc>
        <w:tc>
          <w:tcPr>
            <w:tcW w:w="19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9"/>
              <w:spacing w:before="29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实证详尽</w:t>
            </w:r>
          </w:p>
        </w:tc>
        <w:tc>
          <w:tcPr>
            <w:tcW w:w="233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46"/>
              <w:spacing w:before="294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区域偏差</w:t>
            </w:r>
          </w:p>
        </w:tc>
        <w:tc>
          <w:tcPr>
            <w:tcW w:w="156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6"/>
              <w:spacing w:before="29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国内政策</w:t>
            </w:r>
          </w:p>
        </w:tc>
      </w:tr>
      <w:tr>
        <w:trPr>
          <w:trHeight w:val="607" w:hRule="atLeast"/>
        </w:trPr>
        <w:tc>
          <w:tcPr>
            <w:tcW w:w="1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80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联合国人口司</w:t>
            </w:r>
          </w:p>
        </w:tc>
        <w:tc>
          <w:tcPr>
            <w:tcW w:w="173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9"/>
              <w:spacing w:before="28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0"/>
              </w:rPr>
              <w:t>全球比较投影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"/>
              <w:spacing w:before="28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3"/>
              </w:rPr>
              <w:t>每2年</w:t>
            </w:r>
          </w:p>
        </w:tc>
        <w:tc>
          <w:tcPr>
            <w:tcW w:w="19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9"/>
              <w:spacing w:before="28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国际基准</w:t>
            </w:r>
          </w:p>
        </w:tc>
        <w:tc>
          <w:tcPr>
            <w:tcW w:w="233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46"/>
              <w:spacing w:before="280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6"/>
              </w:rPr>
              <w:t>日本特定性弱</w:t>
            </w:r>
          </w:p>
        </w:tc>
        <w:tc>
          <w:tcPr>
            <w:tcW w:w="156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6"/>
              <w:spacing w:before="290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6"/>
              </w:rPr>
              <w:t>跨国分析</w:t>
            </w:r>
          </w:p>
        </w:tc>
      </w:tr>
    </w:tbl>
    <w:p>
      <w:pPr>
        <w:pStyle w:val="BodyText"/>
        <w:spacing w:before="278" w:line="22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u w:val="single" w:color="auto"/>
          <w:position w:val="-1"/>
        </w:rPr>
        <w:t>OFCD</w:t>
      </w:r>
      <w:r>
        <w:rPr>
          <w:rFonts w:ascii="Arial" w:hAnsi="Arial" w:eastAsia="Arial" w:cs="Arial"/>
          <w:sz w:val="22"/>
          <w:szCs w:val="22"/>
          <w:spacing w:val="-33"/>
          <w:position w:val="-1"/>
        </w:rPr>
        <w:t xml:space="preserve"> </w:t>
      </w:r>
      <w:r>
        <w:rPr>
          <w:sz w:val="22"/>
          <w:szCs w:val="22"/>
          <w:u w:val="single" w:color="auto"/>
          <w:spacing w:val="7"/>
        </w:rPr>
        <w:t xml:space="preserve">     </w:t>
      </w:r>
      <w:r>
        <w:rPr>
          <w:sz w:val="22"/>
          <w:szCs w:val="22"/>
          <w:u w:val="single" w:color="auto"/>
          <w:spacing w:val="7"/>
        </w:rPr>
        <w:t>经济影响评估</w:t>
      </w:r>
      <w:r>
        <w:rPr>
          <w:sz w:val="22"/>
          <w:szCs w:val="22"/>
          <w:u w:val="single" w:color="auto"/>
          <w:spacing w:val="18"/>
        </w:rPr>
        <w:t xml:space="preserve">   </w:t>
      </w:r>
      <w:r>
        <w:rPr>
          <w:sz w:val="22"/>
          <w:szCs w:val="22"/>
          <w:u w:val="single" w:color="auto"/>
          <w:spacing w:val="7"/>
        </w:rPr>
        <w:t>年</w:t>
      </w:r>
      <w:r>
        <w:rPr>
          <w:sz w:val="22"/>
          <w:szCs w:val="22"/>
          <w:u w:val="single" w:color="auto"/>
          <w:spacing w:val="-30"/>
        </w:rPr>
        <w:t xml:space="preserve"> </w:t>
      </w:r>
      <w:r>
        <w:rPr>
          <w:sz w:val="22"/>
          <w:szCs w:val="22"/>
          <w:u w:val="single" w:color="auto"/>
          <w:spacing w:val="7"/>
        </w:rPr>
        <w:t>度</w:t>
      </w:r>
      <w:r>
        <w:rPr>
          <w:sz w:val="22"/>
          <w:szCs w:val="22"/>
          <w:u w:val="single" w:color="auto"/>
          <w:spacing w:val="15"/>
        </w:rPr>
        <w:t xml:space="preserve">    </w:t>
      </w:r>
      <w:r>
        <w:rPr>
          <w:sz w:val="22"/>
          <w:szCs w:val="22"/>
          <w:u w:val="single" w:color="auto"/>
          <w:spacing w:val="7"/>
        </w:rPr>
        <w:t>宏观视角</w:t>
      </w:r>
      <w:r>
        <w:rPr>
          <w:sz w:val="22"/>
          <w:szCs w:val="22"/>
          <w:u w:val="single" w:color="auto"/>
          <w:spacing w:val="7"/>
        </w:rPr>
        <w:t xml:space="preserve">            </w:t>
      </w:r>
      <w:r>
        <w:rPr>
          <w:sz w:val="21"/>
          <w:szCs w:val="21"/>
          <w:u w:val="single" w:color="auto"/>
          <w:spacing w:val="7"/>
        </w:rPr>
        <w:t>定</w:t>
      </w:r>
      <w:r>
        <w:rPr>
          <w:sz w:val="21"/>
          <w:szCs w:val="21"/>
          <w:u w:val="single" w:color="auto"/>
          <w:spacing w:val="6"/>
        </w:rPr>
        <w:t xml:space="preserve"> </w:t>
      </w:r>
      <w:r>
        <w:rPr>
          <w:sz w:val="21"/>
          <w:szCs w:val="21"/>
          <w:u w:val="single" w:color="auto"/>
          <w:spacing w:val="6"/>
        </w:rPr>
        <w:t>性</w:t>
      </w:r>
      <w:r>
        <w:rPr>
          <w:sz w:val="21"/>
          <w:szCs w:val="21"/>
          <w:u w:val="single" w:color="auto"/>
          <w:spacing w:val="6"/>
        </w:rPr>
        <w:t xml:space="preserve"> </w:t>
      </w:r>
      <w:r>
        <w:rPr>
          <w:sz w:val="21"/>
          <w:szCs w:val="21"/>
          <w:u w:val="single" w:color="auto"/>
          <w:spacing w:val="6"/>
        </w:rPr>
        <w:t>为</w:t>
      </w:r>
      <w:r>
        <w:rPr>
          <w:sz w:val="21"/>
          <w:szCs w:val="21"/>
          <w:u w:val="single" w:color="auto"/>
          <w:spacing w:val="6"/>
        </w:rPr>
        <w:t xml:space="preserve"> </w:t>
      </w:r>
      <w:r>
        <w:rPr>
          <w:sz w:val="21"/>
          <w:szCs w:val="21"/>
          <w:u w:val="single" w:color="auto"/>
          <w:spacing w:val="6"/>
        </w:rPr>
        <w:t>主</w:t>
      </w:r>
      <w:r>
        <w:rPr>
          <w:sz w:val="21"/>
          <w:szCs w:val="21"/>
          <w:u w:val="single" w:color="auto"/>
          <w:spacing w:val="6"/>
        </w:rPr>
        <w:t xml:space="preserve">      </w:t>
      </w:r>
      <w:r>
        <w:rPr>
          <w:sz w:val="22"/>
          <w:szCs w:val="22"/>
          <w:u w:val="single" w:color="auto"/>
          <w:spacing w:val="6"/>
        </w:rPr>
        <w:t>增</w:t>
      </w:r>
      <w:r>
        <w:rPr>
          <w:sz w:val="22"/>
          <w:szCs w:val="22"/>
          <w:u w:val="single" w:color="auto"/>
          <w:spacing w:val="6"/>
        </w:rPr>
        <w:t xml:space="preserve"> </w:t>
      </w:r>
      <w:r>
        <w:rPr>
          <w:sz w:val="22"/>
          <w:szCs w:val="22"/>
          <w:u w:val="single" w:color="auto"/>
          <w:spacing w:val="6"/>
        </w:rPr>
        <w:t>长</w:t>
      </w:r>
      <w:r>
        <w:rPr>
          <w:sz w:val="22"/>
          <w:szCs w:val="22"/>
          <w:u w:val="single" w:color="auto"/>
          <w:spacing w:val="6"/>
        </w:rPr>
        <w:t xml:space="preserve"> </w:t>
      </w:r>
      <w:r>
        <w:rPr>
          <w:sz w:val="22"/>
          <w:szCs w:val="22"/>
          <w:u w:val="single" w:color="auto"/>
          <w:spacing w:val="6"/>
        </w:rPr>
        <w:t>影</w:t>
      </w:r>
      <w:r>
        <w:rPr>
          <w:sz w:val="22"/>
          <w:szCs w:val="22"/>
          <w:u w:val="single" w:color="auto"/>
          <w:spacing w:val="6"/>
        </w:rPr>
        <w:t xml:space="preserve"> </w:t>
      </w:r>
      <w:r>
        <w:rPr>
          <w:sz w:val="22"/>
          <w:szCs w:val="22"/>
          <w:u w:val="single" w:color="auto"/>
          <w:spacing w:val="6"/>
        </w:rPr>
        <w:t>响</w:t>
      </w:r>
      <w:r>
        <w:rPr>
          <w:sz w:val="22"/>
          <w:szCs w:val="22"/>
          <w:u w:val="single" w:color="auto"/>
          <w:spacing w:val="6"/>
        </w:rPr>
        <w:t xml:space="preserve">    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72" w:line="230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世界银行</w:t>
      </w:r>
      <w:r>
        <w:rPr>
          <w:sz w:val="22"/>
          <w:szCs w:val="22"/>
          <w:spacing w:val="-5"/>
        </w:rPr>
        <w:t xml:space="preserve">      </w:t>
      </w:r>
      <w:r>
        <w:rPr>
          <w:sz w:val="22"/>
          <w:szCs w:val="22"/>
          <w:spacing w:val="-5"/>
          <w:position w:val="1"/>
        </w:rPr>
        <w:t>发展指标</w:t>
      </w:r>
      <w:r>
        <w:rPr>
          <w:sz w:val="22"/>
          <w:szCs w:val="22"/>
          <w:spacing w:val="-5"/>
          <w:position w:val="1"/>
        </w:rPr>
        <w:t xml:space="preserve">        </w:t>
      </w:r>
      <w:r>
        <w:rPr>
          <w:sz w:val="22"/>
          <w:szCs w:val="22"/>
          <w:spacing w:val="-5"/>
        </w:rPr>
        <w:t>年度</w:t>
      </w:r>
      <w:r>
        <w:rPr>
          <w:sz w:val="22"/>
          <w:szCs w:val="22"/>
          <w:spacing w:val="22"/>
        </w:rPr>
        <w:t xml:space="preserve">     </w:t>
      </w:r>
      <w:r>
        <w:rPr>
          <w:sz w:val="22"/>
          <w:szCs w:val="22"/>
          <w:spacing w:val="-5"/>
        </w:rPr>
        <w:t>财政可持续</w:t>
      </w:r>
      <w:r>
        <w:rPr>
          <w:sz w:val="22"/>
          <w:szCs w:val="22"/>
          <w:spacing w:val="-5"/>
        </w:rPr>
        <w:t xml:space="preserve">              </w:t>
      </w:r>
      <w:r>
        <w:rPr>
          <w:sz w:val="22"/>
          <w:szCs w:val="22"/>
          <w:spacing w:val="-5"/>
        </w:rPr>
        <w:t>发展中国家偏重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5"/>
        </w:rPr>
        <w:t>全球视野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spacing w:before="71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该表显示来源互补，但辩证而言，其局限在于预测不确定性，适用条件需多情景验证。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B.</w:t>
      </w:r>
      <w:r>
        <w:rPr>
          <w:rFonts w:ascii="Times New Roman" w:hAnsi="Times New Roman" w:eastAsia="Times New Roman" w:cs="Times New Roman"/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7"/>
        </w:rPr>
        <w:t>研究范围与边界</w:t>
      </w:r>
    </w:p>
    <w:p>
      <w:pPr>
        <w:pStyle w:val="BodyText"/>
        <w:ind w:right="31"/>
        <w:spacing w:before="226" w:line="381" w:lineRule="auto"/>
        <w:rPr>
          <w:sz w:val="22"/>
          <w:szCs w:val="22"/>
        </w:rPr>
      </w:pPr>
      <w:r>
        <w:rPr>
          <w:sz w:val="22"/>
          <w:szCs w:val="22"/>
          <w:spacing w:val="32"/>
        </w:rPr>
        <w:t>分析期2020-2050,焦点老年市场规模(保健、护理、旅游</w:t>
      </w:r>
      <w:r>
        <w:rPr>
          <w:sz w:val="22"/>
          <w:szCs w:val="22"/>
          <w:spacing w:val="31"/>
        </w:rPr>
        <w:t>、消费品),在某种程度上排除宏观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7"/>
        </w:rPr>
        <w:t>财政全域。</w:t>
      </w:r>
    </w:p>
    <w:p>
      <w:pPr>
        <w:spacing w:line="381" w:lineRule="auto"/>
        <w:sectPr>
          <w:pgSz w:w="12240" w:h="15840"/>
          <w:pgMar w:top="1159" w:right="1080" w:bottom="0" w:left="980" w:header="0" w:footer="0" w:gutter="0"/>
        </w:sectPr>
        <w:rPr>
          <w:sz w:val="22"/>
          <w:szCs w:val="22"/>
        </w:rPr>
      </w:pPr>
    </w:p>
    <w:p>
      <w:pPr>
        <w:pStyle w:val="BodyText"/>
        <w:ind w:left="53"/>
        <w:spacing w:before="48" w:line="222" w:lineRule="auto"/>
        <w:outlineLvl w:val="3"/>
        <w:rPr/>
      </w:pPr>
      <w:r>
        <w:rPr>
          <w:rFonts w:ascii="SimSun" w:hAnsi="SimSun" w:eastAsia="SimSun" w:cs="SimSun"/>
          <w:b/>
          <w:bCs/>
        </w:rPr>
        <w:t>II</w:t>
      </w:r>
      <w:r>
        <w:rPr>
          <w:rFonts w:ascii="SimSun" w:hAnsi="SimSun" w:eastAsia="SimSun" w:cs="SimSun"/>
          <w:b/>
          <w:bCs/>
          <w:spacing w:val="14"/>
        </w:rPr>
        <w:t>.</w:t>
      </w:r>
      <w:r>
        <w:rPr>
          <w:b/>
          <w:bCs/>
          <w:spacing w:val="14"/>
        </w:rPr>
        <w:t>日本老年人口动态(2020-2050)</w:t>
      </w:r>
    </w:p>
    <w:p>
      <w:pPr>
        <w:pStyle w:val="BodyText"/>
        <w:ind w:left="50" w:right="90"/>
        <w:spacing w:before="213" w:line="340" w:lineRule="auto"/>
        <w:rPr/>
      </w:pPr>
      <w:r>
        <w:rPr/>
        <w:t>据</w:t>
      </w:r>
      <w:r>
        <w:rPr>
          <w:rFonts w:ascii="SimSun" w:hAnsi="SimSun" w:eastAsia="SimSun" w:cs="SimSun"/>
        </w:rPr>
        <w:t>IPSS  2023</w:t>
      </w:r>
      <w:r>
        <w:rPr/>
        <w:t>修订预测，日本老年人口比例持续上升，通常而言，这构成超级老龄化社会的核心</w:t>
      </w:r>
      <w:r>
        <w:rPr>
          <w:spacing w:val="17"/>
        </w:rPr>
        <w:t xml:space="preserve"> </w:t>
      </w:r>
      <w:r>
        <w:rPr>
          <w:spacing w:val="-9"/>
        </w:rPr>
        <w:t>特征。</w:t>
      </w:r>
    </w:p>
    <w:p>
      <w:pPr>
        <w:pStyle w:val="BodyText"/>
        <w:ind w:left="50"/>
        <w:spacing w:before="197" w:line="222" w:lineRule="auto"/>
        <w:rPr/>
      </w:pPr>
      <w:r>
        <w:rPr>
          <w:rFonts w:ascii="SimSun" w:hAnsi="SimSun" w:eastAsia="SimSun" w:cs="SimSun"/>
          <w:spacing w:val="3"/>
        </w:rPr>
        <w:t>A.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3"/>
        </w:rPr>
        <w:t>历史与当前现状</w:t>
      </w:r>
    </w:p>
    <w:p>
      <w:pPr>
        <w:pStyle w:val="BodyText"/>
        <w:ind w:left="50"/>
        <w:spacing w:before="250" w:line="213" w:lineRule="auto"/>
        <w:rPr/>
      </w:pPr>
      <w:r>
        <w:rPr>
          <w:spacing w:val="11"/>
        </w:rPr>
        <w:t>据内阁府2024年老龄社会白皮书，2025年老年人口约3620万，占比29.3%。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50"/>
        <w:spacing w:before="78" w:line="213" w:lineRule="auto"/>
        <w:rPr/>
      </w:pPr>
      <w:r>
        <w:rPr>
          <w:rFonts w:ascii="Arial" w:hAnsi="Arial" w:eastAsia="Arial" w:cs="Arial"/>
          <w:spacing w:val="15"/>
        </w:rPr>
        <w:t>1.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5"/>
        </w:rPr>
        <w:t>老年人口比例趋势表(表2:2020-2050关键节点</w:t>
      </w:r>
      <w:r>
        <w:rPr>
          <w:spacing w:val="14"/>
        </w:rPr>
        <w:t>，基于</w:t>
      </w:r>
      <w:r>
        <w:rPr>
          <w:rFonts w:ascii="Arial" w:hAnsi="Arial" w:eastAsia="Arial" w:cs="Arial"/>
        </w:rPr>
        <w:t>IPSS</w:t>
      </w:r>
      <w:r>
        <w:rPr>
          <w:spacing w:val="14"/>
        </w:rPr>
        <w:t>中等变异)</w:t>
      </w:r>
    </w:p>
    <w:p>
      <w:pPr>
        <w:ind w:left="740"/>
        <w:spacing w:before="202" w:line="19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总人口(百</w:t>
      </w:r>
      <w:r>
        <w:rPr>
          <w:rFonts w:ascii="SimSun" w:hAnsi="SimSun" w:eastAsia="SimSun" w:cs="SimSun"/>
          <w:sz w:val="23"/>
          <w:szCs w:val="23"/>
          <w:spacing w:val="37"/>
        </w:rPr>
        <w:t xml:space="preserve">  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65+人口(百</w:t>
      </w:r>
      <w:r>
        <w:rPr>
          <w:rFonts w:ascii="SimSun" w:hAnsi="SimSun" w:eastAsia="SimSun" w:cs="SimSun"/>
          <w:sz w:val="23"/>
          <w:szCs w:val="23"/>
          <w:spacing w:val="-2"/>
        </w:rPr>
        <w:t xml:space="preserve">  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占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比</w:t>
      </w:r>
      <w:r>
        <w:rPr>
          <w:rFonts w:ascii="SimSun" w:hAnsi="SimSun" w:eastAsia="SimSun" w:cs="SimSun"/>
          <w:sz w:val="23"/>
          <w:szCs w:val="23"/>
          <w:spacing w:val="-2"/>
        </w:rPr>
        <w:t xml:space="preserve">     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80+人口占比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          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潜在局限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     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适用</w:t>
      </w:r>
    </w:p>
    <w:p>
      <w:pPr>
        <w:ind w:left="73"/>
        <w:spacing w:line="17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年份</w:t>
      </w:r>
    </w:p>
    <w:p>
      <w:pPr>
        <w:ind w:left="893"/>
        <w:spacing w:line="21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万)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     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万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)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        </w:t>
      </w:r>
      <w:r>
        <w:rPr>
          <w:rFonts w:ascii="SimSun" w:hAnsi="SimSun" w:eastAsia="SimSun" w:cs="SimSun"/>
          <w:sz w:val="23"/>
          <w:szCs w:val="23"/>
          <w:spacing w:val="-7"/>
        </w:rPr>
        <w:t>(%)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     </w:t>
      </w:r>
      <w:r>
        <w:rPr>
          <w:rFonts w:ascii="SimSun" w:hAnsi="SimSun" w:eastAsia="SimSun" w:cs="SimSun"/>
          <w:sz w:val="23"/>
          <w:szCs w:val="23"/>
          <w:spacing w:val="-7"/>
        </w:rPr>
        <w:t>(%)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        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优势分析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 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性</w:t>
      </w:r>
      <w:r>
        <w:rPr>
          <w:rFonts w:ascii="SimSun" w:hAnsi="SimSun" w:eastAsia="SimSun" w:cs="SimSun"/>
          <w:sz w:val="23"/>
          <w:szCs w:val="23"/>
          <w:spacing w:val="-7"/>
        </w:rPr>
        <w:t xml:space="preserve">             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条件</w:t>
      </w:r>
    </w:p>
    <w:p>
      <w:pPr>
        <w:spacing w:before="15"/>
        <w:rPr/>
      </w:pPr>
      <w:r/>
    </w:p>
    <w:p>
      <w:pPr>
        <w:sectPr>
          <w:pgSz w:w="12240" w:h="15840"/>
          <w:pgMar w:top="1106" w:right="1071" w:bottom="0" w:left="929" w:header="0" w:footer="0" w:gutter="0"/>
          <w:cols w:equalWidth="0" w:num="1">
            <w:col w:w="10239" w:space="0"/>
          </w:cols>
        </w:sectPr>
        <w:rPr/>
      </w:pPr>
    </w:p>
    <w:p>
      <w:pPr>
        <w:ind w:left="70"/>
        <w:spacing w:before="167" w:line="2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2020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3"/>
        </w:rPr>
        <w:t>126.2      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36.2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       </w:t>
      </w:r>
      <w:r>
        <w:rPr>
          <w:rFonts w:ascii="SimSun" w:hAnsi="SimSun" w:eastAsia="SimSun" w:cs="SimSun"/>
          <w:sz w:val="23"/>
          <w:szCs w:val="23"/>
          <w:spacing w:val="-3"/>
        </w:rPr>
        <w:t>28.7</w:t>
      </w:r>
      <w:r>
        <w:rPr>
          <w:rFonts w:ascii="SimSun" w:hAnsi="SimSun" w:eastAsia="SimSun" w:cs="SimSun"/>
          <w:sz w:val="23"/>
          <w:szCs w:val="23"/>
        </w:rPr>
        <w:t xml:space="preserve">      </w:t>
      </w:r>
      <w:r>
        <w:rPr>
          <w:rFonts w:ascii="SimSun" w:hAnsi="SimSun" w:eastAsia="SimSun" w:cs="SimSun"/>
          <w:sz w:val="23"/>
          <w:szCs w:val="23"/>
          <w:spacing w:val="-3"/>
        </w:rPr>
        <w:t>~10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20"/>
        <w:spacing w:before="46" w:line="25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峰值绝对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65" w:firstLine="59"/>
        <w:spacing w:before="46" w:line="25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4"/>
        </w:rPr>
        <w:t>劳动力压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力初现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政策干预期</w:t>
      </w:r>
    </w:p>
    <w:p>
      <w:pPr>
        <w:spacing w:line="219" w:lineRule="auto"/>
        <w:sectPr>
          <w:type w:val="continuous"/>
          <w:pgSz w:w="12240" w:h="15840"/>
          <w:pgMar w:top="1106" w:right="1071" w:bottom="0" w:left="929" w:header="0" w:footer="0" w:gutter="0"/>
          <w:cols w:equalWidth="0" w:num="4">
            <w:col w:w="6480" w:space="100"/>
            <w:col w:w="1041" w:space="100"/>
            <w:col w:w="1130" w:space="100"/>
            <w:col w:w="1289" w:space="0"/>
          </w:cols>
        </w:sectPr>
        <w:rPr>
          <w:rFonts w:ascii="SimSun" w:hAnsi="SimSun" w:eastAsia="SimSun" w:cs="SimSun"/>
          <w:sz w:val="23"/>
          <w:szCs w:val="23"/>
        </w:rPr>
      </w:pPr>
    </w:p>
    <w:tbl>
      <w:tblPr>
        <w:tblStyle w:val="TableNormal"/>
        <w:tblW w:w="101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5"/>
        <w:gridCol w:w="1112"/>
        <w:gridCol w:w="1452"/>
        <w:gridCol w:w="1338"/>
        <w:gridCol w:w="1315"/>
        <w:gridCol w:w="1743"/>
        <w:gridCol w:w="1185"/>
        <w:gridCol w:w="1350"/>
      </w:tblGrid>
      <w:tr>
        <w:trPr>
          <w:trHeight w:val="972" w:hRule="atLeast"/>
        </w:trPr>
        <w:tc>
          <w:tcPr>
            <w:tcW w:w="6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74"/>
              <w:rPr/>
            </w:pPr>
            <w:r>
              <w:rPr>
                <w:spacing w:val="-3"/>
              </w:rPr>
              <w:t>2025</w:t>
            </w:r>
          </w:p>
        </w:tc>
        <w:tc>
          <w:tcPr>
            <w:tcW w:w="11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74"/>
              <w:rPr/>
            </w:pPr>
            <w:r>
              <w:rPr>
                <w:spacing w:val="-2"/>
              </w:rPr>
              <w:t>~123</w:t>
            </w:r>
          </w:p>
        </w:tc>
        <w:tc>
          <w:tcPr>
            <w:tcW w:w="14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6"/>
              <w:spacing w:before="74" w:line="239" w:lineRule="auto"/>
              <w:rPr/>
            </w:pPr>
            <w:r>
              <w:rPr>
                <w:b/>
                <w:bCs/>
                <w:spacing w:val="-5"/>
              </w:rPr>
              <w:t>36.2</w:t>
            </w:r>
          </w:p>
        </w:tc>
        <w:tc>
          <w:tcPr>
            <w:tcW w:w="13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1"/>
              <w:spacing w:before="75" w:line="239" w:lineRule="auto"/>
              <w:rPr/>
            </w:pPr>
            <w:r>
              <w:rPr>
                <w:spacing w:val="-3"/>
              </w:rPr>
              <w:t>29.3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2"/>
              <w:spacing w:before="75" w:line="241" w:lineRule="auto"/>
              <w:rPr/>
            </w:pPr>
            <w:r>
              <w:rPr>
                <w:spacing w:val="-2"/>
              </w:rPr>
              <w:t>~11</w:t>
            </w:r>
          </w:p>
        </w:tc>
        <w:tc>
          <w:tcPr>
            <w:tcW w:w="1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37"/>
              <w:spacing w:before="174" w:line="219" w:lineRule="auto"/>
              <w:rPr/>
            </w:pPr>
            <w:r>
              <w:rPr>
                <w:spacing w:val="-2"/>
              </w:rPr>
              <w:t>稳定高峰</w:t>
            </w:r>
          </w:p>
        </w:tc>
        <w:tc>
          <w:tcPr>
            <w:tcW w:w="11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5" w:right="139"/>
              <w:spacing w:before="174" w:line="316" w:lineRule="auto"/>
              <w:rPr/>
            </w:pPr>
            <w:r>
              <w:rPr>
                <w:spacing w:val="2"/>
              </w:rPr>
              <w:t>护理需求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激增</w:t>
            </w:r>
          </w:p>
        </w:tc>
        <w:tc>
          <w:tcPr>
            <w:tcW w:w="13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right="19"/>
              <w:spacing w:before="171" w:line="219" w:lineRule="auto"/>
              <w:jc w:val="right"/>
              <w:rPr/>
            </w:pPr>
            <w:r>
              <w:rPr>
                <w:b/>
                <w:bCs/>
                <w:spacing w:val="2"/>
              </w:rPr>
              <w:t>银色市场启</w:t>
            </w:r>
          </w:p>
          <w:p>
            <w:pPr>
              <w:pStyle w:val="TableText"/>
              <w:ind w:left="1069"/>
              <w:spacing w:before="221" w:line="220" w:lineRule="auto"/>
              <w:rPr/>
            </w:pPr>
            <w:r>
              <w:rPr/>
              <w:t>动</w:t>
            </w:r>
          </w:p>
        </w:tc>
      </w:tr>
      <w:tr>
        <w:trPr>
          <w:trHeight w:val="957" w:hRule="atLeast"/>
        </w:trPr>
        <w:tc>
          <w:tcPr>
            <w:tcW w:w="6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74"/>
              <w:rPr/>
            </w:pPr>
            <w:r>
              <w:rPr>
                <w:spacing w:val="-3"/>
              </w:rPr>
              <w:t>2030</w:t>
            </w:r>
          </w:p>
        </w:tc>
        <w:tc>
          <w:tcPr>
            <w:tcW w:w="11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74"/>
              <w:rPr/>
            </w:pPr>
            <w:r>
              <w:rPr>
                <w:spacing w:val="-2"/>
              </w:rPr>
              <w:t>~120</w:t>
            </w:r>
          </w:p>
        </w:tc>
        <w:tc>
          <w:tcPr>
            <w:tcW w:w="14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3"/>
              <w:spacing w:before="75" w:line="239" w:lineRule="auto"/>
              <w:rPr/>
            </w:pPr>
            <w:r>
              <w:rPr>
                <w:spacing w:val="-3"/>
              </w:rPr>
              <w:t>37.0</w:t>
            </w:r>
          </w:p>
        </w:tc>
        <w:tc>
          <w:tcPr>
            <w:tcW w:w="13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1"/>
              <w:spacing w:before="75" w:line="239" w:lineRule="auto"/>
              <w:rPr/>
            </w:pPr>
            <w:r>
              <w:rPr>
                <w:spacing w:val="-3"/>
              </w:rPr>
              <w:t>30.8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2"/>
              <w:spacing w:before="74"/>
              <w:rPr/>
            </w:pPr>
            <w:r>
              <w:rPr>
                <w:spacing w:val="-2"/>
              </w:rPr>
              <w:t>~13</w:t>
            </w:r>
          </w:p>
        </w:tc>
        <w:tc>
          <w:tcPr>
            <w:tcW w:w="1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8" w:right="87"/>
              <w:spacing w:before="75" w:line="250" w:lineRule="auto"/>
              <w:rPr/>
            </w:pPr>
            <w:r>
              <w:rPr>
                <w:spacing w:val="4"/>
              </w:rPr>
              <w:t>长寿红利</w:t>
            </w:r>
            <w:r>
              <w:rPr/>
              <w:t xml:space="preserve"> </w:t>
            </w:r>
            <w:r>
              <w:rPr>
                <w:spacing w:val="14"/>
              </w:rPr>
              <w:t>潜力</w:t>
            </w:r>
          </w:p>
        </w:tc>
        <w:tc>
          <w:tcPr>
            <w:tcW w:w="11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149"/>
              <w:spacing w:before="75" w:line="251" w:lineRule="auto"/>
              <w:rPr/>
            </w:pPr>
            <w:r>
              <w:rPr>
                <w:spacing w:val="2"/>
              </w:rPr>
              <w:t>财政负担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加重</w:t>
            </w:r>
          </w:p>
        </w:tc>
        <w:tc>
          <w:tcPr>
            <w:tcW w:w="13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75" w:line="219" w:lineRule="auto"/>
              <w:rPr/>
            </w:pPr>
            <w:r>
              <w:rPr>
                <w:spacing w:val="1"/>
              </w:rPr>
              <w:t>高科技介入</w:t>
            </w:r>
          </w:p>
        </w:tc>
      </w:tr>
      <w:tr>
        <w:trPr>
          <w:trHeight w:val="991" w:hRule="atLeast"/>
        </w:trPr>
        <w:tc>
          <w:tcPr>
            <w:tcW w:w="6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75"/>
              <w:rPr/>
            </w:pPr>
            <w:r>
              <w:rPr>
                <w:b/>
                <w:bCs/>
                <w:spacing w:val="-5"/>
              </w:rPr>
              <w:t>2040</w:t>
            </w:r>
          </w:p>
        </w:tc>
        <w:tc>
          <w:tcPr>
            <w:tcW w:w="11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75"/>
              <w:rPr/>
            </w:pPr>
            <w:r>
              <w:rPr>
                <w:b/>
                <w:bCs/>
                <w:spacing w:val="-5"/>
              </w:rPr>
              <w:t>~110</w:t>
            </w:r>
          </w:p>
        </w:tc>
        <w:tc>
          <w:tcPr>
            <w:tcW w:w="14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6"/>
              <w:spacing w:before="74" w:line="239" w:lineRule="auto"/>
              <w:rPr/>
            </w:pPr>
            <w:r>
              <w:rPr>
                <w:b/>
                <w:bCs/>
                <w:spacing w:val="-5"/>
              </w:rPr>
              <w:t>38.0</w:t>
            </w:r>
          </w:p>
        </w:tc>
        <w:tc>
          <w:tcPr>
            <w:tcW w:w="13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1"/>
              <w:spacing w:before="75" w:line="239" w:lineRule="auto"/>
              <w:rPr/>
            </w:pPr>
            <w:r>
              <w:rPr>
                <w:spacing w:val="-3"/>
              </w:rPr>
              <w:t>34.5</w:t>
            </w:r>
          </w:p>
        </w:tc>
        <w:tc>
          <w:tcPr>
            <w:tcW w:w="13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2"/>
              <w:spacing w:before="74"/>
              <w:rPr/>
            </w:pPr>
            <w:r>
              <w:rPr>
                <w:spacing w:val="-2"/>
              </w:rPr>
              <w:t>~16</w:t>
            </w:r>
          </w:p>
        </w:tc>
        <w:tc>
          <w:tcPr>
            <w:tcW w:w="1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18" w:right="89"/>
              <w:spacing w:before="315" w:line="267" w:lineRule="auto"/>
              <w:rPr/>
            </w:pPr>
            <w:r>
              <w:rPr>
                <w:spacing w:val="3"/>
              </w:rPr>
              <w:t>消费结构</w:t>
            </w:r>
            <w:r>
              <w:rPr>
                <w:spacing w:val="2"/>
              </w:rPr>
              <w:t xml:space="preserve"> </w:t>
            </w:r>
            <w:r>
              <w:rPr>
                <w:spacing w:val="11"/>
              </w:rPr>
              <w:t>成熟</w:t>
            </w:r>
          </w:p>
        </w:tc>
        <w:tc>
          <w:tcPr>
            <w:tcW w:w="11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5" w:right="134"/>
              <w:spacing w:before="315" w:line="267" w:lineRule="auto"/>
              <w:rPr/>
            </w:pPr>
            <w:r>
              <w:rPr>
                <w:spacing w:val="3"/>
              </w:rPr>
              <w:t>区域空心</w:t>
            </w:r>
            <w:r>
              <w:rPr>
                <w:spacing w:val="2"/>
              </w:rPr>
              <w:t xml:space="preserve"> </w:t>
            </w:r>
            <w:r>
              <w:rPr/>
              <w:t>化</w:t>
            </w:r>
          </w:p>
        </w:tc>
        <w:tc>
          <w:tcPr>
            <w:tcW w:w="13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74" w:line="219" w:lineRule="auto"/>
              <w:rPr/>
            </w:pPr>
            <w:r>
              <w:rPr>
                <w:spacing w:val="-2"/>
              </w:rPr>
              <w:t>可持续模式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7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74" w:lineRule="auto"/>
        <w:sectPr>
          <w:type w:val="continuous"/>
          <w:pgSz w:w="12240" w:h="15840"/>
          <w:pgMar w:top="1106" w:right="1071" w:bottom="0" w:left="929" w:header="0" w:footer="0" w:gutter="0"/>
          <w:cols w:equalWidth="0" w:num="1">
            <w:col w:w="1023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129"/>
        <w:spacing w:before="158" w:line="2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2050</w:t>
      </w:r>
      <w:r>
        <w:rPr>
          <w:rFonts w:ascii="SimSun" w:hAnsi="SimSun" w:eastAsia="SimSun" w:cs="SimSun"/>
          <w:sz w:val="23"/>
          <w:szCs w:val="23"/>
          <w:spacing w:val="2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"/>
        </w:rPr>
        <w:t>~105        39.0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       </w:t>
      </w:r>
      <w:r>
        <w:rPr>
          <w:rFonts w:ascii="SimSun" w:hAnsi="SimSun" w:eastAsia="SimSun" w:cs="SimSun"/>
          <w:sz w:val="23"/>
          <w:szCs w:val="23"/>
          <w:spacing w:val="-2"/>
        </w:rPr>
        <w:t>3</w:t>
      </w:r>
      <w:r>
        <w:rPr>
          <w:rFonts w:ascii="SimSun" w:hAnsi="SimSun" w:eastAsia="SimSun" w:cs="SimSun"/>
          <w:sz w:val="23"/>
          <w:szCs w:val="23"/>
          <w:spacing w:val="-3"/>
        </w:rPr>
        <w:t>7.1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    </w:t>
      </w:r>
      <w:r>
        <w:rPr>
          <w:rFonts w:ascii="SimSun" w:hAnsi="SimSun" w:eastAsia="SimSun" w:cs="SimSun"/>
          <w:sz w:val="23"/>
          <w:szCs w:val="23"/>
          <w:spacing w:val="-3"/>
        </w:rPr>
        <w:t>~18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07"/>
        <w:spacing w:before="43" w:line="29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全球领先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经验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29"/>
        <w:spacing w:before="45" w:line="29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经济增长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拖累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国际输出</w:t>
      </w:r>
    </w:p>
    <w:p>
      <w:pPr>
        <w:spacing w:line="219" w:lineRule="auto"/>
        <w:sectPr>
          <w:type w:val="continuous"/>
          <w:pgSz w:w="12240" w:h="15840"/>
          <w:pgMar w:top="1106" w:right="1071" w:bottom="0" w:left="929" w:header="0" w:footer="0" w:gutter="0"/>
          <w:cols w:equalWidth="0" w:num="4">
            <w:col w:w="6480" w:space="100"/>
            <w:col w:w="1041" w:space="100"/>
            <w:col w:w="1360" w:space="100"/>
            <w:col w:w="1059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50"/>
        <w:spacing w:before="79" w:line="325" w:lineRule="auto"/>
        <w:rPr/>
      </w:pPr>
      <w:r>
        <w:rPr/>
        <w:t>该表基于中等生育/死亡假设，但辩证而言，其优势在于揭示长寿红</w:t>
      </w:r>
      <w:r>
        <w:rPr>
          <w:spacing w:val="-1"/>
        </w:rPr>
        <w:t>利，潜在局限在于低生育情景</w:t>
      </w:r>
      <w:r>
        <w:rPr/>
        <w:t xml:space="preserve"> </w:t>
      </w:r>
      <w:r>
        <w:rPr>
          <w:spacing w:val="16"/>
        </w:rPr>
        <w:t>下比例更高(可达39%),适用条件需动态调整。</w:t>
      </w:r>
    </w:p>
    <w:p>
      <w:pPr>
        <w:pStyle w:val="BodyText"/>
        <w:ind w:left="50"/>
        <w:spacing w:before="244" w:line="222" w:lineRule="auto"/>
        <w:rPr/>
      </w:pPr>
      <w:r>
        <w:rPr>
          <w:rFonts w:ascii="SimSun" w:hAnsi="SimSun" w:eastAsia="SimSun" w:cs="SimSun"/>
          <w:spacing w:val="4"/>
        </w:rPr>
        <w:t>B.</w:t>
      </w:r>
      <w:r>
        <w:rPr>
          <w:spacing w:val="4"/>
        </w:rPr>
        <w:t>人口金字塔投影描述</w:t>
      </w:r>
    </w:p>
    <w:p>
      <w:pPr>
        <w:pStyle w:val="BodyText"/>
        <w:ind w:left="50" w:right="388"/>
        <w:spacing w:before="210" w:line="336" w:lineRule="auto"/>
        <w:rPr/>
      </w:pPr>
      <w:r>
        <w:rPr>
          <w:spacing w:val="15"/>
        </w:rPr>
        <w:t>据</w:t>
      </w:r>
      <w:r>
        <w:rPr>
          <w:rFonts w:ascii="Times New Roman" w:hAnsi="Times New Roman" w:eastAsia="Times New Roman" w:cs="Times New Roman"/>
        </w:rPr>
        <w:t>IPSS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15"/>
        </w:rPr>
        <w:t>数据，2020年金字塔呈倒置形，基底狭窄(低生育),中上</w:t>
      </w:r>
      <w:r>
        <w:rPr>
          <w:spacing w:val="14"/>
        </w:rPr>
        <w:t>部膨大(婴儿潮余波);到</w:t>
      </w:r>
      <w:r>
        <w:rPr/>
        <w:t xml:space="preserve"> </w:t>
      </w:r>
      <w:r>
        <w:rPr>
          <w:spacing w:val="5"/>
        </w:rPr>
        <w:t>2050年，进一步收缩，80+群体显著扩张，通常而言，这凸显护理与保健市场潜力。</w:t>
      </w:r>
    </w:p>
    <w:p>
      <w:pPr>
        <w:pStyle w:val="BodyText"/>
        <w:ind w:left="50"/>
        <w:spacing w:before="238" w:line="18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</w:rPr>
        <w:t>1.</w:t>
      </w:r>
      <w:r>
        <w:rPr>
          <w:spacing w:val="10"/>
        </w:rPr>
        <w:t>人口金字塔关键特征对比表(表3:2020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123"/>
        </w:rPr>
        <w:t xml:space="preserve"> </w:t>
      </w:r>
      <w:r>
        <w:rPr>
          <w:rFonts w:ascii="SimSun" w:hAnsi="SimSun" w:eastAsia="SimSun" w:cs="SimSun"/>
          <w:spacing w:val="10"/>
        </w:rPr>
        <w:t>2050)</w:t>
      </w:r>
    </w:p>
    <w:p>
      <w:pPr>
        <w:spacing w:line="187" w:lineRule="auto"/>
        <w:sectPr>
          <w:type w:val="continuous"/>
          <w:pgSz w:w="12240" w:h="15840"/>
          <w:pgMar w:top="1106" w:right="1071" w:bottom="0" w:left="929" w:header="0" w:footer="0" w:gutter="0"/>
          <w:cols w:equalWidth="0" w:num="1">
            <w:col w:w="10239" w:space="0"/>
          </w:cols>
        </w:sectPr>
        <w:rPr>
          <w:rFonts w:ascii="SimSun" w:hAnsi="SimSun" w:eastAsia="SimSun" w:cs="SimSun"/>
        </w:rPr>
      </w:pP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622"/>
        <w:spacing w:before="68" w:line="22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21"/>
          <w:szCs w:val="21"/>
          <w:b/>
          <w:bCs/>
          <w:spacing w:val="1"/>
        </w:rPr>
        <w:t>特征</w:t>
      </w:r>
      <w:r>
        <w:rPr>
          <w:sz w:val="21"/>
          <w:szCs w:val="21"/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"/>
        </w:rPr>
        <w:t>2020                          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 xml:space="preserve">                  2050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0"/>
        <w:spacing w:before="42" w:line="308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市场含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" w:right="156" w:hanging="29"/>
        <w:spacing w:before="42" w:line="308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优势分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685" w:hanging="10"/>
        <w:spacing w:before="42" w:line="308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潜在局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限性</w:t>
      </w:r>
    </w:p>
    <w:p>
      <w:pPr>
        <w:spacing w:line="308" w:lineRule="auto"/>
        <w:sectPr>
          <w:pgSz w:w="12240" w:h="15840"/>
          <w:pgMar w:top="1105" w:right="1111" w:bottom="0" w:left="980" w:header="0" w:footer="0" w:gutter="0"/>
          <w:cols w:equalWidth="0" w:num="4">
            <w:col w:w="6980" w:space="100"/>
            <w:col w:w="760" w:space="100"/>
            <w:col w:w="780" w:space="100"/>
            <w:col w:w="1329" w:space="0"/>
          </w:cols>
        </w:sectPr>
        <w:rPr>
          <w:sz w:val="21"/>
          <w:szCs w:val="21"/>
        </w:rPr>
      </w:pPr>
    </w:p>
    <w:p>
      <w:pPr>
        <w:spacing w:line="193" w:lineRule="exact"/>
        <w:rPr/>
      </w:pPr>
      <w:r/>
    </w:p>
    <w:p>
      <w:pPr>
        <w:spacing w:line="193" w:lineRule="exact"/>
        <w:sectPr>
          <w:type w:val="continuous"/>
          <w:pgSz w:w="12240" w:h="15840"/>
          <w:pgMar w:top="1105" w:right="1111" w:bottom="0" w:left="980" w:header="0" w:footer="0" w:gutter="0"/>
          <w:cols w:equalWidth="0" w:num="1">
            <w:col w:w="10149" w:space="0"/>
          </w:cols>
        </w:sectPr>
        <w:rPr/>
      </w:pPr>
    </w:p>
    <w:p>
      <w:pPr>
        <w:pStyle w:val="BodyText"/>
        <w:ind w:right="425"/>
        <w:spacing w:before="45" w:line="295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基底(0-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14"/>
        </w:rPr>
        <w:t>14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岁)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08" w:right="326" w:hanging="1709"/>
        <w:spacing w:before="45" w:line="290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~12%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3"/>
        </w:rPr>
        <w:t>~8%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  </w:t>
      </w:r>
      <w:r>
        <w:rPr>
          <w:sz w:val="21"/>
          <w:szCs w:val="21"/>
          <w:spacing w:val="-3"/>
          <w:position w:val="1"/>
        </w:rPr>
        <w:t>教育市场</w:t>
      </w:r>
      <w:r>
        <w:rPr>
          <w:sz w:val="21"/>
          <w:szCs w:val="21"/>
          <w:spacing w:val="4"/>
          <w:position w:val="1"/>
        </w:rPr>
        <w:t xml:space="preserve"> </w:t>
      </w:r>
      <w:r>
        <w:rPr>
          <w:sz w:val="21"/>
          <w:szCs w:val="21"/>
          <w:spacing w:val="-2"/>
        </w:rPr>
        <w:t>收缩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25"/>
        <w:spacing w:before="53" w:line="291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资源集中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老年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374"/>
        <w:spacing w:before="53" w:line="291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劳动力继替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2"/>
        </w:rPr>
        <w:t>危机</w:t>
      </w:r>
    </w:p>
    <w:p>
      <w:pPr>
        <w:spacing w:line="291" w:lineRule="auto"/>
        <w:sectPr>
          <w:type w:val="continuous"/>
          <w:pgSz w:w="12240" w:h="15840"/>
          <w:pgMar w:top="1105" w:right="1111" w:bottom="0" w:left="980" w:header="0" w:footer="0" w:gutter="0"/>
          <w:cols w:equalWidth="0" w:num="4">
            <w:col w:w="1520" w:space="100"/>
            <w:col w:w="2871" w:space="100"/>
            <w:col w:w="1050" w:space="100"/>
            <w:col w:w="4409" w:space="0"/>
          </w:cols>
        </w:sectPr>
        <w:rPr>
          <w:sz w:val="21"/>
          <w:szCs w:val="21"/>
        </w:rPr>
      </w:pPr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5"/>
        <w:gridCol w:w="950"/>
        <w:gridCol w:w="739"/>
        <w:gridCol w:w="1275"/>
        <w:gridCol w:w="1195"/>
        <w:gridCol w:w="4515"/>
      </w:tblGrid>
      <w:tr>
        <w:trPr>
          <w:trHeight w:val="964" w:hRule="atLeast"/>
        </w:trPr>
        <w:tc>
          <w:tcPr>
            <w:tcW w:w="14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right="200"/>
              <w:spacing w:before="68" w:line="28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0"/>
              </w:rPr>
              <w:t>中层(15-64</w:t>
            </w: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岁)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4"/>
              <w:spacing w:before="271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"/>
              </w:rPr>
              <w:t>~59%</w:t>
            </w:r>
          </w:p>
        </w:tc>
        <w:tc>
          <w:tcPr>
            <w:tcW w:w="7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4"/>
              <w:spacing w:before="271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"/>
              </w:rPr>
              <w:t>~52%</w:t>
            </w:r>
          </w:p>
        </w:tc>
        <w:tc>
          <w:tcPr>
            <w:tcW w:w="12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5" w:right="191"/>
              <w:spacing w:before="291" w:line="29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生产力压</w:t>
            </w:r>
            <w:r>
              <w:rPr>
                <w:rFonts w:ascii="SimHei" w:hAnsi="SimHei" w:eastAsia="SimHei" w:cs="SimHei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</w:rPr>
              <w:t>力</w:t>
            </w:r>
          </w:p>
        </w:tc>
        <w:tc>
          <w:tcPr>
            <w:tcW w:w="11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11" w:right="178"/>
              <w:spacing w:before="68" w:line="28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9"/>
              </w:rPr>
              <w:t>自动化需</w:t>
            </w:r>
            <w:r>
              <w:rPr>
                <w:rFonts w:ascii="SimHei" w:hAnsi="SimHei" w:eastAsia="SimHei" w:cs="SimHei"/>
                <w:sz w:val="21"/>
                <w:szCs w:val="2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</w:rPr>
              <w:t>求</w:t>
            </w:r>
          </w:p>
        </w:tc>
        <w:tc>
          <w:tcPr>
            <w:tcW w:w="45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5"/>
              <w:spacing w:before="292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增长放缓</w:t>
            </w:r>
          </w:p>
        </w:tc>
      </w:tr>
      <w:tr>
        <w:trPr>
          <w:trHeight w:val="878" w:hRule="atLeast"/>
        </w:trPr>
        <w:tc>
          <w:tcPr>
            <w:tcW w:w="141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before="6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7"/>
              </w:rPr>
              <w:t>上层(65+)</w:t>
            </w:r>
          </w:p>
        </w:tc>
        <w:tc>
          <w:tcPr>
            <w:tcW w:w="95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204"/>
              <w:spacing w:before="262" w:line="23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"/>
              </w:rPr>
              <w:t>28.7%</w:t>
            </w:r>
          </w:p>
        </w:tc>
        <w:tc>
          <w:tcPr>
            <w:tcW w:w="73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34"/>
              <w:spacing w:before="261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"/>
              </w:rPr>
              <w:t>~38%</w:t>
            </w:r>
          </w:p>
        </w:tc>
        <w:tc>
          <w:tcPr>
            <w:tcW w:w="12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01" w:right="215" w:firstLine="124"/>
              <w:spacing w:before="68" w:line="250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银色经济</w:t>
            </w:r>
            <w:r>
              <w:rPr>
                <w:rFonts w:ascii="SimHei" w:hAnsi="SimHei" w:eastAsia="SimHei" w:cs="SimHei"/>
                <w:sz w:val="21"/>
                <w:szCs w:val="2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4"/>
              </w:rPr>
              <w:t>扩</w:t>
            </w:r>
            <w:r>
              <w:rPr>
                <w:rFonts w:ascii="SimHei" w:hAnsi="SimHei" w:eastAsia="SimHei" w:cs="SimHei"/>
                <w:sz w:val="20"/>
                <w:szCs w:val="20"/>
                <w:spacing w:val="43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4"/>
              </w:rPr>
              <w:t>张</w:t>
            </w:r>
          </w:p>
        </w:tc>
        <w:tc>
          <w:tcPr>
            <w:tcW w:w="119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242" w:right="157" w:hanging="32"/>
              <w:spacing w:before="68" w:line="24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高消费潜</w:t>
            </w:r>
            <w:r>
              <w:rPr>
                <w:rFonts w:ascii="SimHei" w:hAnsi="SimHei" w:eastAsia="SimHei" w:cs="SimHei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</w:rPr>
              <w:t>力</w:t>
            </w:r>
          </w:p>
        </w:tc>
        <w:tc>
          <w:tcPr>
            <w:tcW w:w="451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73" w:right="3316" w:hanging="8"/>
              <w:spacing w:before="68" w:line="250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医疗财政负</w:t>
            </w:r>
            <w:r>
              <w:rPr>
                <w:rFonts w:ascii="SimHei" w:hAnsi="SimHei" w:eastAsia="SimHei" w:cs="SimHei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</w:rPr>
              <w:t>担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12240" w:h="15840"/>
          <w:pgMar w:top="1105" w:right="1111" w:bottom="0" w:left="980" w:header="0" w:footer="0" w:gutter="0"/>
          <w:cols w:equalWidth="0" w:num="1">
            <w:col w:w="10149" w:space="0"/>
          </w:cols>
        </w:sectPr>
        <w:rPr/>
      </w:pPr>
    </w:p>
    <w:p>
      <w:pPr>
        <w:pStyle w:val="BodyText"/>
        <w:ind w:left="3329" w:right="329" w:hanging="3329"/>
        <w:spacing w:before="43" w:line="322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顶层(80+)</w:t>
      </w:r>
      <w:r>
        <w:rPr>
          <w:sz w:val="21"/>
          <w:szCs w:val="21"/>
          <w:spacing w:val="10"/>
        </w:rPr>
        <w:t xml:space="preserve">    </w:t>
      </w:r>
      <w:r>
        <w:rPr>
          <w:sz w:val="21"/>
          <w:szCs w:val="21"/>
          <w:spacing w:val="10"/>
        </w:rPr>
        <w:t>~10%</w:t>
      </w:r>
      <w:r>
        <w:rPr>
          <w:sz w:val="21"/>
          <w:szCs w:val="21"/>
          <w:spacing w:val="10"/>
        </w:rPr>
        <w:t xml:space="preserve">    </w:t>
      </w:r>
      <w:r>
        <w:rPr>
          <w:sz w:val="21"/>
          <w:szCs w:val="21"/>
          <w:spacing w:val="10"/>
        </w:rPr>
        <w:t>~18%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  <w:spacing w:val="10"/>
        </w:rPr>
        <w:t>深度护理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主导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8"/>
        <w:spacing w:before="52" w:line="31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科技护理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创新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2" w:line="222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人力短缺</w:t>
      </w:r>
    </w:p>
    <w:p>
      <w:pPr>
        <w:spacing w:line="222" w:lineRule="auto"/>
        <w:sectPr>
          <w:type w:val="continuous"/>
          <w:pgSz w:w="12240" w:h="15840"/>
          <w:pgMar w:top="1105" w:right="1111" w:bottom="0" w:left="980" w:header="0" w:footer="0" w:gutter="0"/>
          <w:cols w:equalWidth="0" w:num="3">
            <w:col w:w="4491" w:space="100"/>
            <w:col w:w="1050" w:space="100"/>
            <w:col w:w="4409" w:space="0"/>
          </w:cols>
        </w:sectPr>
        <w:rPr>
          <w:sz w:val="21"/>
          <w:szCs w:val="21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before="68" w:line="213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该对比显示结构剧变，但潜在局限在于移民变量未充分纳入。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69" w:line="22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C.  </w:t>
      </w:r>
      <w:r>
        <w:rPr>
          <w:sz w:val="21"/>
          <w:szCs w:val="21"/>
          <w:spacing w:val="18"/>
        </w:rPr>
        <w:t>辩证评估</w:t>
      </w:r>
    </w:p>
    <w:p>
      <w:pPr>
        <w:pStyle w:val="BodyText"/>
        <w:ind w:right="49"/>
        <w:spacing w:before="268" w:line="398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一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27"/>
        </w:rPr>
        <w:t>方面，老龄化提供稳定消费基础；另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spacing w:val="27"/>
        </w:rPr>
        <w:t>一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spacing w:val="27"/>
        </w:rPr>
        <w:t>方面，其挑战在于劳动力缩减，建议考量移民与自动化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4"/>
        </w:rPr>
        <w:t>补充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14"/>
        </w:rPr>
        <w:t>。</w:t>
      </w:r>
    </w:p>
    <w:p>
      <w:pPr>
        <w:pStyle w:val="BodyText"/>
        <w:ind w:left="3"/>
        <w:spacing w:before="171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9"/>
        </w:rPr>
        <w:t>Ⅲ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b/>
          <w:bCs/>
          <w:spacing w:val="29"/>
        </w:rPr>
        <w:t>.</w:t>
      </w:r>
      <w:r>
        <w:rPr>
          <w:sz w:val="21"/>
          <w:szCs w:val="21"/>
          <w:spacing w:val="-54"/>
        </w:rPr>
        <w:t xml:space="preserve"> </w:t>
      </w:r>
      <w:r>
        <w:rPr>
          <w:sz w:val="21"/>
          <w:szCs w:val="21"/>
          <w:b/>
          <w:bCs/>
          <w:spacing w:val="29"/>
        </w:rPr>
        <w:t>银色经济市场规模估算(2020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  <w:b/>
          <w:bCs/>
          <w:spacing w:val="29"/>
        </w:rPr>
        <w:t>-</w:t>
      </w:r>
      <w:r>
        <w:rPr>
          <w:sz w:val="21"/>
          <w:szCs w:val="21"/>
          <w:spacing w:val="-54"/>
        </w:rPr>
        <w:t xml:space="preserve"> </w:t>
      </w:r>
      <w:r>
        <w:rPr>
          <w:sz w:val="21"/>
          <w:szCs w:val="21"/>
          <w:b/>
          <w:bCs/>
          <w:spacing w:val="29"/>
        </w:rPr>
        <w:t>2050)</w:t>
      </w:r>
    </w:p>
    <w:p>
      <w:pPr>
        <w:pStyle w:val="BodyText"/>
        <w:spacing w:before="241" w:line="396" w:lineRule="auto"/>
        <w:rPr>
          <w:sz w:val="21"/>
          <w:szCs w:val="21"/>
        </w:rPr>
      </w:pPr>
      <w:r>
        <w:rPr>
          <w:sz w:val="21"/>
          <w:szCs w:val="21"/>
          <w:spacing w:val="32"/>
        </w:rPr>
        <w:t>据麦肯锡与仲量联行报告，日本银色经济2020年规模约100万亿日元，通常而</w:t>
      </w:r>
      <w:r>
        <w:rPr>
          <w:sz w:val="21"/>
          <w:szCs w:val="21"/>
          <w:spacing w:val="31"/>
        </w:rPr>
        <w:t>言，高科技保健占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8"/>
        </w:rPr>
        <w:t>比上升。</w:t>
      </w:r>
    </w:p>
    <w:p>
      <w:pPr>
        <w:pStyle w:val="BodyText"/>
        <w:spacing w:before="200" w:line="22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24"/>
        </w:rPr>
        <w:t>部门分解与规模投影</w:t>
      </w:r>
    </w:p>
    <w:p>
      <w:pPr>
        <w:pStyle w:val="BodyText"/>
        <w:spacing w:before="286" w:line="222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老年消费涵盖保健、护理、旅游、日常品等</w:t>
      </w:r>
      <w:r>
        <w:rPr>
          <w:sz w:val="21"/>
          <w:szCs w:val="21"/>
          <w:spacing w:val="27"/>
        </w:rPr>
        <w:t>领域。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spacing w:before="69" w:line="187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7"/>
        </w:rPr>
        <w:t>1.</w:t>
      </w:r>
      <w:r>
        <w:rPr>
          <w:sz w:val="21"/>
          <w:szCs w:val="21"/>
          <w:spacing w:val="37"/>
        </w:rPr>
        <w:t>银色经济部门规模估算表(表4:2020</w:t>
      </w:r>
      <w:r>
        <w:rPr>
          <w:sz w:val="21"/>
          <w:szCs w:val="21"/>
          <w:spacing w:val="-57"/>
        </w:rPr>
        <w:t xml:space="preserve"> </w:t>
      </w:r>
      <w:r>
        <w:rPr>
          <w:sz w:val="21"/>
          <w:szCs w:val="21"/>
          <w:spacing w:val="37"/>
        </w:rPr>
        <w:t>-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37"/>
        </w:rPr>
        <w:t>2030</w:t>
      </w:r>
      <w:r>
        <w:rPr>
          <w:sz w:val="21"/>
          <w:szCs w:val="21"/>
          <w:spacing w:val="-57"/>
        </w:rPr>
        <w:t xml:space="preserve"> </w:t>
      </w:r>
      <w:r>
        <w:rPr>
          <w:sz w:val="21"/>
          <w:szCs w:val="21"/>
          <w:spacing w:val="37"/>
        </w:rPr>
        <w:t>-</w:t>
      </w:r>
      <w:r>
        <w:rPr>
          <w:sz w:val="21"/>
          <w:szCs w:val="21"/>
          <w:spacing w:val="-54"/>
        </w:rPr>
        <w:t xml:space="preserve"> </w:t>
      </w:r>
      <w:r>
        <w:rPr>
          <w:sz w:val="21"/>
          <w:szCs w:val="21"/>
          <w:spacing w:val="37"/>
        </w:rPr>
        <w:t>2050,单位：万亿日元，基于复合估</w:t>
      </w:r>
      <w:r>
        <w:rPr>
          <w:sz w:val="21"/>
          <w:szCs w:val="21"/>
          <w:spacing w:val="36"/>
        </w:rPr>
        <w:t>算)</w:t>
      </w:r>
    </w:p>
    <w:p>
      <w:pPr>
        <w:spacing w:line="187" w:lineRule="auto"/>
        <w:sectPr>
          <w:type w:val="continuous"/>
          <w:pgSz w:w="12240" w:h="15840"/>
          <w:pgMar w:top="1105" w:right="1111" w:bottom="0" w:left="980" w:header="0" w:footer="0" w:gutter="0"/>
          <w:cols w:equalWidth="0" w:num="1">
            <w:col w:w="10149" w:space="0"/>
          </w:cols>
        </w:sectPr>
        <w:rPr>
          <w:sz w:val="21"/>
          <w:szCs w:val="21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49" w:right="307"/>
        <w:spacing w:before="72" w:line="286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医疗保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left="1189"/>
        <w:spacing w:before="4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"/>
        </w:rPr>
        <w:t>2020</w:t>
      </w:r>
    </w:p>
    <w:p>
      <w:pPr>
        <w:pStyle w:val="BodyText"/>
        <w:ind w:left="1193"/>
        <w:spacing w:before="132" w:line="223" w:lineRule="auto"/>
        <w:rPr>
          <w:sz w:val="22"/>
          <w:szCs w:val="22"/>
        </w:rPr>
      </w:pPr>
      <w:r>
        <w:pict>
          <v:shape id="_x0000_s2" style="position:absolute;margin-left:149.999pt;margin-top:9.83783pt;mso-position-vertical-relative:text;mso-position-horizontal-relative:text;width:23.85pt;height:29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-1"/>
                    </w:rPr>
                    <w:t>2030</w:t>
                  </w:r>
                </w:p>
                <w:p>
                  <w:pPr>
                    <w:pStyle w:val="BodyText"/>
                    <w:ind w:left="23"/>
                    <w:spacing w:before="121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投影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规模估</w:t>
      </w:r>
    </w:p>
    <w:p>
      <w:pPr>
        <w:pStyle w:val="BodyText"/>
        <w:ind w:left="1189"/>
        <w:spacing w:before="133" w:line="222" w:lineRule="auto"/>
        <w:rPr>
          <w:sz w:val="17"/>
          <w:szCs w:val="17"/>
        </w:rPr>
      </w:pPr>
      <w:r>
        <w:rPr>
          <w:sz w:val="17"/>
          <w:szCs w:val="17"/>
        </w:rPr>
        <w:t>算</w:t>
      </w:r>
    </w:p>
    <w:p>
      <w:pPr>
        <w:pStyle w:val="BodyText"/>
        <w:ind w:left="3019" w:right="135" w:hanging="3019"/>
        <w:spacing w:before="318" w:line="264" w:lineRule="auto"/>
        <w:rPr>
          <w:sz w:val="22"/>
          <w:szCs w:val="22"/>
        </w:rPr>
      </w:pPr>
      <w:r>
        <w:rPr>
          <w:rFonts w:ascii="SimSun" w:hAnsi="SimSun" w:eastAsia="SimSun" w:cs="SimSun"/>
          <w:sz w:val="27"/>
          <w:szCs w:val="27"/>
          <w:spacing w:val="-5"/>
        </w:rPr>
        <w:t>30</w:t>
      </w:r>
      <w:r>
        <w:rPr>
          <w:rFonts w:ascii="SimSun" w:hAnsi="SimSun" w:eastAsia="SimSun" w:cs="SimSun"/>
          <w:sz w:val="27"/>
          <w:szCs w:val="27"/>
          <w:spacing w:val="50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5"/>
        </w:rPr>
        <w:t>40</w:t>
      </w:r>
      <w:r>
        <w:rPr>
          <w:rFonts w:ascii="SimSun" w:hAnsi="SimSun" w:eastAsia="SimSun" w:cs="SimSun"/>
          <w:sz w:val="27"/>
          <w:szCs w:val="27"/>
          <w:spacing w:val="25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5"/>
        </w:rPr>
        <w:t>60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   </w:t>
      </w:r>
      <w:r>
        <w:rPr>
          <w:rFonts w:ascii="SimSun" w:hAnsi="SimSun" w:eastAsia="SimSun" w:cs="SimSun"/>
          <w:sz w:val="27"/>
          <w:szCs w:val="27"/>
          <w:spacing w:val="-5"/>
        </w:rPr>
        <w:t>~2.3%</w:t>
      </w:r>
      <w:r>
        <w:rPr>
          <w:rFonts w:ascii="SimSun" w:hAnsi="SimSun" w:eastAsia="SimSun" w:cs="SimSun"/>
          <w:sz w:val="27"/>
          <w:szCs w:val="27"/>
          <w:spacing w:val="83"/>
        </w:rPr>
        <w:t xml:space="preserve"> </w:t>
      </w:r>
      <w:r>
        <w:rPr>
          <w:sz w:val="22"/>
          <w:szCs w:val="22"/>
          <w:spacing w:val="-5"/>
        </w:rPr>
        <w:t>需求刚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989"/>
        <w:spacing w:before="4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2050</w:t>
      </w:r>
    </w:p>
    <w:p>
      <w:pPr>
        <w:pStyle w:val="BodyText"/>
        <w:ind w:left="1000"/>
        <w:spacing w:before="134" w:line="22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投影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right="887"/>
        <w:spacing w:before="72" w:line="28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高成本压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26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  <w:w w:val="96"/>
        </w:rPr>
        <w:t>CAGR</w:t>
      </w:r>
    </w:p>
    <w:p>
      <w:pPr>
        <w:ind w:right="347" w:firstLine="140"/>
        <w:spacing w:before="131" w:line="30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(2020-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2050)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4" style="position:absolute;margin-left:4.17874pt;margin-top:1.23297pt;mso-position-vertical-relative:text;mso-position-horizontal-relative:text;width:15.8pt;height:67.1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2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优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势</w:t>
                  </w:r>
                  <w:r>
                    <w:rPr>
                      <w:sz w:val="22"/>
                      <w:szCs w:val="22"/>
                      <w:spacing w:val="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分</w:t>
                  </w:r>
                  <w:r>
                    <w:rPr>
                      <w:sz w:val="22"/>
                      <w:szCs w:val="22"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析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19"/>
        <w:spacing w:before="41" w:line="3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潜在局限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19"/>
        </w:rPr>
        <w:t>性(含重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b/>
          <w:bCs/>
          <w:spacing w:val="-4"/>
        </w:rPr>
        <w:t>叠计算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b/>
          <w:bCs/>
          <w:spacing w:val="5"/>
        </w:rPr>
        <w:t>注)</w:t>
      </w:r>
    </w:p>
    <w:p>
      <w:pPr>
        <w:spacing w:line="303" w:lineRule="auto"/>
        <w:sectPr>
          <w:pgSz w:w="12240" w:h="15840"/>
          <w:pgMar w:top="1070" w:right="1159" w:bottom="0" w:left="830" w:header="0" w:footer="0" w:gutter="0"/>
          <w:cols w:equalWidth="0" w:num="6">
            <w:col w:w="1100" w:space="100"/>
            <w:col w:w="3801" w:space="100"/>
            <w:col w:w="1754" w:space="100"/>
            <w:col w:w="1100" w:space="100"/>
            <w:col w:w="720" w:space="0"/>
            <w:col w:w="1378" w:space="0"/>
          </w:cols>
        </w:sectPr>
        <w:rPr>
          <w:sz w:val="22"/>
          <w:szCs w:val="22"/>
        </w:rPr>
      </w:pPr>
    </w:p>
    <w:tbl>
      <w:tblPr>
        <w:tblStyle w:val="TableNormal"/>
        <w:tblW w:w="10098" w:type="dxa"/>
        <w:tblInd w:w="1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6"/>
        <w:gridCol w:w="603"/>
        <w:gridCol w:w="580"/>
        <w:gridCol w:w="737"/>
        <w:gridCol w:w="1145"/>
        <w:gridCol w:w="955"/>
        <w:gridCol w:w="5262"/>
      </w:tblGrid>
      <w:tr>
        <w:trPr>
          <w:trHeight w:val="1593" w:hRule="atLeast"/>
        </w:trPr>
        <w:tc>
          <w:tcPr>
            <w:tcW w:w="81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1"/>
              <w:spacing w:before="284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6"/>
              </w:rPr>
              <w:t>长期护</w:t>
            </w:r>
          </w:p>
          <w:p>
            <w:pPr>
              <w:ind w:left="8"/>
              <w:spacing w:before="103" w:line="225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理</w:t>
            </w:r>
          </w:p>
        </w:tc>
        <w:tc>
          <w:tcPr>
            <w:tcW w:w="60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ind w:left="242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11</w:t>
            </w:r>
          </w:p>
        </w:tc>
        <w:tc>
          <w:tcPr>
            <w:tcW w:w="58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13</w:t>
            </w:r>
          </w:p>
        </w:tc>
        <w:tc>
          <w:tcPr>
            <w:tcW w:w="73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</w:t>
            </w:r>
          </w:p>
        </w:tc>
        <w:tc>
          <w:tcPr>
            <w:tcW w:w="114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462"/>
              <w:spacing w:before="288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~2.0%</w:t>
            </w:r>
          </w:p>
        </w:tc>
        <w:tc>
          <w:tcPr>
            <w:tcW w:w="95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97" w:right="128" w:firstLine="10"/>
              <w:spacing w:before="288" w:line="351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4"/>
              </w:rPr>
              <w:t>政策驱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</w:rPr>
              <w:t>动</w:t>
            </w:r>
          </w:p>
        </w:tc>
        <w:tc>
          <w:tcPr>
            <w:tcW w:w="526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32"/>
              <w:spacing w:before="287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人力短缺</w:t>
            </w:r>
          </w:p>
          <w:p>
            <w:pPr>
              <w:ind w:left="122" w:right="4273" w:firstLine="140"/>
              <w:spacing w:before="153" w:line="33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14"/>
                <w:w w:val="97"/>
              </w:rPr>
              <w:t>(</w:t>
            </w:r>
            <w:r>
              <w:rPr>
                <w:rFonts w:ascii="SimHei" w:hAnsi="SimHei" w:eastAsia="SimHei" w:cs="SimHei"/>
                <w:sz w:val="17"/>
                <w:szCs w:val="17"/>
                <w:spacing w:val="-18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4"/>
                <w:w w:val="97"/>
              </w:rPr>
              <w:t>部</w:t>
            </w:r>
            <w:r>
              <w:rPr>
                <w:rFonts w:ascii="SimHei" w:hAnsi="SimHei" w:eastAsia="SimHei" w:cs="SimHei"/>
                <w:sz w:val="17"/>
                <w:szCs w:val="17"/>
                <w:spacing w:val="-18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4"/>
                <w:w w:val="97"/>
              </w:rPr>
              <w:t>分</w:t>
            </w:r>
            <w:r>
              <w:rPr>
                <w:rFonts w:ascii="SimHei" w:hAnsi="SimHei" w:eastAsia="SimHei" w:cs="SimHei"/>
                <w:sz w:val="17"/>
                <w:szCs w:val="17"/>
                <w:spacing w:val="-16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4"/>
                <w:w w:val="97"/>
              </w:rPr>
              <w:t>与</w:t>
            </w:r>
            <w:r>
              <w:rPr>
                <w:rFonts w:ascii="SimHei" w:hAnsi="SimHei" w:eastAsia="SimHei" w:cs="SimHei"/>
                <w:sz w:val="17"/>
                <w:szCs w:val="17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医疗重</w:t>
            </w:r>
          </w:p>
          <w:p>
            <w:pPr>
              <w:ind w:left="127"/>
              <w:spacing w:before="23" w:line="167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叠</w:t>
            </w:r>
            <w:r>
              <w:rPr>
                <w:rFonts w:ascii="SimHei" w:hAnsi="SimHei" w:eastAsia="SimHei" w:cs="SimHei"/>
                <w:sz w:val="17"/>
                <w:szCs w:val="17"/>
                <w:spacing w:val="70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6"/>
              </w:rPr>
              <w:t>)</w:t>
            </w:r>
          </w:p>
        </w:tc>
      </w:tr>
      <w:tr>
        <w:trPr>
          <w:trHeight w:val="1064" w:hRule="atLeast"/>
        </w:trPr>
        <w:tc>
          <w:tcPr>
            <w:tcW w:w="81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11"/>
              <w:spacing w:before="71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2"/>
              </w:rPr>
              <w:t>旅游休</w:t>
            </w:r>
          </w:p>
          <w:p>
            <w:pPr>
              <w:ind w:left="8"/>
              <w:spacing w:before="130" w:line="225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</w:rPr>
              <w:t>闲</w:t>
            </w:r>
          </w:p>
        </w:tc>
        <w:tc>
          <w:tcPr>
            <w:tcW w:w="60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7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15</w:t>
            </w:r>
          </w:p>
        </w:tc>
        <w:tc>
          <w:tcPr>
            <w:tcW w:w="58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25</w:t>
            </w:r>
          </w:p>
        </w:tc>
        <w:tc>
          <w:tcPr>
            <w:tcW w:w="73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40</w:t>
            </w:r>
          </w:p>
        </w:tc>
        <w:tc>
          <w:tcPr>
            <w:tcW w:w="114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462"/>
              <w:spacing w:before="72" w:line="29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  <w:position w:val="-1"/>
              </w:rPr>
              <w:t>~3.3%</w:t>
            </w:r>
          </w:p>
        </w:tc>
        <w:tc>
          <w:tcPr>
            <w:tcW w:w="95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97" w:right="111"/>
              <w:spacing w:before="71" w:line="275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高端化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潜力</w:t>
            </w:r>
          </w:p>
        </w:tc>
        <w:tc>
          <w:tcPr>
            <w:tcW w:w="526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22" w:right="4267"/>
              <w:spacing w:before="71" w:line="275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疫情等外</w:t>
            </w:r>
            <w:r>
              <w:rPr>
                <w:rFonts w:ascii="SimHei" w:hAnsi="SimHei" w:eastAsia="SimHei" w:cs="SimHei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部冲击</w:t>
            </w:r>
          </w:p>
        </w:tc>
      </w:tr>
      <w:tr>
        <w:trPr>
          <w:trHeight w:val="1319" w:hRule="atLeast"/>
        </w:trPr>
        <w:tc>
          <w:tcPr>
            <w:tcW w:w="81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1" w:right="187"/>
              <w:spacing w:before="283" w:line="305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7"/>
              </w:rPr>
              <w:t>日常消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5"/>
              </w:rPr>
              <w:t>费品</w:t>
            </w:r>
          </w:p>
        </w:tc>
        <w:tc>
          <w:tcPr>
            <w:tcW w:w="60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242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40</w:t>
            </w:r>
          </w:p>
        </w:tc>
        <w:tc>
          <w:tcPr>
            <w:tcW w:w="58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50</w:t>
            </w:r>
          </w:p>
        </w:tc>
        <w:tc>
          <w:tcPr>
            <w:tcW w:w="73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70</w:t>
            </w:r>
          </w:p>
        </w:tc>
        <w:tc>
          <w:tcPr>
            <w:tcW w:w="114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62"/>
              <w:spacing w:before="288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~1.9%</w:t>
            </w:r>
          </w:p>
        </w:tc>
        <w:tc>
          <w:tcPr>
            <w:tcW w:w="95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97" w:right="128"/>
              <w:spacing w:before="286" w:line="346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1"/>
              </w:rPr>
              <w:t>稳定基</w:t>
            </w:r>
            <w:r>
              <w:rPr>
                <w:rFonts w:ascii="SimHei" w:hAnsi="SimHei" w:eastAsia="SimHei" w:cs="SimHe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</w:rPr>
              <w:t>盘</w:t>
            </w:r>
          </w:p>
        </w:tc>
        <w:tc>
          <w:tcPr>
            <w:tcW w:w="526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22"/>
              <w:spacing w:before="287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弹性低</w:t>
            </w:r>
          </w:p>
          <w:p>
            <w:pPr>
              <w:ind w:left="122" w:right="4269" w:firstLine="149"/>
              <w:spacing w:before="92" w:line="278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3"/>
              </w:rPr>
              <w:t>(食品保</w:t>
            </w:r>
            <w:r>
              <w:rPr>
                <w:rFonts w:ascii="SimHei" w:hAnsi="SimHei" w:eastAsia="SimHei" w:cs="SimHe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健重叠)</w:t>
            </w:r>
          </w:p>
        </w:tc>
      </w:tr>
      <w:tr>
        <w:trPr>
          <w:trHeight w:val="1229" w:hRule="atLeast"/>
        </w:trPr>
        <w:tc>
          <w:tcPr>
            <w:tcW w:w="8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"/>
              <w:spacing w:before="280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6"/>
              </w:rPr>
              <w:t>高科技</w:t>
            </w:r>
          </w:p>
          <w:p>
            <w:pPr>
              <w:ind w:left="11"/>
              <w:spacing w:before="103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0"/>
              </w:rPr>
              <w:t>解决方</w:t>
            </w:r>
          </w:p>
          <w:p>
            <w:pPr>
              <w:ind w:left="8"/>
              <w:spacing w:before="150" w:line="171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</w:rPr>
              <w:t>案</w:t>
            </w:r>
          </w:p>
        </w:tc>
        <w:tc>
          <w:tcPr>
            <w:tcW w:w="6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242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</w:t>
            </w:r>
          </w:p>
        </w:tc>
        <w:tc>
          <w:tcPr>
            <w:tcW w:w="5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15</w:t>
            </w:r>
          </w:p>
        </w:tc>
        <w:tc>
          <w:tcPr>
            <w:tcW w:w="7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49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40</w:t>
            </w:r>
          </w:p>
        </w:tc>
        <w:tc>
          <w:tcPr>
            <w:tcW w:w="11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2"/>
              <w:spacing w:before="294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~8.0%</w:t>
            </w:r>
          </w:p>
        </w:tc>
        <w:tc>
          <w:tcPr>
            <w:tcW w:w="9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97" w:right="104"/>
              <w:spacing w:before="283" w:line="30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增长引</w:t>
            </w:r>
            <w:r>
              <w:rPr>
                <w:rFonts w:ascii="SimHei" w:hAnsi="SimHei" w:eastAsia="SimHei" w:cs="SimHe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>擎</w:t>
            </w:r>
          </w:p>
        </w:tc>
        <w:tc>
          <w:tcPr>
            <w:tcW w:w="526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1" w:right="4266" w:hanging="19"/>
              <w:spacing w:before="282" w:line="30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初始投资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>高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2240" w:h="15840"/>
          <w:pgMar w:top="1070" w:right="1159" w:bottom="0" w:left="830" w:header="0" w:footer="0" w:gutter="0"/>
          <w:cols w:equalWidth="0" w:num="1">
            <w:col w:w="10251" w:space="0"/>
          </w:cols>
        </w:sectPr>
        <w:rPr/>
      </w:pPr>
    </w:p>
    <w:p>
      <w:pPr>
        <w:pStyle w:val="BodyText"/>
        <w:ind w:left="149"/>
        <w:spacing w:before="59" w:line="22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总计</w:t>
      </w:r>
    </w:p>
    <w:p>
      <w:pPr>
        <w:pStyle w:val="BodyText"/>
        <w:ind w:left="309"/>
        <w:spacing w:before="136" w:line="223" w:lineRule="auto"/>
        <w:rPr>
          <w:sz w:val="17"/>
          <w:szCs w:val="17"/>
        </w:rPr>
      </w:pPr>
      <w:r>
        <w:rPr>
          <w:sz w:val="17"/>
          <w:szCs w:val="17"/>
          <w:spacing w:val="-12"/>
          <w:w w:val="96"/>
        </w:rPr>
        <w:t>(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2"/>
          <w:w w:val="96"/>
        </w:rPr>
        <w:t>约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2"/>
          <w:w w:val="96"/>
        </w:rPr>
        <w:t>)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0"/>
        <w:spacing w:before="55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100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9"/>
        <w:spacing w:before="55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143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5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230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5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~2.8%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1"/>
        <w:spacing w:before="44" w:line="368" w:lineRule="auto"/>
        <w:rPr>
          <w:sz w:val="17"/>
          <w:szCs w:val="17"/>
        </w:rPr>
      </w:pPr>
      <w:r>
        <w:rPr>
          <w:sz w:val="22"/>
          <w:szCs w:val="22"/>
          <w:spacing w:val="-11"/>
        </w:rPr>
        <w:t>整体扩</w:t>
      </w:r>
      <w:r>
        <w:rPr>
          <w:sz w:val="22"/>
          <w:szCs w:val="22"/>
        </w:rPr>
        <w:t xml:space="preserve"> </w:t>
      </w:r>
      <w:r>
        <w:rPr>
          <w:sz w:val="17"/>
          <w:szCs w:val="17"/>
        </w:rPr>
        <w:t>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284"/>
        <w:spacing w:before="42" w:line="367" w:lineRule="auto"/>
        <w:rPr>
          <w:sz w:val="17"/>
          <w:szCs w:val="17"/>
        </w:rPr>
      </w:pPr>
      <w:r>
        <w:rPr>
          <w:sz w:val="22"/>
          <w:szCs w:val="22"/>
          <w:spacing w:val="-4"/>
        </w:rPr>
        <w:t>重叠估算</w:t>
      </w:r>
      <w:r>
        <w:rPr>
          <w:sz w:val="22"/>
          <w:szCs w:val="22"/>
          <w:spacing w:val="1"/>
        </w:rPr>
        <w:t xml:space="preserve"> </w:t>
      </w:r>
      <w:r>
        <w:rPr>
          <w:sz w:val="17"/>
          <w:szCs w:val="17"/>
          <w:spacing w:val="-8"/>
        </w:rPr>
        <w:t>约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8"/>
        </w:rPr>
        <w:t>1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8"/>
        </w:rPr>
        <w:t>0</w:t>
      </w:r>
      <w:r>
        <w:rPr>
          <w:sz w:val="17"/>
          <w:szCs w:val="17"/>
          <w:spacing w:val="-41"/>
        </w:rPr>
        <w:t xml:space="preserve"> </w:t>
      </w:r>
      <w:r>
        <w:rPr>
          <w:sz w:val="17"/>
          <w:szCs w:val="17"/>
          <w:spacing w:val="-8"/>
        </w:rPr>
        <w:t>-</w:t>
      </w:r>
    </w:p>
    <w:p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15%</w:t>
      </w:r>
    </w:p>
    <w:p>
      <w:pPr>
        <w:spacing w:line="188" w:lineRule="auto"/>
        <w:sectPr>
          <w:type w:val="continuous"/>
          <w:pgSz w:w="12240" w:h="15840"/>
          <w:pgMar w:top="1070" w:right="1159" w:bottom="0" w:left="830" w:header="0" w:footer="0" w:gutter="0"/>
          <w:cols w:equalWidth="0" w:num="7">
            <w:col w:w="850" w:space="100"/>
            <w:col w:w="720" w:space="0"/>
            <w:col w:w="720" w:space="0"/>
            <w:col w:w="851" w:space="100"/>
            <w:col w:w="780" w:space="100"/>
            <w:col w:w="781" w:space="100"/>
            <w:col w:w="5151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>
        <w:pict>
          <v:shape id="_x0000_s6" style="position:absolute;margin-left:56.7679pt;margin-top:-419.731pt;mso-position-vertical-relative:text;mso-position-horizontal-relative:text;width:14.55pt;height:31.4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部</w:t>
                  </w:r>
                  <w:r>
                    <w:rPr>
                      <w:sz w:val="22"/>
                      <w:szCs w:val="22"/>
                      <w:spacing w:val="3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门</w:t>
                  </w:r>
                </w:p>
              </w:txbxContent>
            </v:textbox>
          </v:shape>
        </w:pict>
      </w:r>
      <w:r/>
    </w:p>
    <w:p>
      <w:pPr>
        <w:pStyle w:val="BodyText"/>
        <w:ind w:left="149"/>
        <w:spacing w:before="72" w:line="366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该表采用中等情景外推，但辩证而言，其优势在于高科技驱动，潜在局限包括类别重叠(如保健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22"/>
        </w:rPr>
        <w:t>食品双计)与消费弹性下降，适用条件需</w:t>
      </w:r>
      <w:r>
        <w:rPr>
          <w:rFonts w:ascii="SimSun" w:hAnsi="SimSun" w:eastAsia="SimSun" w:cs="SimSun"/>
          <w:sz w:val="22"/>
          <w:szCs w:val="22"/>
        </w:rPr>
        <w:t>ESG</w:t>
      </w:r>
      <w:r>
        <w:rPr>
          <w:rFonts w:ascii="SimSun" w:hAnsi="SimSun" w:eastAsia="SimSun" w:cs="SimSun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22"/>
        </w:rPr>
        <w:t>投资支持。</w:t>
      </w:r>
    </w:p>
    <w:p>
      <w:pPr>
        <w:pStyle w:val="BodyText"/>
        <w:ind w:left="149"/>
        <w:spacing w:before="236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B.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17"/>
        </w:rPr>
        <w:t>市场驱动因素分析</w:t>
      </w:r>
    </w:p>
    <w:p>
      <w:pPr>
        <w:pStyle w:val="BodyText"/>
        <w:ind w:left="149"/>
        <w:spacing w:before="266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据</w:t>
      </w:r>
      <w:r>
        <w:rPr>
          <w:rFonts w:ascii="SimSun" w:hAnsi="SimSun" w:eastAsia="SimSun" w:cs="SimSun"/>
          <w:sz w:val="22"/>
          <w:szCs w:val="22"/>
        </w:rPr>
        <w:t>OECD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18"/>
        </w:rPr>
        <w:t>报告，长寿红利可能释放生产力，但需技术介入。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2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C.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15"/>
        </w:rPr>
        <w:t>辩证评估</w:t>
      </w:r>
    </w:p>
    <w:p>
      <w:pPr>
        <w:pStyle w:val="BodyText"/>
        <w:ind w:left="149"/>
        <w:spacing w:before="285" w:line="21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一方面，市场规模扩张提供增长点；另一方面，其挑战在于财政可</w:t>
      </w:r>
      <w:r>
        <w:rPr>
          <w:sz w:val="22"/>
          <w:szCs w:val="22"/>
          <w:spacing w:val="19"/>
        </w:rPr>
        <w:t>持续，建议考量绿色转型。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52"/>
        <w:spacing w:before="73" w:line="187" w:lineRule="auto"/>
        <w:outlineLvl w:val="4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</w:rPr>
        <w:t>IV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.</w:t>
      </w:r>
      <w:r>
        <w:rPr>
          <w:sz w:val="22"/>
          <w:szCs w:val="22"/>
          <w:b/>
          <w:bCs/>
          <w:spacing w:val="18"/>
        </w:rPr>
        <w:t>经济与社会影响评估</w:t>
      </w:r>
    </w:p>
    <w:p>
      <w:pPr>
        <w:spacing w:line="187" w:lineRule="auto"/>
        <w:sectPr>
          <w:type w:val="continuous"/>
          <w:pgSz w:w="12240" w:h="15840"/>
          <w:pgMar w:top="1070" w:right="1159" w:bottom="0" w:left="830" w:header="0" w:footer="0" w:gutter="0"/>
          <w:cols w:equalWidth="0" w:num="1">
            <w:col w:w="10251" w:space="0"/>
          </w:cols>
        </w:sectPr>
        <w:rPr>
          <w:sz w:val="22"/>
          <w:szCs w:val="22"/>
        </w:rPr>
      </w:pPr>
    </w:p>
    <w:p>
      <w:pPr>
        <w:pStyle w:val="BodyText"/>
        <w:spacing w:before="44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老龄化对经济增长双刃剑，通常而言，可能抑制但亦创新机遇。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A.</w:t>
      </w:r>
      <w:r>
        <w:rPr>
          <w:rFonts w:ascii="Times New Roman" w:hAnsi="Times New Roman" w:eastAsia="Times New Roman" w:cs="Times New Roman"/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17"/>
        </w:rPr>
        <w:t>宏观经济影响</w:t>
      </w:r>
    </w:p>
    <w:p>
      <w:pPr>
        <w:pStyle w:val="BodyText"/>
        <w:spacing w:before="265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据世界银行分析，老龄化或拖累</w:t>
      </w:r>
      <w:r>
        <w:rPr>
          <w:rFonts w:ascii="SimSun" w:hAnsi="SimSun" w:eastAsia="SimSun" w:cs="SimSun"/>
          <w:sz w:val="22"/>
          <w:szCs w:val="22"/>
        </w:rPr>
        <w:t>GDP</w:t>
      </w:r>
      <w:r>
        <w:rPr>
          <w:rFonts w:ascii="SimSun" w:hAnsi="SimSun" w:eastAsia="SimSun" w:cs="SimSun"/>
          <w:sz w:val="22"/>
          <w:szCs w:val="22"/>
          <w:spacing w:val="85"/>
        </w:rPr>
        <w:t xml:space="preserve"> </w:t>
      </w:r>
      <w:r>
        <w:rPr>
          <w:sz w:val="22"/>
          <w:szCs w:val="22"/>
          <w:spacing w:val="19"/>
        </w:rPr>
        <w:t>增长0.5-1%每</w:t>
      </w:r>
      <w:r>
        <w:rPr>
          <w:sz w:val="22"/>
          <w:szCs w:val="22"/>
          <w:spacing w:val="18"/>
        </w:rPr>
        <w:t>年。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71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B.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17"/>
        </w:rPr>
        <w:t>社会影响</w:t>
      </w:r>
    </w:p>
    <w:p>
      <w:pPr>
        <w:pStyle w:val="BodyText"/>
        <w:spacing w:before="254" w:line="213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护理需求激增，家庭结构变化。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spacing w:before="71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1.</w:t>
      </w:r>
      <w:r>
        <w:rPr>
          <w:sz w:val="22"/>
          <w:szCs w:val="22"/>
          <w:spacing w:val="28"/>
        </w:rPr>
        <w:t>潜在风险矩阵(表5)</w:t>
      </w:r>
    </w:p>
    <w:p>
      <w:pPr>
        <w:spacing w:before="124"/>
        <w:rPr/>
      </w:pPr>
      <w:r/>
    </w:p>
    <w:tbl>
      <w:tblPr>
        <w:tblStyle w:val="TableNormal"/>
        <w:tblW w:w="74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9"/>
        <w:gridCol w:w="677"/>
        <w:gridCol w:w="1048"/>
        <w:gridCol w:w="1553"/>
        <w:gridCol w:w="1380"/>
        <w:gridCol w:w="1682"/>
      </w:tblGrid>
      <w:tr>
        <w:trPr>
          <w:trHeight w:val="406" w:hRule="atLeast"/>
        </w:trPr>
        <w:tc>
          <w:tcPr>
            <w:tcW w:w="1159" w:type="dxa"/>
            <w:vAlign w:val="top"/>
          </w:tcPr>
          <w:p>
            <w:pPr>
              <w:spacing w:before="1" w:line="22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4"/>
              </w:rPr>
              <w:t>风险类型</w:t>
            </w:r>
          </w:p>
        </w:tc>
        <w:tc>
          <w:tcPr>
            <w:tcW w:w="677" w:type="dxa"/>
            <w:vAlign w:val="top"/>
          </w:tcPr>
          <w:p>
            <w:pPr>
              <w:ind w:left="111"/>
              <w:spacing w:before="1" w:line="22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概率</w:t>
            </w:r>
          </w:p>
        </w:tc>
        <w:tc>
          <w:tcPr>
            <w:tcW w:w="1048" w:type="dxa"/>
            <w:vAlign w:val="top"/>
          </w:tcPr>
          <w:p>
            <w:pPr>
              <w:ind w:left="94"/>
              <w:spacing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影响程度</w:t>
            </w:r>
          </w:p>
        </w:tc>
        <w:tc>
          <w:tcPr>
            <w:tcW w:w="1553" w:type="dxa"/>
            <w:vAlign w:val="top"/>
          </w:tcPr>
          <w:p>
            <w:pPr>
              <w:ind w:left="116"/>
              <w:spacing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优势/机遇</w:t>
            </w:r>
          </w:p>
        </w:tc>
        <w:tc>
          <w:tcPr>
            <w:tcW w:w="1380" w:type="dxa"/>
            <w:vAlign w:val="top"/>
          </w:tcPr>
          <w:p>
            <w:pPr>
              <w:ind w:left="123"/>
              <w:spacing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局限性/挑战</w:t>
            </w:r>
          </w:p>
        </w:tc>
        <w:tc>
          <w:tcPr>
            <w:tcW w:w="1682" w:type="dxa"/>
            <w:vAlign w:val="top"/>
          </w:tcPr>
          <w:p>
            <w:pPr>
              <w:ind w:left="132"/>
              <w:spacing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0"/>
              </w:rPr>
              <w:t>适用条件</w:t>
            </w:r>
          </w:p>
        </w:tc>
      </w:tr>
      <w:tr>
        <w:trPr>
          <w:trHeight w:val="494" w:hRule="atLeast"/>
        </w:trPr>
        <w:tc>
          <w:tcPr>
            <w:tcW w:w="1159" w:type="dxa"/>
            <w:vAlign w:val="top"/>
            <w:tcBorders>
              <w:bottom w:val="single" w:color="000000" w:sz="2" w:space="0"/>
            </w:tcBorders>
          </w:tcPr>
          <w:p>
            <w:pPr>
              <w:spacing w:before="184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劳动力短缺</w:t>
            </w:r>
          </w:p>
        </w:tc>
        <w:tc>
          <w:tcPr>
            <w:tcW w:w="677" w:type="dxa"/>
            <w:vAlign w:val="top"/>
            <w:tcBorders>
              <w:bottom w:val="single" w:color="000000" w:sz="2" w:space="0"/>
            </w:tcBorders>
          </w:tcPr>
          <w:p>
            <w:pPr>
              <w:ind w:left="130"/>
              <w:spacing w:before="184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高</w:t>
            </w:r>
          </w:p>
        </w:tc>
        <w:tc>
          <w:tcPr>
            <w:tcW w:w="1048" w:type="dxa"/>
            <w:vAlign w:val="top"/>
            <w:tcBorders>
              <w:bottom w:val="single" w:color="000000" w:sz="2" w:space="0"/>
            </w:tcBorders>
          </w:tcPr>
          <w:p>
            <w:pPr>
              <w:ind w:left="123"/>
              <w:spacing w:before="184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高</w:t>
            </w:r>
          </w:p>
        </w:tc>
        <w:tc>
          <w:tcPr>
            <w:tcW w:w="1553" w:type="dxa"/>
            <w:vAlign w:val="top"/>
            <w:tcBorders>
              <w:bottom w:val="single" w:color="000000" w:sz="2" w:space="0"/>
            </w:tcBorders>
          </w:tcPr>
          <w:p>
            <w:pPr>
              <w:ind w:left="176"/>
              <w:spacing w:before="184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5"/>
              </w:rPr>
              <w:t>自动化加速</w:t>
            </w:r>
          </w:p>
        </w:tc>
        <w:tc>
          <w:tcPr>
            <w:tcW w:w="1380" w:type="dxa"/>
            <w:vAlign w:val="top"/>
            <w:tcBorders>
              <w:bottom w:val="single" w:color="000000" w:sz="2" w:space="0"/>
            </w:tcBorders>
          </w:tcPr>
          <w:p>
            <w:pPr>
              <w:ind w:left="123"/>
              <w:spacing w:before="184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生产力下降</w:t>
            </w:r>
          </w:p>
        </w:tc>
        <w:tc>
          <w:tcPr>
            <w:tcW w:w="1682" w:type="dxa"/>
            <w:vAlign w:val="top"/>
            <w:tcBorders>
              <w:bottom w:val="single" w:color="000000" w:sz="2" w:space="0"/>
            </w:tcBorders>
          </w:tcPr>
          <w:p>
            <w:pPr>
              <w:ind w:left="113"/>
              <w:spacing w:before="184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6"/>
              </w:rPr>
              <w:t>移民政策</w:t>
            </w:r>
          </w:p>
        </w:tc>
      </w:tr>
      <w:tr>
        <w:trPr>
          <w:trHeight w:val="608" w:hRule="atLeast"/>
        </w:trPr>
        <w:tc>
          <w:tcPr>
            <w:tcW w:w="11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304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财政压力</w:t>
            </w:r>
          </w:p>
        </w:tc>
        <w:tc>
          <w:tcPr>
            <w:tcW w:w="6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0"/>
              <w:spacing w:before="305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高</w:t>
            </w:r>
          </w:p>
        </w:tc>
        <w:tc>
          <w:tcPr>
            <w:tcW w:w="10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3"/>
              <w:spacing w:before="305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高</w:t>
            </w:r>
          </w:p>
        </w:tc>
        <w:tc>
          <w:tcPr>
            <w:tcW w:w="15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6"/>
              <w:spacing w:before="304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银色税收贡献</w:t>
            </w:r>
          </w:p>
        </w:tc>
        <w:tc>
          <w:tcPr>
            <w:tcW w:w="1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"/>
              <w:spacing w:before="304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养老金赤字</w:t>
            </w:r>
          </w:p>
        </w:tc>
        <w:tc>
          <w:tcPr>
            <w:tcW w:w="16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2"/>
              <w:spacing w:before="304" w:line="22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延迟退休</w:t>
            </w:r>
          </w:p>
        </w:tc>
      </w:tr>
      <w:tr>
        <w:trPr>
          <w:trHeight w:val="609" w:hRule="atLeast"/>
        </w:trPr>
        <w:tc>
          <w:tcPr>
            <w:tcW w:w="11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79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创新滞后</w:t>
            </w:r>
          </w:p>
        </w:tc>
        <w:tc>
          <w:tcPr>
            <w:tcW w:w="6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279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中等</w:t>
            </w:r>
          </w:p>
        </w:tc>
        <w:tc>
          <w:tcPr>
            <w:tcW w:w="10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3"/>
              <w:spacing w:before="279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中等</w:t>
            </w:r>
          </w:p>
        </w:tc>
        <w:tc>
          <w:tcPr>
            <w:tcW w:w="15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6"/>
              <w:spacing w:before="280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高科技需求</w:t>
            </w:r>
          </w:p>
        </w:tc>
        <w:tc>
          <w:tcPr>
            <w:tcW w:w="1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"/>
              <w:spacing w:before="279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R&amp;D</w:t>
            </w: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分流</w:t>
            </w:r>
          </w:p>
        </w:tc>
        <w:tc>
          <w:tcPr>
            <w:tcW w:w="16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right="17"/>
              <w:spacing w:before="240" w:line="300" w:lineRule="exact"/>
              <w:jc w:val="righ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  <w:position w:val="2"/>
              </w:rPr>
              <w:t>Society</w:t>
            </w:r>
            <w:r>
              <w:rPr>
                <w:rFonts w:ascii="Arial" w:hAnsi="Arial" w:eastAsia="Arial" w:cs="Arial"/>
                <w:sz w:val="22"/>
                <w:szCs w:val="22"/>
                <w:spacing w:val="4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  <w:position w:val="2"/>
              </w:rPr>
              <w:t>5.0</w:t>
            </w:r>
            <w:r>
              <w:rPr>
                <w:rFonts w:ascii="SimHei" w:hAnsi="SimHei" w:eastAsia="SimHei" w:cs="SimHei"/>
                <w:sz w:val="22"/>
                <w:szCs w:val="22"/>
                <w:spacing w:val="-3"/>
                <w:position w:val="2"/>
              </w:rPr>
              <w:t>框架</w:t>
            </w:r>
          </w:p>
        </w:tc>
      </w:tr>
    </w:tbl>
    <w:p>
      <w:pPr>
        <w:pStyle w:val="BodyText"/>
        <w:spacing w:before="287" w:line="221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区域不均衡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spacing w:val="-6"/>
        </w:rPr>
        <w:t>高</w:t>
      </w:r>
      <w:r>
        <w:rPr>
          <w:sz w:val="22"/>
          <w:szCs w:val="22"/>
          <w:spacing w:val="13"/>
        </w:rPr>
        <w:t xml:space="preserve">    </w:t>
      </w:r>
      <w:r>
        <w:rPr>
          <w:sz w:val="22"/>
          <w:szCs w:val="22"/>
          <w:spacing w:val="-6"/>
        </w:rPr>
        <w:t>中等</w:t>
      </w:r>
      <w:r>
        <w:rPr>
          <w:sz w:val="22"/>
          <w:szCs w:val="22"/>
          <w:spacing w:val="21"/>
        </w:rPr>
        <w:t xml:space="preserve">     </w:t>
      </w:r>
      <w:r>
        <w:rPr>
          <w:sz w:val="22"/>
          <w:szCs w:val="22"/>
          <w:spacing w:val="-6"/>
        </w:rPr>
        <w:t>地方活力</w:t>
      </w:r>
      <w:r>
        <w:rPr>
          <w:sz w:val="22"/>
          <w:szCs w:val="22"/>
          <w:spacing w:val="-6"/>
        </w:rPr>
        <w:t xml:space="preserve">      </w:t>
      </w:r>
      <w:r>
        <w:rPr>
          <w:sz w:val="22"/>
          <w:szCs w:val="22"/>
          <w:spacing w:val="-6"/>
        </w:rPr>
        <w:t>都市</w:t>
      </w:r>
      <w:r>
        <w:rPr>
          <w:sz w:val="22"/>
          <w:szCs w:val="22"/>
          <w:spacing w:val="-7"/>
        </w:rPr>
        <w:t>空心化</w:t>
      </w:r>
      <w:r>
        <w:rPr>
          <w:sz w:val="22"/>
          <w:szCs w:val="22"/>
          <w:spacing w:val="-7"/>
        </w:rPr>
        <w:t xml:space="preserve">   </w:t>
      </w:r>
      <w:r>
        <w:rPr>
          <w:sz w:val="22"/>
          <w:szCs w:val="22"/>
          <w:spacing w:val="-7"/>
        </w:rPr>
        <w:t>区域振兴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该矩阵显示风险可控，但需前瞻治理。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22" w:lineRule="auto"/>
        <w:outlineLvl w:val="4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V.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sz w:val="22"/>
          <w:szCs w:val="22"/>
          <w:b/>
          <w:bCs/>
          <w:spacing w:val="15"/>
        </w:rPr>
        <w:t>结论与战略展望</w:t>
      </w:r>
    </w:p>
    <w:p>
      <w:pPr>
        <w:pStyle w:val="BodyText"/>
        <w:spacing w:before="217" w:line="350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日本老年人口市场到2050年规模预计超200万亿日元，通常而言，这不仅是挑战，更是银色经济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9"/>
        </w:rPr>
        <w:t>融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19"/>
        </w:rPr>
        <w:t>入</w:t>
      </w:r>
      <w:r>
        <w:rPr>
          <w:rFonts w:ascii="Arial" w:hAnsi="Arial" w:eastAsia="Arial" w:cs="Arial"/>
          <w:sz w:val="22"/>
          <w:szCs w:val="22"/>
        </w:rPr>
        <w:t>Society</w:t>
      </w:r>
      <w:r>
        <w:rPr>
          <w:rFonts w:ascii="Arial" w:hAnsi="Arial" w:eastAsia="Arial" w:cs="Arial"/>
          <w:sz w:val="22"/>
          <w:szCs w:val="22"/>
          <w:spacing w:val="4"/>
        </w:rPr>
        <w:t xml:space="preserve">    </w:t>
      </w:r>
      <w:r>
        <w:rPr>
          <w:rFonts w:ascii="Arial" w:hAnsi="Arial" w:eastAsia="Arial" w:cs="Arial"/>
          <w:sz w:val="22"/>
          <w:szCs w:val="22"/>
          <w:spacing w:val="19"/>
        </w:rPr>
        <w:t>5.0</w:t>
      </w:r>
      <w:r>
        <w:rPr>
          <w:rFonts w:ascii="Arial" w:hAnsi="Arial" w:eastAsia="Arial" w:cs="Arial"/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19"/>
        </w:rPr>
        <w:t>(日本超智能社会战略)与双碳目标的机遇。</w:t>
      </w:r>
      <w:r>
        <w:rPr>
          <w:sz w:val="22"/>
          <w:szCs w:val="22"/>
          <w:spacing w:val="18"/>
        </w:rPr>
        <w:t>在可持续老龄化框架下，该市场可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3"/>
        </w:rPr>
        <w:t>能助力</w:t>
      </w:r>
      <w:r>
        <w:rPr>
          <w:rFonts w:ascii="Arial" w:hAnsi="Arial" w:eastAsia="Arial" w:cs="Arial"/>
          <w:sz w:val="22"/>
          <w:szCs w:val="22"/>
        </w:rPr>
        <w:t>SDGs</w:t>
      </w:r>
      <w:r>
        <w:rPr>
          <w:sz w:val="22"/>
          <w:szCs w:val="22"/>
          <w:spacing w:val="33"/>
        </w:rPr>
        <w:t>目标3(健康福祉)与目标8(体面工作),并与共同富裕、国家安全观相衔接。建议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6"/>
        </w:rPr>
        <w:t>考虑高科技与绿色投资优先，</w:t>
      </w:r>
      <w:r>
        <w:rPr>
          <w:sz w:val="22"/>
          <w:szCs w:val="22"/>
          <w:spacing w:val="82"/>
        </w:rPr>
        <w:t xml:space="preserve"> </w:t>
      </w:r>
      <w:r>
        <w:rPr>
          <w:sz w:val="22"/>
          <w:szCs w:val="22"/>
          <w:spacing w:val="16"/>
        </w:rPr>
        <w:t>一种可能的路径是公私合作扩容</w:t>
      </w:r>
      <w:r>
        <w:rPr>
          <w:rFonts w:ascii="SimSun" w:hAnsi="SimSun" w:eastAsia="SimSun" w:cs="SimSun"/>
          <w:sz w:val="22"/>
          <w:szCs w:val="22"/>
        </w:rPr>
        <w:t>REITs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16"/>
        </w:rPr>
        <w:t>与护理机器</w:t>
      </w:r>
      <w:r>
        <w:rPr>
          <w:sz w:val="22"/>
          <w:szCs w:val="22"/>
          <w:spacing w:val="15"/>
        </w:rPr>
        <w:t>人，但需审慎评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7"/>
        </w:rPr>
        <w:t>估区域差异与财政边界。</w:t>
      </w:r>
    </w:p>
    <w:p>
      <w:pPr>
        <w:pStyle w:val="BodyText"/>
        <w:ind w:left="3"/>
        <w:spacing w:before="245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关键引用</w:t>
      </w:r>
    </w:p>
    <w:p>
      <w:pPr>
        <w:spacing w:line="223" w:lineRule="auto"/>
        <w:sectPr>
          <w:pgSz w:w="12240" w:h="15840"/>
          <w:pgMar w:top="1213" w:right="1060" w:bottom="0" w:left="970" w:header="0" w:footer="0" w:gutter="0"/>
        </w:sectPr>
        <w:rPr>
          <w:sz w:val="22"/>
          <w:szCs w:val="22"/>
        </w:rPr>
      </w:pPr>
    </w:p>
    <w:p>
      <w:pPr>
        <w:ind w:left="160" w:right="57" w:hanging="160"/>
        <w:spacing w:before="66" w:line="32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·National  Institute  of  Population  and  Social  Security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Research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(IPSS),Popu</w:t>
      </w:r>
      <w:r>
        <w:rPr>
          <w:rFonts w:ascii="Arial" w:hAnsi="Arial" w:eastAsia="Arial" w:cs="Arial"/>
          <w:sz w:val="24"/>
          <w:szCs w:val="24"/>
          <w:spacing w:val="-2"/>
        </w:rPr>
        <w:t>lation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Projections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</w:t>
      </w:r>
      <w:r>
        <w:rPr>
          <w:rFonts w:ascii="Arial" w:hAnsi="Arial" w:eastAsia="Arial" w:cs="Arial"/>
          <w:sz w:val="24"/>
          <w:szCs w:val="24"/>
          <w:spacing w:val="5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Japan 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(2023  revision)</w:t>
      </w:r>
    </w:p>
    <w:p>
      <w:pPr>
        <w:spacing w:before="20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·Cabinet</w:t>
      </w:r>
      <w:r>
        <w:rPr>
          <w:rFonts w:ascii="Arial" w:hAnsi="Arial" w:eastAsia="Arial" w:cs="Arial"/>
          <w:sz w:val="24"/>
          <w:szCs w:val="24"/>
          <w:spacing w:val="2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Office,Annua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l</w:t>
      </w:r>
      <w:r>
        <w:rPr>
          <w:rFonts w:ascii="Arial" w:hAnsi="Arial" w:eastAsia="Arial" w:cs="Arial"/>
          <w:sz w:val="24"/>
          <w:szCs w:val="24"/>
          <w:spacing w:val="2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Report</w:t>
      </w:r>
      <w:r>
        <w:rPr>
          <w:rFonts w:ascii="Arial" w:hAnsi="Arial" w:eastAsia="Arial" w:cs="Arial"/>
          <w:sz w:val="24"/>
          <w:szCs w:val="24"/>
          <w:spacing w:val="2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on</w:t>
      </w:r>
      <w:r>
        <w:rPr>
          <w:rFonts w:ascii="Arial" w:hAnsi="Arial" w:eastAsia="Arial" w:cs="Arial"/>
          <w:sz w:val="24"/>
          <w:szCs w:val="24"/>
          <w:spacing w:val="1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the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Ageing</w:t>
      </w:r>
      <w:r>
        <w:rPr>
          <w:rFonts w:ascii="Arial" w:hAnsi="Arial" w:eastAsia="Arial" w:cs="Arial"/>
          <w:sz w:val="24"/>
          <w:szCs w:val="24"/>
          <w:spacing w:val="2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Society(FY2024)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·Ministry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1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Internal  Affairs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Communicati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ons,Population   Estimates</w:t>
      </w:r>
      <w:r>
        <w:rPr>
          <w:rFonts w:ascii="Arial" w:hAnsi="Arial" w:eastAsia="Arial" w:cs="Arial"/>
          <w:sz w:val="24"/>
          <w:szCs w:val="24"/>
          <w:spacing w:val="2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(2025)</w:t>
      </w:r>
    </w:p>
    <w:p>
      <w:pPr>
        <w:spacing w:before="287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·World  Bank,Aging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Asia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Reports</w:t>
      </w:r>
    </w:p>
    <w:p>
      <w:pPr>
        <w:spacing w:before="26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·OECD,Ageing</w:t>
      </w:r>
      <w:r>
        <w:rPr>
          <w:rFonts w:ascii="Arial" w:hAnsi="Arial" w:eastAsia="Arial" w:cs="Arial"/>
          <w:sz w:val="24"/>
          <w:szCs w:val="24"/>
          <w:spacing w:val="3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and   Employment   Policies:Japan</w:t>
      </w:r>
    </w:p>
    <w:p>
      <w:pPr>
        <w:spacing w:before="28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·McKinsey  Global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Institute,Japan  Silver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Economy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Analysis</w:t>
      </w:r>
    </w:p>
    <w:p>
      <w:pPr>
        <w:spacing w:before="303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·JLL(Jones  Lang  LaSalle),Asia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Pacific  </w:t>
      </w:r>
      <w:r>
        <w:rPr>
          <w:rFonts w:ascii="Arial" w:hAnsi="Arial" w:eastAsia="Arial" w:cs="Arial"/>
          <w:sz w:val="24"/>
          <w:szCs w:val="24"/>
          <w:spacing w:val="-2"/>
        </w:rPr>
        <w:t>Ageing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Report</w:t>
      </w:r>
    </w:p>
    <w:sectPr>
      <w:pgSz w:w="12240" w:h="15840"/>
      <w:pgMar w:top="1114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2026-03-15T23:58:25</vt:filetime>
  </property>
  <property fmtid="{D5CDD505-2E9C-101B-9397-08002B2CF9AE}" pid="4" name="UsrData">
    <vt:lpwstr>69b6d71e6314910020303e43wl</vt:lpwstr>
  </property>
</Properties>
</file>