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35A89">
      <w:pPr>
        <w:spacing w:after="210" w:line="360" w:lineRule="auto"/>
      </w:pPr>
      <w:bookmarkStart w:id="43" w:name="_GoBack"/>
      <w:bookmarkEnd w:id="43"/>
      <w:r>
        <w:rPr>
          <w:rFonts w:ascii="inter" w:hAnsi="inter" w:eastAsia="inter" w:cs="inter"/>
          <w:b/>
          <w:color w:val="000000"/>
        </w:rPr>
        <w:t>Report Title:</w:t>
      </w:r>
      <w:r>
        <w:rPr>
          <w:rFonts w:ascii="inter" w:hAnsi="inter" w:eastAsia="inter" w:cs="inter"/>
          <w:color w:val="000000"/>
        </w:rPr>
        <w:t xml:space="preserve"> The Architecture of Artificial Intimacy: Strategic Implications of Algorithmically Mediated Sociality</w:t>
      </w:r>
    </w:p>
    <w:p w14:paraId="3F9CAAEE">
      <w:pPr>
        <w:spacing w:after="210" w:line="360" w:lineRule="auto"/>
      </w:pPr>
      <w:r>
        <w:rPr>
          <w:rFonts w:ascii="inter" w:hAnsi="inter" w:eastAsia="inter" w:cs="inter"/>
          <w:b/>
          <w:color w:val="000000"/>
        </w:rPr>
        <w:t>To:</w:t>
      </w:r>
      <w:r>
        <w:rPr>
          <w:rFonts w:ascii="inter" w:hAnsi="inter" w:eastAsia="inter" w:cs="inter"/>
          <w:color w:val="000000"/>
        </w:rPr>
        <w:t xml:space="preserve"> Directorate of Policy Research &amp; Global Strategy</w:t>
      </w:r>
      <w:r>
        <w:rPr>
          <w:rFonts w:ascii="inter" w:hAnsi="inter" w:eastAsia="inter" w:cs="inter"/>
          <w:color w:val="000000"/>
        </w:rPr>
        <w:br w:type="textWrapping"/>
      </w:r>
      <w:r>
        <w:rPr>
          <w:rFonts w:ascii="inter" w:hAnsi="inter" w:eastAsia="inter" w:cs="inter"/>
          <w:b/>
          <w:color w:val="000000"/>
        </w:rPr>
        <w:t>From:</w:t>
      </w:r>
      <w:r>
        <w:rPr>
          <w:rFonts w:ascii="inter" w:hAnsi="inter" w:eastAsia="inter" w:cs="inter"/>
          <w:color w:val="000000"/>
        </w:rPr>
        <w:t xml:space="preserve"> Senior Analyst, Socio-Technical Systems Division</w:t>
      </w:r>
      <w:r>
        <w:rPr>
          <w:rFonts w:ascii="inter" w:hAnsi="inter" w:eastAsia="inter" w:cs="inter"/>
          <w:color w:val="000000"/>
        </w:rPr>
        <w:br w:type="textWrapping"/>
      </w:r>
      <w:r>
        <w:rPr>
          <w:rFonts w:ascii="inter" w:hAnsi="inter" w:eastAsia="inter" w:cs="inter"/>
          <w:b/>
          <w:color w:val="000000"/>
        </w:rPr>
        <w:t>Date:</w:t>
      </w:r>
      <w:r>
        <w:rPr>
          <w:rFonts w:ascii="inter" w:hAnsi="inter" w:eastAsia="inter" w:cs="inter"/>
          <w:color w:val="000000"/>
        </w:rPr>
        <w:t xml:space="preserve"> December 29, 2025</w:t>
      </w:r>
      <w:r>
        <w:rPr>
          <w:rFonts w:ascii="inter" w:hAnsi="inter" w:eastAsia="inter" w:cs="inter"/>
          <w:color w:val="000000"/>
        </w:rPr>
        <w:br w:type="textWrapping"/>
      </w:r>
      <w:r>
        <w:rPr>
          <w:rFonts w:ascii="inter" w:hAnsi="inter" w:eastAsia="inter" w:cs="inter"/>
          <w:b/>
          <w:color w:val="000000"/>
        </w:rPr>
        <w:t>Subject:</w:t>
      </w:r>
      <w:r>
        <w:rPr>
          <w:rFonts w:ascii="inter" w:hAnsi="inter" w:eastAsia="inter" w:cs="inter"/>
          <w:color w:val="000000"/>
        </w:rPr>
        <w:t xml:space="preserve"> Flagship Report on AI Interaction and Interpersonal Relation Dynamics</w:t>
      </w:r>
    </w:p>
    <w:p w14:paraId="6AA6575E">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02AEE69">
      <w:pPr>
        <w:spacing w:before="315" w:after="105" w:line="360" w:lineRule="auto"/>
        <w:ind w:left="-30"/>
        <w:jc w:val="left"/>
      </w:pPr>
      <w:bookmarkStart w:id="0" w:name="executive_summary"/>
      <w:r>
        <w:rPr>
          <w:rFonts w:ascii="inter" w:hAnsi="inter" w:eastAsia="inter" w:cs="inter"/>
          <w:b/>
          <w:color w:val="000000"/>
          <w:sz w:val="24"/>
        </w:rPr>
        <w:t>Executive Summary</w:t>
      </w:r>
      <w:bookmarkEnd w:id="0"/>
    </w:p>
    <w:p w14:paraId="1A5CAEAA">
      <w:pPr>
        <w:spacing w:after="210" w:line="360" w:lineRule="auto"/>
      </w:pPr>
      <w:r>
        <w:rPr>
          <w:rFonts w:ascii="inter" w:hAnsi="inter" w:eastAsia="inter" w:cs="inter"/>
          <w:color w:val="000000"/>
        </w:rPr>
        <w:t xml:space="preserve">The integration of artificial intelligence into the fabric of human sociality represents a paradigm shift comparable to the advent of mass media. This report analyzes the emergence of </w:t>
      </w:r>
      <w:r>
        <w:rPr>
          <w:rFonts w:ascii="inter" w:hAnsi="inter" w:eastAsia="inter" w:cs="inter"/>
          <w:b/>
          <w:color w:val="000000"/>
        </w:rPr>
        <w:t>algorithmically mediated sociality</w:t>
      </w:r>
      <w:r>
        <w:rPr>
          <w:rFonts w:ascii="inter" w:hAnsi="inter" w:eastAsia="inter" w:cs="inter"/>
          <w:color w:val="000000"/>
        </w:rPr>
        <w:t xml:space="preserve">—a condition where AI systems no longer merely channel communication but actively shape, substitute, and optimize interpersonal dynamics. Drawing on data from the Stanford Institute for Human-Centered AI (HAI), Pew Research Center, and recent socio-technical literature, this analysis suggests a dual trajectory: while AI offers novel affordances for combating isolation and enhancing communicative efficiency, it simultaneously introduces risks of </w:t>
      </w:r>
      <w:r>
        <w:rPr>
          <w:rFonts w:ascii="inter" w:hAnsi="inter" w:eastAsia="inter" w:cs="inter"/>
          <w:b/>
          <w:color w:val="000000"/>
        </w:rPr>
        <w:t>social capital depletion</w:t>
      </w:r>
      <w:r>
        <w:rPr>
          <w:rFonts w:ascii="inter" w:hAnsi="inter" w:eastAsia="inter" w:cs="inter"/>
          <w:color w:val="000000"/>
        </w:rPr>
        <w:t xml:space="preserve"> and the atrophy of organic relational skills. This document provides a definitive framework for understanding these shifts and outlines strategic governance protocols for a sustainable digital society.</w:t>
      </w:r>
    </w:p>
    <w:p w14:paraId="078E30FC">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7601B24D">
      <w:pPr>
        <w:spacing w:before="315" w:after="105" w:line="360" w:lineRule="auto"/>
        <w:ind w:left="-30"/>
        <w:jc w:val="left"/>
      </w:pPr>
      <w:bookmarkStart w:id="1" w:name="i_the_mechanics_of_algorithmicall_53f80b"/>
      <w:r>
        <w:rPr>
          <w:rFonts w:ascii="inter" w:hAnsi="inter" w:eastAsia="inter" w:cs="inter"/>
          <w:b/>
          <w:color w:val="000000"/>
          <w:sz w:val="24"/>
        </w:rPr>
        <w:t>I. The Mechanics of Algorithmically Mediated Sociality</w:t>
      </w:r>
      <w:bookmarkEnd w:id="1"/>
    </w:p>
    <w:p w14:paraId="729522F3">
      <w:pPr>
        <w:spacing w:after="210" w:line="360" w:lineRule="auto"/>
      </w:pPr>
      <w:r>
        <w:rPr>
          <w:rFonts w:ascii="inter" w:hAnsi="inter" w:eastAsia="inter" w:cs="inter"/>
          <w:color w:val="000000"/>
        </w:rPr>
        <w:t>The interface between human intent and social outcome is increasingly governed by predictive algorithms. This section dissects the technical and psychological infrastructure enabling this transition.</w:t>
      </w:r>
    </w:p>
    <w:p w14:paraId="5BBF1AE8">
      <w:pPr>
        <w:spacing w:before="315" w:after="105" w:line="360" w:lineRule="auto"/>
        <w:ind w:left="-30"/>
        <w:jc w:val="left"/>
      </w:pPr>
      <w:bookmarkStart w:id="2" w:name="a_anthropomorphic_design_in_human_1fd007"/>
      <w:r>
        <w:rPr>
          <w:rFonts w:ascii="inter" w:hAnsi="inter" w:eastAsia="inter" w:cs="inter"/>
          <w:b/>
          <w:color w:val="000000"/>
          <w:sz w:val="24"/>
        </w:rPr>
        <w:t>A. Anthropomorphic Design in Human-Computer Interaction (HCI)</w:t>
      </w:r>
      <w:bookmarkEnd w:id="2"/>
    </w:p>
    <w:p w14:paraId="13084931">
      <w:pPr>
        <w:spacing w:after="210" w:line="360" w:lineRule="auto"/>
      </w:pPr>
      <w:r>
        <w:rPr>
          <w:rFonts w:ascii="inter" w:hAnsi="inter" w:eastAsia="inter" w:cs="inter"/>
          <w:color w:val="000000"/>
        </w:rPr>
        <w:t>Anthropomorphism in HCI refers to the deliberate inclusion of human-like characteristics—visual, auditory, or behavioral—to facilitate user engagement.</w:t>
      </w:r>
    </w:p>
    <w:p w14:paraId="012C1BCF">
      <w:pPr>
        <w:numPr>
          <w:ilvl w:val="0"/>
          <w:numId w:val="1"/>
        </w:numPr>
        <w:spacing w:after="210" w:line="360" w:lineRule="auto"/>
      </w:pPr>
      <w:r>
        <w:rPr>
          <w:rFonts w:ascii="inter" w:hAnsi="inter" w:eastAsia="inter" w:cs="inter"/>
          <w:b/>
          <w:color w:val="000000"/>
          <w:sz w:val="21"/>
        </w:rPr>
        <w:t>The Illusion of Reciprocity</w:t>
      </w:r>
      <w:r>
        <w:rPr>
          <w:rFonts w:ascii="inter" w:hAnsi="inter" w:eastAsia="inter" w:cs="inter"/>
          <w:color w:val="000000"/>
          <w:sz w:val="21"/>
        </w:rPr>
        <w:br w:type="textWrapping"/>
      </w:r>
      <w:r>
        <w:rPr>
          <w:rFonts w:ascii="inter" w:hAnsi="inter" w:eastAsia="inter" w:cs="inter"/>
          <w:color w:val="000000"/>
          <w:sz w:val="21"/>
        </w:rPr>
        <w:t xml:space="preserve">Modern Large Language Models (LLMs) utilize </w:t>
      </w:r>
      <w:r>
        <w:rPr>
          <w:rFonts w:ascii="inter" w:hAnsi="inter" w:eastAsia="inter" w:cs="inter"/>
          <w:i/>
          <w:color w:val="000000"/>
          <w:sz w:val="21"/>
        </w:rPr>
        <w:t>probabilistic empathy</w:t>
      </w:r>
      <w:r>
        <w:rPr>
          <w:rFonts w:ascii="inter" w:hAnsi="inter" w:eastAsia="inter" w:cs="inter"/>
          <w:color w:val="000000"/>
          <w:sz w:val="21"/>
        </w:rPr>
        <w:t xml:space="preserve"> to mimic emotional resonance. According to a 2025 study by Harvard Business School, AI companions can momentarily alleviate loneliness at rates comparable to human interaction by satisfying the user's need to "feel heard". However, this interaction relies on </w:t>
      </w:r>
      <w:r>
        <w:rPr>
          <w:rFonts w:ascii="inter" w:hAnsi="inter" w:eastAsia="inter" w:cs="inter"/>
          <w:b/>
          <w:color w:val="000000"/>
          <w:sz w:val="21"/>
        </w:rPr>
        <w:t>parasocial intimacy gradients</w:t>
      </w:r>
      <w:r>
        <w:rPr>
          <w:rFonts w:ascii="inter" w:hAnsi="inter" w:eastAsia="inter" w:cs="inter"/>
          <w:color w:val="000000"/>
          <w:sz w:val="21"/>
        </w:rPr>
        <w:t>—one-way emotional bonds where the user projects depth onto a stochastic response generator.</w:t>
      </w:r>
      <w:bookmarkStart w:id="3" w:name="fnref1"/>
      <w:bookmarkEnd w:id="3"/>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7041A79E">
      <w:pPr>
        <w:numPr>
          <w:ilvl w:val="1"/>
          <w:numId w:val="1"/>
        </w:numPr>
        <w:spacing w:before="105" w:after="105" w:line="360" w:lineRule="auto"/>
      </w:pPr>
      <w:r>
        <w:rPr>
          <w:rFonts w:ascii="inter" w:hAnsi="inter" w:eastAsia="inter" w:cs="inter"/>
          <w:i/>
          <w:color w:val="000000"/>
          <w:sz w:val="21"/>
        </w:rPr>
        <w:t>Strategic Implication:</w:t>
      </w:r>
      <w:r>
        <w:rPr>
          <w:rFonts w:ascii="inter" w:hAnsi="inter" w:eastAsia="inter" w:cs="inter"/>
          <w:color w:val="000000"/>
          <w:sz w:val="21"/>
        </w:rPr>
        <w:t xml:space="preserve"> Users are increasingly unable to distinguish between </w:t>
      </w:r>
      <w:r>
        <w:rPr>
          <w:rFonts w:ascii="inter" w:hAnsi="inter" w:eastAsia="inter" w:cs="inter"/>
          <w:i/>
          <w:color w:val="000000"/>
          <w:sz w:val="21"/>
        </w:rPr>
        <w:t>simulated</w:t>
      </w:r>
      <w:r>
        <w:rPr>
          <w:rFonts w:ascii="inter" w:hAnsi="inter" w:eastAsia="inter" w:cs="inter"/>
          <w:color w:val="000000"/>
          <w:sz w:val="21"/>
        </w:rPr>
        <w:t xml:space="preserve"> empathy and </w:t>
      </w:r>
      <w:r>
        <w:rPr>
          <w:rFonts w:ascii="inter" w:hAnsi="inter" w:eastAsia="inter" w:cs="inter"/>
          <w:i/>
          <w:color w:val="000000"/>
          <w:sz w:val="21"/>
        </w:rPr>
        <w:t>agentic</w:t>
      </w:r>
      <w:r>
        <w:rPr>
          <w:rFonts w:ascii="inter" w:hAnsi="inter" w:eastAsia="inter" w:cs="inter"/>
          <w:color w:val="000000"/>
          <w:sz w:val="21"/>
        </w:rPr>
        <w:t xml:space="preserve"> care, creating a "trust trap" where emotional vulnerability is monetized without reciprocal moral obligation.</w:t>
      </w:r>
    </w:p>
    <w:p w14:paraId="63E9F00F">
      <w:pPr>
        <w:numPr>
          <w:ilvl w:val="0"/>
          <w:numId w:val="1"/>
        </w:numPr>
        <w:spacing w:after="210" w:line="360" w:lineRule="auto"/>
      </w:pPr>
      <w:r>
        <w:rPr>
          <w:rFonts w:ascii="inter" w:hAnsi="inter" w:eastAsia="inter" w:cs="inter"/>
          <w:b/>
          <w:color w:val="000000"/>
          <w:sz w:val="21"/>
        </w:rPr>
        <w:t>Relational Affordances of Embodied AI</w:t>
      </w:r>
      <w:r>
        <w:rPr>
          <w:rFonts w:ascii="inter" w:hAnsi="inter" w:eastAsia="inter" w:cs="inter"/>
          <w:color w:val="000000"/>
          <w:sz w:val="21"/>
        </w:rPr>
        <w:br w:type="textWrapping"/>
      </w:r>
      <w:r>
        <w:rPr>
          <w:rFonts w:ascii="inter" w:hAnsi="inter" w:eastAsia="inter" w:cs="inter"/>
          <w:color w:val="000000"/>
          <w:sz w:val="21"/>
        </w:rPr>
        <w:t>Embodied AI (social robots, avatars) utilizes "static" (appearance) and "behavioral" (gesture, voice tone) affordances to trigger caretaking instincts. Research indicates that aligning these affordances (e.g., a child-like voice with a small chassis) significantly increases user accountability and willingness to engage.</w:t>
      </w:r>
      <w:bookmarkStart w:id="4" w:name="fnref2"/>
      <w:bookmarkEnd w:id="4"/>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64A48298">
      <w:pPr>
        <w:spacing w:after="210" w:line="360" w:lineRule="auto"/>
        <w:ind w:left="540"/>
      </w:pPr>
      <w:r>
        <w:rPr>
          <w:rFonts w:ascii="inter" w:hAnsi="inter" w:eastAsia="inter" w:cs="inter"/>
          <w:b/>
          <w:color w:val="000000"/>
          <w:sz w:val="21"/>
        </w:rPr>
        <w:t>Figure 1: Comparative Analysis of Relational Affordances</w:t>
      </w:r>
    </w:p>
    <w:tbl>
      <w:tblPr>
        <w:tblStyle w:val="5"/>
        <w:tblW w:w="0" w:type="auto"/>
        <w:tblCellSpacing w:w="0" w:type="dxa"/>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47"/>
        <w:gridCol w:w="1879"/>
        <w:gridCol w:w="2398"/>
        <w:gridCol w:w="3516"/>
      </w:tblGrid>
      <w:tr w14:paraId="30FE73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trPr>
        <w:tc>
          <w:tcPr>
            <w:tcBorders>
              <w:top w:val="single" w:color="000000" w:sz="0" w:space="0"/>
              <w:bottom w:val="single" w:color="000000" w:sz="0" w:space="0"/>
              <w:right w:val="single" w:color="000000" w:sz="0" w:space="0"/>
            </w:tcBorders>
          </w:tcPr>
          <w:p w14:paraId="28BE7E7F">
            <w:pPr>
              <w:spacing w:after="0" w:line="360" w:lineRule="auto"/>
              <w:jc w:val="left"/>
            </w:pPr>
            <w:r>
              <w:rPr>
                <w:rFonts w:ascii="inter" w:hAnsi="inter" w:eastAsia="inter" w:cs="inter"/>
                <w:color w:val="000000"/>
                <w:sz w:val="17"/>
              </w:rPr>
              <w:t>Interface Modality</w:t>
            </w:r>
          </w:p>
        </w:tc>
        <w:tc>
          <w:tcPr>
            <w:tcBorders>
              <w:top w:val="single" w:color="000000" w:sz="0" w:space="0"/>
              <w:bottom w:val="single" w:color="000000" w:sz="0" w:space="0"/>
              <w:right w:val="single" w:color="000000" w:sz="0" w:space="0"/>
            </w:tcBorders>
          </w:tcPr>
          <w:p w14:paraId="7E056637">
            <w:pPr>
              <w:spacing w:after="0" w:line="360" w:lineRule="auto"/>
              <w:jc w:val="left"/>
            </w:pPr>
            <w:r>
              <w:rPr>
                <w:rFonts w:ascii="inter" w:hAnsi="inter" w:eastAsia="inter" w:cs="inter"/>
                <w:color w:val="000000"/>
                <w:sz w:val="17"/>
              </w:rPr>
              <w:t>Primary Relational Affordance</w:t>
            </w:r>
          </w:p>
        </w:tc>
        <w:tc>
          <w:tcPr>
            <w:tcBorders>
              <w:top w:val="single" w:color="000000" w:sz="0" w:space="0"/>
              <w:bottom w:val="single" w:color="000000" w:sz="0" w:space="0"/>
              <w:right w:val="single" w:color="000000" w:sz="0" w:space="0"/>
            </w:tcBorders>
          </w:tcPr>
          <w:p w14:paraId="59D13844">
            <w:pPr>
              <w:spacing w:after="0" w:line="360" w:lineRule="auto"/>
              <w:jc w:val="left"/>
            </w:pPr>
            <w:r>
              <w:rPr>
                <w:rFonts w:ascii="inter" w:hAnsi="inter" w:eastAsia="inter" w:cs="inter"/>
                <w:color w:val="000000"/>
                <w:sz w:val="17"/>
              </w:rPr>
              <w:t>Dominant Psychological Trigger</w:t>
            </w:r>
          </w:p>
        </w:tc>
        <w:tc>
          <w:tcPr>
            <w:tcBorders>
              <w:top w:val="single" w:color="000000" w:sz="0" w:space="0"/>
              <w:bottom w:val="single" w:color="000000" w:sz="0" w:space="0"/>
            </w:tcBorders>
          </w:tcPr>
          <w:p w14:paraId="5A634DA9">
            <w:pPr>
              <w:spacing w:after="0" w:line="360" w:lineRule="auto"/>
              <w:jc w:val="left"/>
            </w:pPr>
            <w:r>
              <w:rPr>
                <w:rFonts w:ascii="inter" w:hAnsi="inter" w:eastAsia="inter" w:cs="inter"/>
                <w:color w:val="000000"/>
                <w:sz w:val="17"/>
              </w:rPr>
              <w:t>Social Capital Impact</w:t>
            </w:r>
          </w:p>
        </w:tc>
      </w:tr>
      <w:tr w14:paraId="416EA1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trPr>
        <w:tc>
          <w:tcPr>
            <w:tcBorders>
              <w:top w:val="single" w:color="000000" w:sz="0" w:space="0"/>
              <w:bottom w:val="single" w:color="000000" w:sz="0" w:space="0"/>
              <w:right w:val="single" w:color="000000" w:sz="0" w:space="0"/>
            </w:tcBorders>
          </w:tcPr>
          <w:p w14:paraId="0C76029A">
            <w:pPr>
              <w:spacing w:after="0" w:line="360" w:lineRule="auto"/>
              <w:jc w:val="left"/>
            </w:pPr>
            <w:r>
              <w:rPr>
                <w:rFonts w:ascii="inter" w:hAnsi="inter" w:eastAsia="inter" w:cs="inter"/>
                <w:b/>
                <w:color w:val="000000"/>
                <w:sz w:val="17"/>
              </w:rPr>
              <w:t>Text-Based LLM</w:t>
            </w:r>
            <w:r>
              <w:rPr>
                <w:rFonts w:ascii="inter" w:hAnsi="inter" w:eastAsia="inter" w:cs="inter"/>
                <w:color w:val="000000"/>
                <w:sz w:val="17"/>
              </w:rPr>
              <w:t xml:space="preserve"> (e.g., ChatGPT)</w:t>
            </w:r>
          </w:p>
        </w:tc>
        <w:tc>
          <w:tcPr>
            <w:tcBorders>
              <w:top w:val="single" w:color="000000" w:sz="0" w:space="0"/>
              <w:bottom w:val="single" w:color="000000" w:sz="0" w:space="0"/>
              <w:right w:val="single" w:color="000000" w:sz="0" w:space="0"/>
            </w:tcBorders>
          </w:tcPr>
          <w:p w14:paraId="7489A9A0">
            <w:pPr>
              <w:spacing w:after="0" w:line="360" w:lineRule="auto"/>
              <w:jc w:val="left"/>
            </w:pPr>
            <w:r>
              <w:rPr>
                <w:rFonts w:ascii="inter" w:hAnsi="inter" w:eastAsia="inter" w:cs="inter"/>
                <w:color w:val="000000"/>
                <w:sz w:val="17"/>
              </w:rPr>
              <w:t>Cognitive Mirroring</w:t>
            </w:r>
          </w:p>
        </w:tc>
        <w:tc>
          <w:tcPr>
            <w:tcBorders>
              <w:top w:val="single" w:color="000000" w:sz="0" w:space="0"/>
              <w:bottom w:val="single" w:color="000000" w:sz="0" w:space="0"/>
              <w:right w:val="single" w:color="000000" w:sz="0" w:space="0"/>
            </w:tcBorders>
          </w:tcPr>
          <w:p w14:paraId="0D0B1451">
            <w:pPr>
              <w:spacing w:after="0" w:line="360" w:lineRule="auto"/>
              <w:jc w:val="left"/>
            </w:pPr>
            <w:r>
              <w:rPr>
                <w:rFonts w:ascii="inter" w:hAnsi="inter" w:eastAsia="inter" w:cs="inter"/>
                <w:color w:val="000000"/>
                <w:sz w:val="17"/>
              </w:rPr>
              <w:t>Intellectual Validation</w:t>
            </w:r>
          </w:p>
        </w:tc>
        <w:tc>
          <w:tcPr>
            <w:tcBorders>
              <w:top w:val="single" w:color="000000" w:sz="0" w:space="0"/>
              <w:bottom w:val="single" w:color="000000" w:sz="0" w:space="0"/>
            </w:tcBorders>
          </w:tcPr>
          <w:p w14:paraId="70660B19">
            <w:pPr>
              <w:spacing w:after="0" w:line="360" w:lineRule="auto"/>
              <w:jc w:val="left"/>
            </w:pPr>
            <w:r>
              <w:rPr>
                <w:rFonts w:ascii="inter" w:hAnsi="inter" w:eastAsia="inter" w:cs="inter"/>
                <w:b/>
                <w:color w:val="000000"/>
                <w:sz w:val="17"/>
              </w:rPr>
              <w:t>Neutral/Variable:</w:t>
            </w:r>
            <w:r>
              <w:rPr>
                <w:rFonts w:ascii="inter" w:hAnsi="inter" w:eastAsia="inter" w:cs="inter"/>
                <w:color w:val="000000"/>
                <w:sz w:val="17"/>
              </w:rPr>
              <w:t xml:space="preserve"> Enhances information exchange but risks echo-chamber formation.</w:t>
            </w:r>
          </w:p>
        </w:tc>
      </w:tr>
      <w:tr w14:paraId="69C92F1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trPr>
        <w:tc>
          <w:tcPr>
            <w:tcBorders>
              <w:top w:val="single" w:color="000000" w:sz="0" w:space="0"/>
              <w:bottom w:val="single" w:color="000000" w:sz="0" w:space="0"/>
              <w:right w:val="single" w:color="000000" w:sz="0" w:space="0"/>
            </w:tcBorders>
          </w:tcPr>
          <w:p w14:paraId="561107C2">
            <w:pPr>
              <w:spacing w:after="0" w:line="360" w:lineRule="auto"/>
              <w:jc w:val="left"/>
            </w:pPr>
            <w:r>
              <w:rPr>
                <w:rFonts w:ascii="inter" w:hAnsi="inter" w:eastAsia="inter" w:cs="inter"/>
                <w:b/>
                <w:color w:val="000000"/>
                <w:sz w:val="17"/>
              </w:rPr>
              <w:t>Social Companion</w:t>
            </w:r>
            <w:r>
              <w:rPr>
                <w:rFonts w:ascii="inter" w:hAnsi="inter" w:eastAsia="inter" w:cs="inter"/>
                <w:color w:val="000000"/>
                <w:sz w:val="17"/>
              </w:rPr>
              <w:t xml:space="preserve"> (e.g., Replika)</w:t>
            </w:r>
          </w:p>
        </w:tc>
        <w:tc>
          <w:tcPr>
            <w:tcBorders>
              <w:top w:val="single" w:color="000000" w:sz="0" w:space="0"/>
              <w:bottom w:val="single" w:color="000000" w:sz="0" w:space="0"/>
              <w:right w:val="single" w:color="000000" w:sz="0" w:space="0"/>
            </w:tcBorders>
          </w:tcPr>
          <w:p w14:paraId="1DE32096">
            <w:pPr>
              <w:spacing w:after="0" w:line="360" w:lineRule="auto"/>
              <w:jc w:val="left"/>
            </w:pPr>
            <w:r>
              <w:rPr>
                <w:rFonts w:ascii="inter" w:hAnsi="inter" w:eastAsia="inter" w:cs="inter"/>
                <w:color w:val="000000"/>
                <w:sz w:val="17"/>
              </w:rPr>
              <w:t>Emotional Simulation</w:t>
            </w:r>
          </w:p>
        </w:tc>
        <w:tc>
          <w:tcPr>
            <w:tcBorders>
              <w:top w:val="single" w:color="000000" w:sz="0" w:space="0"/>
              <w:bottom w:val="single" w:color="000000" w:sz="0" w:space="0"/>
              <w:right w:val="single" w:color="000000" w:sz="0" w:space="0"/>
            </w:tcBorders>
          </w:tcPr>
          <w:p w14:paraId="271FB669">
            <w:pPr>
              <w:spacing w:after="0" w:line="360" w:lineRule="auto"/>
              <w:jc w:val="left"/>
            </w:pPr>
            <w:r>
              <w:rPr>
                <w:rFonts w:ascii="inter" w:hAnsi="inter" w:eastAsia="inter" w:cs="inter"/>
                <w:color w:val="000000"/>
                <w:sz w:val="17"/>
              </w:rPr>
              <w:t>Parasocial Attachment</w:t>
            </w:r>
          </w:p>
        </w:tc>
        <w:tc>
          <w:tcPr>
            <w:tcBorders>
              <w:top w:val="single" w:color="000000" w:sz="0" w:space="0"/>
              <w:bottom w:val="single" w:color="000000" w:sz="0" w:space="0"/>
            </w:tcBorders>
          </w:tcPr>
          <w:p w14:paraId="5F7430EE">
            <w:pPr>
              <w:spacing w:after="0" w:line="360" w:lineRule="auto"/>
              <w:jc w:val="left"/>
            </w:pPr>
            <w:r>
              <w:rPr>
                <w:rFonts w:ascii="inter" w:hAnsi="inter" w:eastAsia="inter" w:cs="inter"/>
                <w:b/>
                <w:color w:val="000000"/>
                <w:sz w:val="17"/>
              </w:rPr>
              <w:t>Substitution Risk:</w:t>
            </w:r>
            <w:r>
              <w:rPr>
                <w:rFonts w:ascii="inter" w:hAnsi="inter" w:eastAsia="inter" w:cs="inter"/>
                <w:color w:val="000000"/>
                <w:sz w:val="17"/>
              </w:rPr>
              <w:t xml:space="preserve"> May displace weak-tie human interactions; high risk of dependency.</w:t>
            </w:r>
          </w:p>
        </w:tc>
      </w:tr>
      <w:tr w14:paraId="55E673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trPr>
        <w:tc>
          <w:tcPr>
            <w:tcBorders>
              <w:top w:val="single" w:color="000000" w:sz="0" w:space="0"/>
              <w:bottom w:val="single" w:color="000000" w:sz="0" w:space="0"/>
              <w:right w:val="single" w:color="000000" w:sz="0" w:space="0"/>
            </w:tcBorders>
          </w:tcPr>
          <w:p w14:paraId="08D4F4FE">
            <w:pPr>
              <w:spacing w:after="0" w:line="360" w:lineRule="auto"/>
              <w:jc w:val="left"/>
            </w:pPr>
            <w:r>
              <w:rPr>
                <w:rFonts w:ascii="inter" w:hAnsi="inter" w:eastAsia="inter" w:cs="inter"/>
                <w:b/>
                <w:color w:val="000000"/>
                <w:sz w:val="17"/>
              </w:rPr>
              <w:t>Embodied Social Robot</w:t>
            </w:r>
            <w:r>
              <w:rPr>
                <w:rFonts w:ascii="inter" w:hAnsi="inter" w:eastAsia="inter" w:cs="inter"/>
                <w:color w:val="000000"/>
                <w:sz w:val="17"/>
              </w:rPr>
              <w:t xml:space="preserve"> (e.g., Furhat)</w:t>
            </w:r>
          </w:p>
        </w:tc>
        <w:tc>
          <w:tcPr>
            <w:tcBorders>
              <w:top w:val="single" w:color="000000" w:sz="0" w:space="0"/>
              <w:bottom w:val="single" w:color="000000" w:sz="0" w:space="0"/>
              <w:right w:val="single" w:color="000000" w:sz="0" w:space="0"/>
            </w:tcBorders>
          </w:tcPr>
          <w:p w14:paraId="7649539E">
            <w:pPr>
              <w:spacing w:after="0" w:line="360" w:lineRule="auto"/>
              <w:jc w:val="left"/>
            </w:pPr>
            <w:r>
              <w:rPr>
                <w:rFonts w:ascii="inter" w:hAnsi="inter" w:eastAsia="inter" w:cs="inter"/>
                <w:color w:val="000000"/>
                <w:sz w:val="17"/>
              </w:rPr>
              <w:t>Physical Presence &amp; Gaze</w:t>
            </w:r>
          </w:p>
        </w:tc>
        <w:tc>
          <w:tcPr>
            <w:tcBorders>
              <w:top w:val="single" w:color="000000" w:sz="0" w:space="0"/>
              <w:bottom w:val="single" w:color="000000" w:sz="0" w:space="0"/>
              <w:right w:val="single" w:color="000000" w:sz="0" w:space="0"/>
            </w:tcBorders>
          </w:tcPr>
          <w:p w14:paraId="0EEAC6DD">
            <w:pPr>
              <w:spacing w:after="0" w:line="360" w:lineRule="auto"/>
              <w:jc w:val="left"/>
            </w:pPr>
            <w:r>
              <w:rPr>
                <w:rFonts w:ascii="inter" w:hAnsi="inter" w:eastAsia="inter" w:cs="inter"/>
                <w:color w:val="000000"/>
                <w:sz w:val="17"/>
              </w:rPr>
              <w:t>Caretaking/Empathy</w:t>
            </w:r>
          </w:p>
        </w:tc>
        <w:tc>
          <w:tcPr>
            <w:tcBorders>
              <w:top w:val="single" w:color="000000" w:sz="0" w:space="0"/>
              <w:bottom w:val="single" w:color="000000" w:sz="0" w:space="0"/>
            </w:tcBorders>
          </w:tcPr>
          <w:p w14:paraId="72DB0E03">
            <w:pPr>
              <w:spacing w:after="0" w:line="360" w:lineRule="auto"/>
              <w:jc w:val="left"/>
            </w:pPr>
            <w:r>
              <w:rPr>
                <w:rFonts w:ascii="inter" w:hAnsi="inter" w:eastAsia="inter" w:cs="inter"/>
                <w:b/>
                <w:color w:val="000000"/>
                <w:sz w:val="17"/>
              </w:rPr>
              <w:t>Amplification Potential:</w:t>
            </w:r>
            <w:r>
              <w:rPr>
                <w:rFonts w:ascii="inter" w:hAnsi="inter" w:eastAsia="inter" w:cs="inter"/>
                <w:color w:val="000000"/>
                <w:sz w:val="17"/>
              </w:rPr>
              <w:t xml:space="preserve"> Can facilitate group dynamics in elderly/clinical care settings.</w:t>
            </w:r>
          </w:p>
        </w:tc>
      </w:tr>
      <w:tr w14:paraId="450E7D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trPr>
        <w:tc>
          <w:tcPr>
            <w:tcBorders>
              <w:top w:val="single" w:color="000000" w:sz="0" w:space="0"/>
              <w:bottom w:val="single" w:color="000000" w:sz="0" w:space="0"/>
              <w:right w:val="single" w:color="000000" w:sz="0" w:space="0"/>
            </w:tcBorders>
          </w:tcPr>
          <w:p w14:paraId="42DB921E">
            <w:pPr>
              <w:spacing w:after="0" w:line="360" w:lineRule="auto"/>
              <w:jc w:val="left"/>
            </w:pPr>
            <w:r>
              <w:rPr>
                <w:rFonts w:ascii="inter" w:hAnsi="inter" w:eastAsia="inter" w:cs="inter"/>
                <w:b/>
                <w:color w:val="000000"/>
                <w:sz w:val="17"/>
              </w:rPr>
              <w:t>Algorithmic Mediator</w:t>
            </w:r>
            <w:r>
              <w:rPr>
                <w:rFonts w:ascii="inter" w:hAnsi="inter" w:eastAsia="inter" w:cs="inter"/>
                <w:color w:val="000000"/>
                <w:sz w:val="17"/>
              </w:rPr>
              <w:t xml:space="preserve"> (e.g., Smart Reply)</w:t>
            </w:r>
          </w:p>
        </w:tc>
        <w:tc>
          <w:tcPr>
            <w:tcBorders>
              <w:top w:val="single" w:color="000000" w:sz="0" w:space="0"/>
              <w:bottom w:val="single" w:color="000000" w:sz="0" w:space="0"/>
              <w:right w:val="single" w:color="000000" w:sz="0" w:space="0"/>
            </w:tcBorders>
          </w:tcPr>
          <w:p w14:paraId="0497D778">
            <w:pPr>
              <w:spacing w:after="0" w:line="360" w:lineRule="auto"/>
              <w:jc w:val="left"/>
            </w:pPr>
            <w:r>
              <w:rPr>
                <w:rFonts w:ascii="inter" w:hAnsi="inter" w:eastAsia="inter" w:cs="inter"/>
                <w:color w:val="000000"/>
                <w:sz w:val="17"/>
              </w:rPr>
              <w:t>Efficiency Optimization</w:t>
            </w:r>
          </w:p>
        </w:tc>
        <w:tc>
          <w:tcPr>
            <w:tcBorders>
              <w:top w:val="single" w:color="000000" w:sz="0" w:space="0"/>
              <w:bottom w:val="single" w:color="000000" w:sz="0" w:space="0"/>
              <w:right w:val="single" w:color="000000" w:sz="0" w:space="0"/>
            </w:tcBorders>
          </w:tcPr>
          <w:p w14:paraId="1D5AF8F6">
            <w:pPr>
              <w:spacing w:after="0" w:line="360" w:lineRule="auto"/>
              <w:jc w:val="left"/>
            </w:pPr>
            <w:r>
              <w:rPr>
                <w:rFonts w:ascii="inter" w:hAnsi="inter" w:eastAsia="inter" w:cs="inter"/>
                <w:color w:val="000000"/>
                <w:sz w:val="17"/>
              </w:rPr>
              <w:t>Transactional Utility</w:t>
            </w:r>
          </w:p>
        </w:tc>
        <w:tc>
          <w:tcPr>
            <w:tcBorders>
              <w:top w:val="single" w:color="000000" w:sz="0" w:space="0"/>
              <w:bottom w:val="single" w:color="000000" w:sz="0" w:space="0"/>
            </w:tcBorders>
          </w:tcPr>
          <w:p w14:paraId="3656FA95">
            <w:pPr>
              <w:spacing w:after="0" w:line="360" w:lineRule="auto"/>
              <w:jc w:val="left"/>
            </w:pPr>
            <w:r>
              <w:rPr>
                <w:rFonts w:ascii="inter" w:hAnsi="inter" w:eastAsia="inter" w:cs="inter"/>
                <w:b/>
                <w:color w:val="000000"/>
                <w:sz w:val="17"/>
              </w:rPr>
              <w:t>Depletion Risk:</w:t>
            </w:r>
            <w:r>
              <w:rPr>
                <w:rFonts w:ascii="inter" w:hAnsi="inter" w:eastAsia="inter" w:cs="inter"/>
                <w:color w:val="000000"/>
                <w:sz w:val="17"/>
              </w:rPr>
              <w:t xml:space="preserve"> Reduces "friction" necessary for nuanced emotional signaling.</w:t>
            </w:r>
          </w:p>
        </w:tc>
      </w:tr>
    </w:tbl>
    <w:p w14:paraId="0BEF3127"/>
    <w:p w14:paraId="698EE819">
      <w:pPr>
        <w:spacing w:after="210" w:line="360" w:lineRule="auto"/>
        <w:ind w:left="540"/>
      </w:pPr>
      <w:r>
        <w:rPr>
          <w:rFonts w:ascii="inter" w:hAnsi="inter" w:eastAsia="inter" w:cs="inter"/>
          <w:i/>
          <w:color w:val="000000"/>
          <w:sz w:val="21"/>
        </w:rPr>
        <w:t>Source: Synthesized from analysis of Stanford HAI (2024) and Frontiers in Robotics &amp; AI (2024).</w:t>
      </w:r>
      <w:bookmarkStart w:id="5" w:name="fnref3"/>
      <w:bookmarkEnd w:id="5"/>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6" w:name="fnref2_1"/>
      <w:bookmarkEnd w:id="6"/>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120DEAC6">
      <w:pPr>
        <w:spacing w:before="315" w:after="105" w:line="360" w:lineRule="auto"/>
        <w:ind w:left="-30"/>
        <w:jc w:val="left"/>
      </w:pPr>
      <w:bookmarkStart w:id="7" w:name="b_procedural_dialectic_anthropomorphism"/>
      <w:r>
        <w:rPr>
          <w:rFonts w:ascii="inter" w:hAnsi="inter" w:eastAsia="inter" w:cs="inter"/>
          <w:b/>
          <w:color w:val="000000"/>
          <w:sz w:val="24"/>
        </w:rPr>
        <w:t>B. Procedural Dialectic: Anthropomorphism</w:t>
      </w:r>
      <w:bookmarkEnd w:id="7"/>
    </w:p>
    <w:p w14:paraId="3B435197">
      <w:pPr>
        <w:numPr>
          <w:ilvl w:val="0"/>
          <w:numId w:val="2"/>
        </w:numPr>
        <w:spacing w:after="210" w:line="360" w:lineRule="auto"/>
      </w:pPr>
      <w:r>
        <w:rPr>
          <w:rFonts w:ascii="inter" w:hAnsi="inter" w:eastAsia="inter" w:cs="inter"/>
          <w:b/>
          <w:color w:val="000000"/>
          <w:sz w:val="21"/>
        </w:rPr>
        <w:t>Potential Benefits:</w:t>
      </w:r>
    </w:p>
    <w:p w14:paraId="2ED5D6B5">
      <w:pPr>
        <w:numPr>
          <w:ilvl w:val="1"/>
          <w:numId w:val="2"/>
        </w:numPr>
        <w:spacing w:before="105" w:after="105" w:line="360" w:lineRule="auto"/>
      </w:pPr>
      <w:r>
        <w:rPr>
          <w:rFonts w:ascii="inter" w:hAnsi="inter" w:eastAsia="inter" w:cs="inter"/>
          <w:color w:val="000000"/>
          <w:sz w:val="21"/>
        </w:rPr>
        <w:t>High-fidelity simulation allows for accessible mental health triage and combating the "loneliness epidemic" in isolated demographics (e.g., elderly populations).</w:t>
      </w:r>
    </w:p>
    <w:p w14:paraId="6F9B1064">
      <w:pPr>
        <w:numPr>
          <w:ilvl w:val="1"/>
          <w:numId w:val="2"/>
        </w:numPr>
        <w:spacing w:before="105" w:after="105" w:line="360" w:lineRule="auto"/>
      </w:pPr>
      <w:r>
        <w:rPr>
          <w:rFonts w:ascii="inter" w:hAnsi="inter" w:eastAsia="inter" w:cs="inter"/>
          <w:color w:val="000000"/>
          <w:sz w:val="21"/>
        </w:rPr>
        <w:t>Low-stakes environments for neurodivergent individuals to practice social signaling.</w:t>
      </w:r>
    </w:p>
    <w:p w14:paraId="79AD414D">
      <w:pPr>
        <w:numPr>
          <w:ilvl w:val="0"/>
          <w:numId w:val="2"/>
        </w:numPr>
        <w:spacing w:after="210" w:line="360" w:lineRule="auto"/>
      </w:pPr>
      <w:r>
        <w:rPr>
          <w:rFonts w:ascii="inter" w:hAnsi="inter" w:eastAsia="inter" w:cs="inter"/>
          <w:b/>
          <w:color w:val="000000"/>
          <w:sz w:val="21"/>
        </w:rPr>
        <w:t>Potential Limitations and Implementation Challenges:</w:t>
      </w:r>
    </w:p>
    <w:p w14:paraId="26407C40">
      <w:pPr>
        <w:numPr>
          <w:ilvl w:val="1"/>
          <w:numId w:val="2"/>
        </w:numPr>
        <w:spacing w:before="105" w:after="105" w:line="360" w:lineRule="auto"/>
      </w:pPr>
      <w:r>
        <w:rPr>
          <w:rFonts w:ascii="inter" w:hAnsi="inter" w:eastAsia="inter" w:cs="inter"/>
          <w:b/>
          <w:color w:val="000000"/>
          <w:sz w:val="21"/>
        </w:rPr>
        <w:t>The Uncanny Valley of Trust:</w:t>
      </w:r>
      <w:r>
        <w:rPr>
          <w:rFonts w:ascii="inter" w:hAnsi="inter" w:eastAsia="inter" w:cs="inter"/>
          <w:color w:val="000000"/>
          <w:sz w:val="21"/>
        </w:rPr>
        <w:t xml:space="preserve"> Excessive anthropomorphism without true agency can lead to severe "betrayal effects" when the system fails or hallucinates.</w:t>
      </w:r>
    </w:p>
    <w:p w14:paraId="18F5FA98">
      <w:pPr>
        <w:numPr>
          <w:ilvl w:val="1"/>
          <w:numId w:val="2"/>
        </w:numPr>
        <w:spacing w:before="105" w:after="105" w:line="360" w:lineRule="auto"/>
      </w:pPr>
      <w:r>
        <w:rPr>
          <w:rFonts w:ascii="inter" w:hAnsi="inter" w:eastAsia="inter" w:cs="inter"/>
          <w:b/>
          <w:color w:val="000000"/>
          <w:sz w:val="21"/>
        </w:rPr>
        <w:t>Ethical Deception:</w:t>
      </w:r>
      <w:r>
        <w:rPr>
          <w:rFonts w:ascii="inter" w:hAnsi="inter" w:eastAsia="inter" w:cs="inter"/>
          <w:color w:val="000000"/>
          <w:sz w:val="21"/>
        </w:rPr>
        <w:t xml:space="preserve"> Vulnerable users may unknowingly attribute consciousness to software, complicating consent in data harvesting.</w:t>
      </w:r>
    </w:p>
    <w:p w14:paraId="54756084">
      <w:pPr>
        <w:numPr>
          <w:ilvl w:val="0"/>
          <w:numId w:val="2"/>
        </w:numPr>
        <w:spacing w:after="210" w:line="360" w:lineRule="auto"/>
      </w:pPr>
      <w:r>
        <w:rPr>
          <w:rFonts w:ascii="inter" w:hAnsi="inter" w:eastAsia="inter" w:cs="inter"/>
          <w:b/>
          <w:color w:val="000000"/>
          <w:sz w:val="21"/>
        </w:rPr>
        <w:t>Contextual Applicability Constraints:</w:t>
      </w:r>
    </w:p>
    <w:p w14:paraId="13D914DC">
      <w:pPr>
        <w:numPr>
          <w:ilvl w:val="1"/>
          <w:numId w:val="2"/>
        </w:numPr>
        <w:spacing w:before="105" w:after="105" w:line="360" w:lineRule="auto"/>
      </w:pPr>
      <w:r>
        <w:rPr>
          <w:rFonts w:ascii="inter" w:hAnsi="inter" w:eastAsia="inter" w:cs="inter"/>
          <w:color w:val="000000"/>
          <w:sz w:val="21"/>
        </w:rPr>
        <w:t>High applicability in clinical and therapeutic settings; strictly limited applicability in legal, governance, or high-stakes decision-making interfaces.</w:t>
      </w:r>
    </w:p>
    <w:p w14:paraId="73E7C936">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49ACB8D2">
      <w:pPr>
        <w:spacing w:before="315" w:after="105" w:line="360" w:lineRule="auto"/>
        <w:ind w:left="-30"/>
        <w:jc w:val="left"/>
      </w:pPr>
      <w:bookmarkStart w:id="8" w:name="ii_transforming_relational_modali_7f5e48"/>
      <w:r>
        <w:rPr>
          <w:rFonts w:ascii="inter" w:hAnsi="inter" w:eastAsia="inter" w:cs="inter"/>
          <w:b/>
          <w:color w:val="000000"/>
          <w:sz w:val="24"/>
        </w:rPr>
        <w:t>II. Transforming Relational Modalities: Shifts in Human-Human Dynamics</w:t>
      </w:r>
      <w:bookmarkEnd w:id="8"/>
    </w:p>
    <w:p w14:paraId="75F6D02D">
      <w:pPr>
        <w:spacing w:after="210" w:line="360" w:lineRule="auto"/>
      </w:pPr>
      <w:r>
        <w:rPr>
          <w:rFonts w:ascii="inter" w:hAnsi="inter" w:eastAsia="inter" w:cs="inter"/>
          <w:color w:val="000000"/>
        </w:rPr>
        <w:t>AI does not need to be a direct participant to alter relationships; it often acts as an invisible intermediary, rewriting the codes of human connection.</w:t>
      </w:r>
    </w:p>
    <w:p w14:paraId="7844DBB6">
      <w:pPr>
        <w:spacing w:before="315" w:after="105" w:line="360" w:lineRule="auto"/>
        <w:ind w:left="-30"/>
        <w:jc w:val="left"/>
      </w:pPr>
      <w:bookmarkStart w:id="9" w:name="a_the_authenticity_paradox_in_ai_bde5d2"/>
      <w:r>
        <w:rPr>
          <w:rFonts w:ascii="inter" w:hAnsi="inter" w:eastAsia="inter" w:cs="inter"/>
          <w:b/>
          <w:color w:val="000000"/>
          <w:sz w:val="24"/>
        </w:rPr>
        <w:t>A. The Authenticity Paradox in AI-Augmented Communication</w:t>
      </w:r>
      <w:bookmarkEnd w:id="9"/>
    </w:p>
    <w:p w14:paraId="7AD72DA0">
      <w:pPr>
        <w:spacing w:after="210" w:line="360" w:lineRule="auto"/>
      </w:pPr>
      <w:r>
        <w:rPr>
          <w:rFonts w:ascii="inter" w:hAnsi="inter" w:eastAsia="inter" w:cs="inter"/>
          <w:color w:val="000000"/>
        </w:rPr>
        <w:t xml:space="preserve">Generative AI tools (e.g., "Smart Replies," tone-rewriting assistants) are reshaping communicative norms. Research published in </w:t>
      </w:r>
      <w:r>
        <w:rPr>
          <w:rFonts w:ascii="inter" w:hAnsi="inter" w:eastAsia="inter" w:cs="inter"/>
          <w:i/>
          <w:color w:val="000000"/>
        </w:rPr>
        <w:t>Nature</w:t>
      </w:r>
      <w:r>
        <w:rPr>
          <w:rFonts w:ascii="inter" w:hAnsi="inter" w:eastAsia="inter" w:cs="inter"/>
          <w:color w:val="000000"/>
        </w:rPr>
        <w:t xml:space="preserve"> (2023) indicates that while AI-suggested responses increase communication speed and use more positive emotional language, they result in the user being perceived as "less cooperative" and "less affiliative" when the recipient is aware of the AI's involvement.</w:t>
      </w:r>
      <w:bookmarkStart w:id="10" w:name="fnref4"/>
      <w:bookmarkEnd w:id="1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1293C9F">
      <w:pPr>
        <w:numPr>
          <w:ilvl w:val="0"/>
          <w:numId w:val="3"/>
        </w:numPr>
        <w:spacing w:after="210" w:line="360" w:lineRule="auto"/>
      </w:pPr>
      <w:r>
        <w:rPr>
          <w:rFonts w:ascii="inter" w:hAnsi="inter" w:eastAsia="inter" w:cs="inter"/>
          <w:b/>
          <w:color w:val="000000"/>
          <w:sz w:val="21"/>
        </w:rPr>
        <w:t>Optimization vs. Connection</w:t>
      </w:r>
      <w:r>
        <w:rPr>
          <w:rFonts w:ascii="inter" w:hAnsi="inter" w:eastAsia="inter" w:cs="inter"/>
          <w:color w:val="000000"/>
          <w:sz w:val="21"/>
        </w:rPr>
        <w:br w:type="textWrapping"/>
      </w:r>
      <w:r>
        <w:rPr>
          <w:rFonts w:ascii="inter" w:hAnsi="inter" w:eastAsia="inter" w:cs="inter"/>
          <w:color w:val="000000"/>
          <w:sz w:val="21"/>
        </w:rPr>
        <w:t xml:space="preserve">We are witnessing a shift from </w:t>
      </w:r>
      <w:r>
        <w:rPr>
          <w:rFonts w:ascii="inter" w:hAnsi="inter" w:eastAsia="inter" w:cs="inter"/>
          <w:i/>
          <w:color w:val="000000"/>
          <w:sz w:val="21"/>
        </w:rPr>
        <w:t>relational</w:t>
      </w:r>
      <w:r>
        <w:rPr>
          <w:rFonts w:ascii="inter" w:hAnsi="inter" w:eastAsia="inter" w:cs="inter"/>
          <w:color w:val="000000"/>
          <w:sz w:val="21"/>
        </w:rPr>
        <w:t xml:space="preserve"> communication (focused on bonding) to </w:t>
      </w:r>
      <w:r>
        <w:rPr>
          <w:rFonts w:ascii="inter" w:hAnsi="inter" w:eastAsia="inter" w:cs="inter"/>
          <w:i/>
          <w:color w:val="000000"/>
          <w:sz w:val="21"/>
        </w:rPr>
        <w:t>transactional</w:t>
      </w:r>
      <w:r>
        <w:rPr>
          <w:rFonts w:ascii="inter" w:hAnsi="inter" w:eastAsia="inter" w:cs="inter"/>
          <w:color w:val="000000"/>
          <w:sz w:val="21"/>
        </w:rPr>
        <w:t xml:space="preserve"> communication (focused on efficiency). When an algorithm smoothes out the "friction" of composing a text, it also removes the cognitive effort that signals emotional investment.</w:t>
      </w:r>
    </w:p>
    <w:p w14:paraId="1B060C3D">
      <w:pPr>
        <w:numPr>
          <w:ilvl w:val="0"/>
          <w:numId w:val="3"/>
        </w:numPr>
        <w:spacing w:after="210" w:line="360" w:lineRule="auto"/>
      </w:pPr>
      <w:r>
        <w:rPr>
          <w:rFonts w:ascii="inter" w:hAnsi="inter" w:eastAsia="inter" w:cs="inter"/>
          <w:b/>
          <w:color w:val="000000"/>
          <w:sz w:val="21"/>
        </w:rPr>
        <w:t>Visualizing the Shift in Communicative Value</w:t>
      </w:r>
    </w:p>
    <w:p w14:paraId="7D95371D">
      <w:pPr>
        <w:spacing w:after="210" w:line="360" w:lineRule="auto"/>
        <w:ind w:left="540"/>
      </w:pPr>
      <w:r>
        <w:rPr>
          <w:rFonts w:ascii="inter" w:hAnsi="inter" w:eastAsia="inter" w:cs="inter"/>
          <w:i/>
          <w:color w:val="000000"/>
          <w:sz w:val="21"/>
        </w:rPr>
        <w:t>[Chart 1: The "Effort-Authenticity" Inverse Correlation]</w:t>
      </w:r>
    </w:p>
    <w:p w14:paraId="5D434A5A">
      <w:pPr>
        <w:spacing w:after="210" w:line="360" w:lineRule="auto"/>
        <w:ind w:left="1170"/>
      </w:pPr>
      <w:r>
        <w:rPr>
          <w:rFonts w:ascii="inter" w:hAnsi="inter" w:eastAsia="inter" w:cs="inter"/>
          <w:b/>
          <w:color w:val="000000"/>
          <w:sz w:val="21"/>
        </w:rPr>
        <w:t>Description:</w:t>
      </w:r>
      <w:r>
        <w:rPr>
          <w:rFonts w:ascii="inter" w:hAnsi="inter" w:eastAsia="inter" w:cs="inter"/>
          <w:color w:val="000000"/>
          <w:sz w:val="21"/>
        </w:rPr>
        <w:t xml:space="preserve"> A conceptual line graph.</w:t>
      </w:r>
    </w:p>
    <w:p w14:paraId="6D86E1A0">
      <w:pPr>
        <w:spacing w:before="315" w:after="105" w:line="360" w:lineRule="auto"/>
        <w:ind w:left="-30"/>
        <w:jc w:val="left"/>
      </w:pPr>
      <w:bookmarkStart w:id="11" w:name="b_procedural_dialectic_algorithmi_5d1e0b"/>
      <w:r>
        <w:rPr>
          <w:rFonts w:ascii="inter" w:hAnsi="inter" w:eastAsia="inter" w:cs="inter"/>
          <w:b/>
          <w:color w:val="000000"/>
          <w:sz w:val="24"/>
        </w:rPr>
        <w:t>B. Procedural Dialectic: Algorithmic Mediation</w:t>
      </w:r>
      <w:bookmarkEnd w:id="11"/>
    </w:p>
    <w:p w14:paraId="6F21A40C">
      <w:pPr>
        <w:numPr>
          <w:ilvl w:val="0"/>
          <w:numId w:val="4"/>
        </w:numPr>
        <w:spacing w:after="210" w:line="360" w:lineRule="auto"/>
      </w:pPr>
      <w:r>
        <w:rPr>
          <w:rFonts w:ascii="inter" w:hAnsi="inter" w:eastAsia="inter" w:cs="inter"/>
          <w:b/>
          <w:color w:val="000000"/>
          <w:sz w:val="21"/>
        </w:rPr>
        <w:t>Potential Benefits:</w:t>
      </w:r>
    </w:p>
    <w:p w14:paraId="302868E4">
      <w:pPr>
        <w:numPr>
          <w:ilvl w:val="1"/>
          <w:numId w:val="4"/>
        </w:numPr>
        <w:spacing w:before="105" w:after="105" w:line="360" w:lineRule="auto"/>
      </w:pPr>
      <w:r>
        <w:rPr>
          <w:rFonts w:ascii="inter" w:hAnsi="inter" w:eastAsia="inter" w:cs="inter"/>
          <w:color w:val="000000"/>
          <w:sz w:val="21"/>
        </w:rPr>
        <w:t>Reduces cognitive load for non-native speakers or individuals with social anxiety.</w:t>
      </w:r>
    </w:p>
    <w:p w14:paraId="2A3B3004">
      <w:pPr>
        <w:numPr>
          <w:ilvl w:val="1"/>
          <w:numId w:val="4"/>
        </w:numPr>
        <w:spacing w:before="105" w:after="105" w:line="360" w:lineRule="auto"/>
      </w:pPr>
      <w:r>
        <w:rPr>
          <w:rFonts w:ascii="inter" w:hAnsi="inter" w:eastAsia="inter" w:cs="inter"/>
          <w:color w:val="000000"/>
          <w:sz w:val="21"/>
        </w:rPr>
        <w:t>Standardizes professional communication, reducing ambiguity in corporate environments.</w:t>
      </w:r>
    </w:p>
    <w:p w14:paraId="5E695A1A">
      <w:pPr>
        <w:numPr>
          <w:ilvl w:val="0"/>
          <w:numId w:val="4"/>
        </w:numPr>
        <w:spacing w:after="210" w:line="360" w:lineRule="auto"/>
      </w:pPr>
      <w:r>
        <w:rPr>
          <w:rFonts w:ascii="inter" w:hAnsi="inter" w:eastAsia="inter" w:cs="inter"/>
          <w:b/>
          <w:color w:val="000000"/>
          <w:sz w:val="21"/>
        </w:rPr>
        <w:t>Potential Limitations and Implementation Challenges:</w:t>
      </w:r>
    </w:p>
    <w:p w14:paraId="484FB8C7">
      <w:pPr>
        <w:numPr>
          <w:ilvl w:val="1"/>
          <w:numId w:val="4"/>
        </w:numPr>
        <w:spacing w:before="105" w:after="105" w:line="360" w:lineRule="auto"/>
      </w:pPr>
      <w:r>
        <w:rPr>
          <w:rFonts w:ascii="inter" w:hAnsi="inter" w:eastAsia="inter" w:cs="inter"/>
          <w:b/>
          <w:color w:val="000000"/>
          <w:sz w:val="21"/>
        </w:rPr>
        <w:t>Homogenization of Discourse:</w:t>
      </w:r>
      <w:r>
        <w:rPr>
          <w:rFonts w:ascii="inter" w:hAnsi="inter" w:eastAsia="inter" w:cs="inter"/>
          <w:color w:val="000000"/>
          <w:sz w:val="21"/>
        </w:rPr>
        <w:t xml:space="preserve"> Widespread use of default LLM tones may erode distinct cultural and individual linguistic identities.</w:t>
      </w:r>
    </w:p>
    <w:p w14:paraId="0DB1247B">
      <w:pPr>
        <w:numPr>
          <w:ilvl w:val="1"/>
          <w:numId w:val="4"/>
        </w:numPr>
        <w:spacing w:before="105" w:after="105" w:line="360" w:lineRule="auto"/>
      </w:pPr>
      <w:r>
        <w:rPr>
          <w:rFonts w:ascii="inter" w:hAnsi="inter" w:eastAsia="inter" w:cs="inter"/>
          <w:b/>
          <w:color w:val="000000"/>
          <w:sz w:val="21"/>
        </w:rPr>
        <w:t>Plausible Deniability:</w:t>
      </w:r>
      <w:r>
        <w:rPr>
          <w:rFonts w:ascii="inter" w:hAnsi="inter" w:eastAsia="inter" w:cs="inter"/>
          <w:color w:val="000000"/>
          <w:sz w:val="21"/>
        </w:rPr>
        <w:t xml:space="preserve"> The ability to blame the AI for a rude or misconstrued message ("the bot wrote it") dilutes personal accountability in conflict resolution.</w:t>
      </w:r>
    </w:p>
    <w:p w14:paraId="54A7BA7F">
      <w:pPr>
        <w:numPr>
          <w:ilvl w:val="0"/>
          <w:numId w:val="4"/>
        </w:numPr>
        <w:spacing w:after="210" w:line="360" w:lineRule="auto"/>
      </w:pPr>
      <w:r>
        <w:rPr>
          <w:rFonts w:ascii="inter" w:hAnsi="inter" w:eastAsia="inter" w:cs="inter"/>
          <w:b/>
          <w:color w:val="000000"/>
          <w:sz w:val="21"/>
        </w:rPr>
        <w:t>Contextual Applicability Constraints:</w:t>
      </w:r>
    </w:p>
    <w:p w14:paraId="284B5595">
      <w:pPr>
        <w:numPr>
          <w:ilvl w:val="1"/>
          <w:numId w:val="4"/>
        </w:numPr>
        <w:spacing w:before="105" w:after="105" w:line="360" w:lineRule="auto"/>
      </w:pPr>
      <w:r>
        <w:rPr>
          <w:rFonts w:ascii="inter" w:hAnsi="inter" w:eastAsia="inter" w:cs="inter"/>
          <w:color w:val="000000"/>
          <w:sz w:val="21"/>
        </w:rPr>
        <w:t>Acceptable in administrative/logistical contexts; counter-productive in conflict resolution, romantic courtship, or crisis negotiation.</w:t>
      </w:r>
    </w:p>
    <w:p w14:paraId="761DB2A7">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48543B76">
      <w:pPr>
        <w:spacing w:before="315" w:after="105" w:line="360" w:lineRule="auto"/>
        <w:ind w:left="-30"/>
        <w:jc w:val="left"/>
      </w:pPr>
      <w:bookmarkStart w:id="12" w:name="iii_the_rise_of_human_machine_int_a606ef"/>
      <w:r>
        <w:rPr>
          <w:rFonts w:ascii="inter" w:hAnsi="inter" w:eastAsia="inter" w:cs="inter"/>
          <w:b/>
          <w:color w:val="000000"/>
          <w:sz w:val="24"/>
        </w:rPr>
        <w:t>III. The Rise of Human-Machine Intimacy: Societal Risks</w:t>
      </w:r>
      <w:bookmarkEnd w:id="12"/>
    </w:p>
    <w:p w14:paraId="5B5ECC70">
      <w:pPr>
        <w:spacing w:after="210" w:line="360" w:lineRule="auto"/>
      </w:pPr>
      <w:r>
        <w:rPr>
          <w:rFonts w:ascii="inter" w:hAnsi="inter" w:eastAsia="inter" w:cs="inter"/>
          <w:color w:val="000000"/>
        </w:rPr>
        <w:t xml:space="preserve">Data from the Pew Research Center (2025) indicates a profound public wariness regarding this shift: 57% of Americans rate the societal risks of AI as "high," with 50% explicitly stating AI will </w:t>
      </w:r>
      <w:r>
        <w:rPr>
          <w:rFonts w:ascii="inter" w:hAnsi="inter" w:eastAsia="inter" w:cs="inter"/>
          <w:i/>
          <w:color w:val="000000"/>
        </w:rPr>
        <w:t>worsen</w:t>
      </w:r>
      <w:r>
        <w:rPr>
          <w:rFonts w:ascii="inter" w:hAnsi="inter" w:eastAsia="inter" w:cs="inter"/>
          <w:color w:val="000000"/>
        </w:rPr>
        <w:t xml:space="preserve"> people's ability to form meaningful relationships.</w:t>
      </w:r>
      <w:bookmarkStart w:id="13" w:name="fnref5"/>
      <w:bookmarkEnd w:id="13"/>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4" w:name="fnref6"/>
      <w:bookmarkEnd w:id="1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8A671F9">
      <w:pPr>
        <w:spacing w:before="315" w:after="105" w:line="360" w:lineRule="auto"/>
        <w:ind w:left="-30"/>
        <w:jc w:val="left"/>
      </w:pPr>
      <w:bookmarkStart w:id="15" w:name="a_social_capital_depletion_and_di_828854"/>
      <w:r>
        <w:rPr>
          <w:rFonts w:ascii="inter" w:hAnsi="inter" w:eastAsia="inter" w:cs="inter"/>
          <w:b/>
          <w:color w:val="000000"/>
          <w:sz w:val="24"/>
        </w:rPr>
        <w:t>A. Social Capital Depletion and Displacement</w:t>
      </w:r>
      <w:bookmarkEnd w:id="15"/>
    </w:p>
    <w:p w14:paraId="362BF59C">
      <w:pPr>
        <w:spacing w:after="210" w:line="360" w:lineRule="auto"/>
      </w:pPr>
      <w:r>
        <w:rPr>
          <w:rFonts w:ascii="inter" w:hAnsi="inter" w:eastAsia="inter" w:cs="inter"/>
          <w:color w:val="000000"/>
        </w:rPr>
        <w:t xml:space="preserve">Social capital—the value derived from social networks—is traditionally categorized into </w:t>
      </w:r>
      <w:r>
        <w:rPr>
          <w:rFonts w:ascii="inter" w:hAnsi="inter" w:eastAsia="inter" w:cs="inter"/>
          <w:i/>
          <w:color w:val="000000"/>
        </w:rPr>
        <w:t>bonding</w:t>
      </w:r>
      <w:r>
        <w:rPr>
          <w:rFonts w:ascii="inter" w:hAnsi="inter" w:eastAsia="inter" w:cs="inter"/>
          <w:color w:val="000000"/>
        </w:rPr>
        <w:t xml:space="preserve"> (close ties) and </w:t>
      </w:r>
      <w:r>
        <w:rPr>
          <w:rFonts w:ascii="inter" w:hAnsi="inter" w:eastAsia="inter" w:cs="inter"/>
          <w:i/>
          <w:color w:val="000000"/>
        </w:rPr>
        <w:t>linking</w:t>
      </w:r>
      <w:r>
        <w:rPr>
          <w:rFonts w:ascii="inter" w:hAnsi="inter" w:eastAsia="inter" w:cs="inter"/>
          <w:color w:val="000000"/>
        </w:rPr>
        <w:t xml:space="preserve"> (loose connections).</w:t>
      </w:r>
    </w:p>
    <w:p w14:paraId="07776EAB">
      <w:pPr>
        <w:numPr>
          <w:ilvl w:val="0"/>
          <w:numId w:val="5"/>
        </w:numPr>
        <w:spacing w:before="105" w:after="105" w:line="360" w:lineRule="auto"/>
      </w:pPr>
      <w:r>
        <w:rPr>
          <w:rFonts w:ascii="inter" w:hAnsi="inter" w:eastAsia="inter" w:cs="inter"/>
          <w:b/>
          <w:color w:val="000000"/>
          <w:sz w:val="21"/>
        </w:rPr>
        <w:t>The Atrophy of Social Resilience</w:t>
      </w:r>
      <w:r>
        <w:rPr>
          <w:rFonts w:ascii="inter" w:hAnsi="inter" w:eastAsia="inter" w:cs="inter"/>
          <w:color w:val="000000"/>
          <w:sz w:val="21"/>
        </w:rPr>
        <w:br w:type="textWrapping"/>
      </w:r>
      <w:r>
        <w:rPr>
          <w:rFonts w:ascii="inter" w:hAnsi="inter" w:eastAsia="inter" w:cs="inter"/>
          <w:color w:val="000000"/>
          <w:sz w:val="21"/>
        </w:rPr>
        <w:t>AI companions offer "frictionless" relationships—partners that never argue, judge, or have independent needs. Long-term exposure to such entities may reduce human tolerance for the "messiness" of organic relationships (compromise, patience, conflict resolution).</w:t>
      </w:r>
      <w:bookmarkStart w:id="16" w:name="fnref7"/>
      <w:bookmarkEnd w:id="16"/>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3C1CCB40">
      <w:pPr>
        <w:numPr>
          <w:ilvl w:val="0"/>
          <w:numId w:val="5"/>
        </w:numPr>
        <w:spacing w:before="105" w:after="105" w:line="360" w:lineRule="auto"/>
      </w:pPr>
      <w:r>
        <w:rPr>
          <w:rFonts w:ascii="inter" w:hAnsi="inter" w:eastAsia="inter" w:cs="inter"/>
          <w:b/>
          <w:color w:val="000000"/>
          <w:sz w:val="21"/>
        </w:rPr>
        <w:t>Adoption Rates and Resistance</w:t>
      </w:r>
      <w:r>
        <w:rPr>
          <w:rFonts w:ascii="inter" w:hAnsi="inter" w:eastAsia="inter" w:cs="inter"/>
          <w:color w:val="000000"/>
          <w:sz w:val="21"/>
        </w:rPr>
        <w:br w:type="textWrapping"/>
      </w:r>
      <w:r>
        <w:rPr>
          <w:rFonts w:ascii="inter" w:hAnsi="inter" w:eastAsia="inter" w:cs="inter"/>
          <w:color w:val="000000"/>
          <w:sz w:val="21"/>
        </w:rPr>
        <w:t>Despite the availability of AI companions, cultural resistance remains high. 66% of respondents oppose AI determining potential for romantic love, suggesting a "humanist firewall" around intimate domains.</w:t>
      </w:r>
      <w:bookmarkStart w:id="17" w:name="fnref6_1"/>
      <w:bookmarkEnd w:id="17"/>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535B93D3">
      <w:pPr>
        <w:spacing w:before="315" w:after="105" w:line="360" w:lineRule="auto"/>
        <w:ind w:left="-30"/>
        <w:jc w:val="left"/>
      </w:pPr>
      <w:bookmarkStart w:id="18" w:name="b_procedural_dialectic_human_mach_d1bcea"/>
      <w:r>
        <w:rPr>
          <w:rFonts w:ascii="inter" w:hAnsi="inter" w:eastAsia="inter" w:cs="inter"/>
          <w:b/>
          <w:color w:val="000000"/>
          <w:sz w:val="24"/>
        </w:rPr>
        <w:t>B. Procedural Dialectic: Human-Machine Intimacy</w:t>
      </w:r>
      <w:bookmarkEnd w:id="18"/>
    </w:p>
    <w:p w14:paraId="7351A7BE">
      <w:pPr>
        <w:numPr>
          <w:ilvl w:val="0"/>
          <w:numId w:val="6"/>
        </w:numPr>
        <w:spacing w:after="210" w:line="360" w:lineRule="auto"/>
      </w:pPr>
      <w:r>
        <w:rPr>
          <w:rFonts w:ascii="inter" w:hAnsi="inter" w:eastAsia="inter" w:cs="inter"/>
          <w:b/>
          <w:color w:val="000000"/>
          <w:sz w:val="21"/>
        </w:rPr>
        <w:t>Potential Benefits:</w:t>
      </w:r>
    </w:p>
    <w:p w14:paraId="2673B442">
      <w:pPr>
        <w:numPr>
          <w:ilvl w:val="1"/>
          <w:numId w:val="6"/>
        </w:numPr>
        <w:spacing w:before="105" w:after="105" w:line="360" w:lineRule="auto"/>
      </w:pPr>
      <w:r>
        <w:rPr>
          <w:rFonts w:ascii="inter" w:hAnsi="inter" w:eastAsia="inter" w:cs="inter"/>
          <w:color w:val="000000"/>
          <w:sz w:val="21"/>
        </w:rPr>
        <w:t xml:space="preserve">Provides a "linking" capital substitute for the socially disenfranchised (e.g., </w:t>
      </w:r>
      <w:r>
        <w:rPr>
          <w:rFonts w:ascii="inter" w:hAnsi="inter" w:eastAsia="inter" w:cs="inter"/>
          <w:i/>
          <w:color w:val="000000"/>
          <w:sz w:val="21"/>
        </w:rPr>
        <w:t>hikikomori</w:t>
      </w:r>
      <w:r>
        <w:rPr>
          <w:rFonts w:ascii="inter" w:hAnsi="inter" w:eastAsia="inter" w:cs="inter"/>
          <w:color w:val="000000"/>
          <w:sz w:val="21"/>
        </w:rPr>
        <w:t xml:space="preserve"> or those with severe mobility restrictions).</w:t>
      </w:r>
    </w:p>
    <w:p w14:paraId="7B251339">
      <w:pPr>
        <w:numPr>
          <w:ilvl w:val="1"/>
          <w:numId w:val="6"/>
        </w:numPr>
        <w:spacing w:before="105" w:after="105" w:line="360" w:lineRule="auto"/>
      </w:pPr>
      <w:r>
        <w:rPr>
          <w:rFonts w:ascii="inter" w:hAnsi="inter" w:eastAsia="inter" w:cs="inter"/>
          <w:color w:val="000000"/>
          <w:sz w:val="21"/>
        </w:rPr>
        <w:t>Functions as a "social simulator" for rehabilitative purposes.</w:t>
      </w:r>
    </w:p>
    <w:p w14:paraId="0E570E59">
      <w:pPr>
        <w:numPr>
          <w:ilvl w:val="0"/>
          <w:numId w:val="6"/>
        </w:numPr>
        <w:spacing w:after="210" w:line="360" w:lineRule="auto"/>
      </w:pPr>
      <w:r>
        <w:rPr>
          <w:rFonts w:ascii="inter" w:hAnsi="inter" w:eastAsia="inter" w:cs="inter"/>
          <w:b/>
          <w:color w:val="000000"/>
          <w:sz w:val="21"/>
        </w:rPr>
        <w:t>Potential Limitations and Implementation Challenges:</w:t>
      </w:r>
    </w:p>
    <w:p w14:paraId="5BCBBA78">
      <w:pPr>
        <w:numPr>
          <w:ilvl w:val="1"/>
          <w:numId w:val="6"/>
        </w:numPr>
        <w:spacing w:before="105" w:after="105" w:line="360" w:lineRule="auto"/>
      </w:pPr>
      <w:r>
        <w:rPr>
          <w:rFonts w:ascii="inter" w:hAnsi="inter" w:eastAsia="inter" w:cs="inter"/>
          <w:b/>
          <w:color w:val="000000"/>
          <w:sz w:val="21"/>
        </w:rPr>
        <w:t>Dependency Loops:</w:t>
      </w:r>
      <w:r>
        <w:rPr>
          <w:rFonts w:ascii="inter" w:hAnsi="inter" w:eastAsia="inter" w:cs="inter"/>
          <w:color w:val="000000"/>
          <w:sz w:val="21"/>
        </w:rPr>
        <w:t xml:space="preserve"> Users may retreat into "customized realities" where their worldview is constantly affirmed by an agreeable AI, radicalizing isolation.</w:t>
      </w:r>
    </w:p>
    <w:p w14:paraId="6EAC7255">
      <w:pPr>
        <w:numPr>
          <w:ilvl w:val="1"/>
          <w:numId w:val="6"/>
        </w:numPr>
        <w:spacing w:before="105" w:after="105" w:line="360" w:lineRule="auto"/>
      </w:pPr>
      <w:r>
        <w:rPr>
          <w:rFonts w:ascii="inter" w:hAnsi="inter" w:eastAsia="inter" w:cs="inter"/>
          <w:b/>
          <w:color w:val="000000"/>
          <w:sz w:val="21"/>
        </w:rPr>
        <w:t>Commercial Predation:</w:t>
      </w:r>
      <w:r>
        <w:rPr>
          <w:rFonts w:ascii="inter" w:hAnsi="inter" w:eastAsia="inter" w:cs="inter"/>
          <w:color w:val="000000"/>
          <w:sz w:val="21"/>
        </w:rPr>
        <w:t xml:space="preserve"> The monetization of intimacy (e.g., charging for "romantic" upgrades in chatbots) exploits vulnerable emotional states.</w:t>
      </w:r>
    </w:p>
    <w:p w14:paraId="689E1728">
      <w:pPr>
        <w:numPr>
          <w:ilvl w:val="0"/>
          <w:numId w:val="6"/>
        </w:numPr>
        <w:spacing w:after="210" w:line="360" w:lineRule="auto"/>
      </w:pPr>
      <w:r>
        <w:rPr>
          <w:rFonts w:ascii="inter" w:hAnsi="inter" w:eastAsia="inter" w:cs="inter"/>
          <w:b/>
          <w:color w:val="000000"/>
          <w:sz w:val="21"/>
        </w:rPr>
        <w:t>Contextual Applicability Constraints:</w:t>
      </w:r>
    </w:p>
    <w:p w14:paraId="1E53278C">
      <w:pPr>
        <w:numPr>
          <w:ilvl w:val="1"/>
          <w:numId w:val="6"/>
        </w:numPr>
        <w:spacing w:before="105" w:after="105" w:line="360" w:lineRule="auto"/>
      </w:pPr>
      <w:r>
        <w:rPr>
          <w:rFonts w:ascii="inter" w:hAnsi="inter" w:eastAsia="inter" w:cs="inter"/>
          <w:color w:val="000000"/>
          <w:sz w:val="21"/>
        </w:rPr>
        <w:t>Should be regulated as a "paramedical" or "entertainment" product, with strict age-gating and transparency disclosures regarding bot nature.</w:t>
      </w:r>
    </w:p>
    <w:p w14:paraId="6DEEFAD3">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7BB92B9B">
      <w:pPr>
        <w:spacing w:before="315" w:after="105" w:line="360" w:lineRule="auto"/>
        <w:ind w:left="-30"/>
        <w:jc w:val="left"/>
      </w:pPr>
      <w:bookmarkStart w:id="19" w:name="iv_strategic_implications_and_governance"/>
      <w:r>
        <w:rPr>
          <w:rFonts w:ascii="inter" w:hAnsi="inter" w:eastAsia="inter" w:cs="inter"/>
          <w:b/>
          <w:color w:val="000000"/>
          <w:sz w:val="24"/>
        </w:rPr>
        <w:t>IV. Strategic Implications and Governance</w:t>
      </w:r>
      <w:bookmarkEnd w:id="19"/>
    </w:p>
    <w:p w14:paraId="5AAD66DB">
      <w:pPr>
        <w:spacing w:after="210" w:line="360" w:lineRule="auto"/>
      </w:pPr>
      <w:r>
        <w:rPr>
          <w:rFonts w:ascii="inter" w:hAnsi="inter" w:eastAsia="inter" w:cs="inter"/>
          <w:color w:val="000000"/>
        </w:rPr>
        <w:t xml:space="preserve">The trajectory of AI-mediated sociality requires a pivot from reactive regulation to proactive </w:t>
      </w:r>
      <w:r>
        <w:rPr>
          <w:rFonts w:ascii="inter" w:hAnsi="inter" w:eastAsia="inter" w:cs="inter"/>
          <w:i/>
          <w:color w:val="000000"/>
        </w:rPr>
        <w:t>relational hygiene</w:t>
      </w:r>
      <w:r>
        <w:rPr>
          <w:rFonts w:ascii="inter" w:hAnsi="inter" w:eastAsia="inter" w:cs="inter"/>
          <w:color w:val="000000"/>
        </w:rPr>
        <w:t>.</w:t>
      </w:r>
    </w:p>
    <w:p w14:paraId="61FA7DB6">
      <w:pPr>
        <w:spacing w:before="315" w:after="105" w:line="360" w:lineRule="auto"/>
        <w:ind w:left="-30"/>
        <w:jc w:val="left"/>
      </w:pPr>
      <w:bookmarkStart w:id="20" w:name="a_the_future_of_human_autonomy_in_17ccb4"/>
      <w:r>
        <w:rPr>
          <w:rFonts w:ascii="inter" w:hAnsi="inter" w:eastAsia="inter" w:cs="inter"/>
          <w:b/>
          <w:color w:val="000000"/>
          <w:sz w:val="24"/>
        </w:rPr>
        <w:t>A. The Future of Human Autonomy in a Mediated Age</w:t>
      </w:r>
      <w:bookmarkEnd w:id="20"/>
    </w:p>
    <w:p w14:paraId="2D4A695D">
      <w:pPr>
        <w:spacing w:after="210" w:line="360" w:lineRule="auto"/>
      </w:pPr>
      <w:r>
        <w:rPr>
          <w:rFonts w:ascii="inter" w:hAnsi="inter" w:eastAsia="inter" w:cs="inter"/>
          <w:color w:val="000000"/>
        </w:rPr>
        <w:t>If communication is increasingly generated by agents, human autonomy becomes a curatorial rather than creative act. We risk entering an era of "Zombie Dialogue," where human-to-human interaction is essentially two LLMs talking to each other through human proxies.</w:t>
      </w:r>
    </w:p>
    <w:p w14:paraId="3D59A28A">
      <w:pPr>
        <w:spacing w:before="315" w:after="105" w:line="360" w:lineRule="auto"/>
        <w:ind w:left="-30"/>
        <w:jc w:val="left"/>
      </w:pPr>
      <w:bookmarkStart w:id="21" w:name="b_policy_recommendations_towards_5bf62f"/>
      <w:r>
        <w:rPr>
          <w:rFonts w:ascii="inter" w:hAnsi="inter" w:eastAsia="inter" w:cs="inter"/>
          <w:b/>
          <w:color w:val="000000"/>
          <w:sz w:val="24"/>
        </w:rPr>
        <w:t>B. Policy Recommendations: Towards Sustainable Digital Societies</w:t>
      </w:r>
      <w:bookmarkEnd w:id="21"/>
    </w:p>
    <w:p w14:paraId="06B475A2">
      <w:pPr>
        <w:spacing w:after="210" w:line="360" w:lineRule="auto"/>
      </w:pPr>
      <w:r>
        <w:rPr>
          <w:rFonts w:ascii="inter" w:hAnsi="inter" w:eastAsia="inter" w:cs="inter"/>
          <w:color w:val="000000"/>
        </w:rPr>
        <w:t>To preserve the integrity of the human social fabric, the following frameworks are recommended:</w:t>
      </w:r>
    </w:p>
    <w:p w14:paraId="72567A38">
      <w:pPr>
        <w:numPr>
          <w:ilvl w:val="0"/>
          <w:numId w:val="7"/>
        </w:numPr>
        <w:spacing w:after="210" w:line="360" w:lineRule="auto"/>
      </w:pPr>
      <w:r>
        <w:rPr>
          <w:rFonts w:ascii="inter" w:hAnsi="inter" w:eastAsia="inter" w:cs="inter"/>
          <w:b/>
          <w:color w:val="000000"/>
          <w:sz w:val="21"/>
        </w:rPr>
        <w:t>Mandatory "Synthetic Disclosures" (Watermarking):</w:t>
      </w:r>
      <w:r>
        <w:rPr>
          <w:rFonts w:ascii="inter" w:hAnsi="inter" w:eastAsia="inter" w:cs="inter"/>
          <w:color w:val="000000"/>
          <w:sz w:val="21"/>
        </w:rPr>
        <w:br w:type="textWrapping"/>
      </w:r>
      <w:r>
        <w:rPr>
          <w:rFonts w:ascii="inter" w:hAnsi="inter" w:eastAsia="inter" w:cs="inter"/>
          <w:color w:val="000000"/>
          <w:sz w:val="21"/>
        </w:rPr>
        <w:t>Any communication significantly altered or generated by AI in social contexts (dating apps, mental health support) must bear a visible "synthetic" tag to preserve the recipient's right to informed interaction.</w:t>
      </w:r>
    </w:p>
    <w:p w14:paraId="2AC39B5B">
      <w:pPr>
        <w:numPr>
          <w:ilvl w:val="0"/>
          <w:numId w:val="7"/>
        </w:numPr>
        <w:spacing w:after="210" w:line="360" w:lineRule="auto"/>
      </w:pPr>
      <w:r>
        <w:rPr>
          <w:rFonts w:ascii="inter" w:hAnsi="inter" w:eastAsia="inter" w:cs="inter"/>
          <w:b/>
          <w:color w:val="000000"/>
          <w:sz w:val="21"/>
        </w:rPr>
        <w:t>Algorithmic Diversity Mandates:</w:t>
      </w:r>
      <w:r>
        <w:rPr>
          <w:rFonts w:ascii="inter" w:hAnsi="inter" w:eastAsia="inter" w:cs="inter"/>
          <w:color w:val="000000"/>
          <w:sz w:val="21"/>
        </w:rPr>
        <w:br w:type="textWrapping"/>
      </w:r>
      <w:r>
        <w:rPr>
          <w:rFonts w:ascii="inter" w:hAnsi="inter" w:eastAsia="inter" w:cs="inter"/>
          <w:color w:val="000000"/>
          <w:sz w:val="21"/>
        </w:rPr>
        <w:t>To prevent social homogenization, platforms utilizing AI mediation should be incentivized to preserve linguistic and cultural variance rather than optimizing for a single "polite" mean.</w:t>
      </w:r>
    </w:p>
    <w:p w14:paraId="72726EBE">
      <w:pPr>
        <w:numPr>
          <w:ilvl w:val="0"/>
          <w:numId w:val="7"/>
        </w:numPr>
        <w:spacing w:after="210" w:line="360" w:lineRule="auto"/>
      </w:pPr>
      <w:r>
        <w:rPr>
          <w:rFonts w:ascii="inter" w:hAnsi="inter" w:eastAsia="inter" w:cs="inter"/>
          <w:b/>
          <w:color w:val="000000"/>
          <w:sz w:val="21"/>
        </w:rPr>
        <w:t>Digital Literacy 2.0: Relational Cognition:</w:t>
      </w:r>
      <w:r>
        <w:rPr>
          <w:rFonts w:ascii="inter" w:hAnsi="inter" w:eastAsia="inter" w:cs="inter"/>
          <w:color w:val="000000"/>
          <w:sz w:val="21"/>
        </w:rPr>
        <w:br w:type="textWrapping"/>
      </w:r>
      <w:r>
        <w:rPr>
          <w:rFonts w:ascii="inter" w:hAnsi="inter" w:eastAsia="inter" w:cs="inter"/>
          <w:color w:val="000000"/>
          <w:sz w:val="21"/>
        </w:rPr>
        <w:t xml:space="preserve">Educational curricula must expand beyond coding to include </w:t>
      </w:r>
      <w:r>
        <w:rPr>
          <w:rFonts w:ascii="inter" w:hAnsi="inter" w:eastAsia="inter" w:cs="inter"/>
          <w:i/>
          <w:color w:val="000000"/>
          <w:sz w:val="21"/>
        </w:rPr>
        <w:t>relational cognition</w:t>
      </w:r>
      <w:r>
        <w:rPr>
          <w:rFonts w:ascii="inter" w:hAnsi="inter" w:eastAsia="inter" w:cs="inter"/>
          <w:color w:val="000000"/>
          <w:sz w:val="21"/>
        </w:rPr>
        <w:t>—teaching citizens to identify the psychological triggers used by anthropomorphic design and to value "high-friction" human relationships as essential for resilience.</w:t>
      </w:r>
    </w:p>
    <w:p w14:paraId="058486A3">
      <w:pPr>
        <w:spacing w:before="315" w:after="105" w:line="360" w:lineRule="auto"/>
        <w:ind w:left="-30"/>
        <w:jc w:val="left"/>
      </w:pPr>
      <w:bookmarkStart w:id="22" w:name="conclusion"/>
      <w:r>
        <w:rPr>
          <w:rFonts w:ascii="inter" w:hAnsi="inter" w:eastAsia="inter" w:cs="inter"/>
          <w:b/>
          <w:color w:val="000000"/>
          <w:sz w:val="24"/>
        </w:rPr>
        <w:t>Conclusion</w:t>
      </w:r>
      <w:bookmarkEnd w:id="22"/>
    </w:p>
    <w:p w14:paraId="7AF983E6">
      <w:pPr>
        <w:spacing w:after="210" w:line="360" w:lineRule="auto"/>
      </w:pPr>
      <w:r>
        <w:rPr>
          <w:rFonts w:ascii="inter" w:hAnsi="inter" w:eastAsia="inter" w:cs="inter"/>
          <w:color w:val="000000"/>
        </w:rPr>
        <w:t xml:space="preserve">AI interaction is not merely a tool for communication; it is a new environment for the self. While it offers profound efficiencies, the data suggests a tangible risk of "relational inflation"—where the volume of interaction increases, but its value and authenticity decline. The strategic imperative for the next decade is not merely to build better social AI, but to cultivate a </w:t>
      </w:r>
      <w:r>
        <w:rPr>
          <w:rFonts w:ascii="inter" w:hAnsi="inter" w:eastAsia="inter" w:cs="inter"/>
          <w:b/>
          <w:color w:val="000000"/>
        </w:rPr>
        <w:t>Human-Centric Digital Ecology</w:t>
      </w:r>
      <w:r>
        <w:rPr>
          <w:rFonts w:ascii="inter" w:hAnsi="inter" w:eastAsia="inter" w:cs="inter"/>
          <w:color w:val="000000"/>
        </w:rPr>
        <w:t xml:space="preserve"> where technology serves to amplify, rather than displace, the fundamental labor of human connection.</w:t>
      </w:r>
      <w:r>
        <w:rPr>
          <w:rFonts w:ascii="inter" w:hAnsi="inter" w:eastAsia="inter" w:cs="inter"/>
          <w:color w:val="000000"/>
        </w:rPr>
        <w:br w:type="textWrapping"/>
      </w:r>
    </w:p>
    <w:p w14:paraId="5B656B03">
      <w:pPr>
        <w:spacing w:line="360" w:lineRule="auto"/>
      </w:pPr>
      <w:r>
        <w:rPr>
          <w:rFonts w:ascii="inter" w:hAnsi="inter" w:eastAsia="inter" w:cs="inter"/>
          <w:color w:val="000000"/>
        </w:rPr>
        <w:t>⁂</w:t>
      </w:r>
    </w:p>
    <w:p w14:paraId="76E3919D">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1E90F4AF">
      <w:pPr>
        <w:numPr>
          <w:ilvl w:val="0"/>
          <w:numId w:val="8"/>
        </w:numPr>
        <w:spacing w:after="210" w:line="360" w:lineRule="auto"/>
      </w:pPr>
      <w:bookmarkStart w:id="23" w:name="fn1"/>
      <w:bookmarkEnd w:id="23"/>
      <w:r>
        <w:fldChar w:fldCharType="begin"/>
      </w:r>
      <w:r>
        <w:instrText xml:space="preserve"> HYPERLINK "https://www.hbs.edu/ris/Publication%20Files/AI%20Companions%20Reduce%20Loneliness%2011.7.2025_57451c02-8047-4e0d-abfc-55841f64166d.pdf" \h </w:instrText>
      </w:r>
      <w:r>
        <w:fldChar w:fldCharType="separate"/>
      </w:r>
      <w:r>
        <w:rPr>
          <w:rFonts w:ascii="inter" w:hAnsi="inter" w:eastAsia="inter" w:cs="inter"/>
          <w:color w:val="000000"/>
          <w:sz w:val="18"/>
          <w:u w:val="single"/>
        </w:rPr>
        <w:t>https://www.hbs.edu/ris/Publication Files/AI Companions Reduce Loneliness 11.7.2025_57451c02-8047-4e0d-abfc-55841f64166d.pdf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56F232">
      <w:pPr>
        <w:numPr>
          <w:ilvl w:val="0"/>
          <w:numId w:val="8"/>
        </w:numPr>
        <w:spacing w:after="210" w:line="360" w:lineRule="auto"/>
      </w:pPr>
      <w:bookmarkStart w:id="24" w:name="fn2"/>
      <w:bookmarkEnd w:id="24"/>
      <w:r>
        <w:fldChar w:fldCharType="begin"/>
      </w:r>
      <w:r>
        <w:instrText xml:space="preserve"> HYPERLINK "https://www.frontiersin.org/journals/robotics-and-ai/articles/10.3389/frobt.2024.1288818/full" \h </w:instrText>
      </w:r>
      <w:r>
        <w:fldChar w:fldCharType="separate"/>
      </w:r>
      <w:r>
        <w:rPr>
          <w:rFonts w:ascii="inter" w:hAnsi="inter" w:eastAsia="inter" w:cs="inter"/>
          <w:color w:val="000000"/>
          <w:sz w:val="18"/>
          <w:u w:val="single"/>
        </w:rPr>
        <w:t>https://www.frontiersin.org/journals/robotics-and-ai/articles/10.3389/frobt.2024.1288818/full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FD274F">
      <w:pPr>
        <w:numPr>
          <w:ilvl w:val="0"/>
          <w:numId w:val="8"/>
        </w:numPr>
        <w:spacing w:after="210" w:line="360" w:lineRule="auto"/>
      </w:pPr>
      <w:bookmarkStart w:id="25" w:name="fn3"/>
      <w:bookmarkEnd w:id="25"/>
      <w:r>
        <w:fldChar w:fldCharType="begin"/>
      </w:r>
      <w:r>
        <w:instrText xml:space="preserve"> HYPERLINK "https://www.linkedin.com/pulse/navigating-ai-frontier-insights-implications-from-stanford-amin-isnwf" \h </w:instrText>
      </w:r>
      <w:r>
        <w:fldChar w:fldCharType="separate"/>
      </w:r>
      <w:r>
        <w:rPr>
          <w:rFonts w:ascii="inter" w:hAnsi="inter" w:eastAsia="inter" w:cs="inter"/>
          <w:color w:val="000000"/>
          <w:sz w:val="18"/>
          <w:u w:val="single"/>
        </w:rPr>
        <w:t>https://www.linkedin.com/pulse/navigating-ai-frontier-insights-implications-from-stanford-amin-isnwf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AC575E">
      <w:pPr>
        <w:numPr>
          <w:ilvl w:val="0"/>
          <w:numId w:val="8"/>
        </w:numPr>
        <w:spacing w:after="210" w:line="360" w:lineRule="auto"/>
      </w:pPr>
      <w:bookmarkStart w:id="26" w:name="fn4"/>
      <w:bookmarkEnd w:id="26"/>
      <w:r>
        <w:fldChar w:fldCharType="begin"/>
      </w:r>
      <w:r>
        <w:instrText xml:space="preserve"> HYPERLINK "https://www.nature.com/articles/s41598-023-30938-9" \h </w:instrText>
      </w:r>
      <w:r>
        <w:fldChar w:fldCharType="separate"/>
      </w:r>
      <w:r>
        <w:rPr>
          <w:rFonts w:ascii="inter" w:hAnsi="inter" w:eastAsia="inter" w:cs="inter"/>
          <w:color w:val="000000"/>
          <w:sz w:val="18"/>
          <w:u w:val="single"/>
        </w:rPr>
        <w:t>https://www.nature.com/articles/s41598-023-30938-9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15B591">
      <w:pPr>
        <w:numPr>
          <w:ilvl w:val="0"/>
          <w:numId w:val="8"/>
        </w:numPr>
        <w:spacing w:after="210" w:line="360" w:lineRule="auto"/>
      </w:pPr>
      <w:bookmarkStart w:id="27" w:name="fn5"/>
      <w:bookmarkEnd w:id="27"/>
      <w:r>
        <w:fldChar w:fldCharType="begin"/>
      </w:r>
      <w:r>
        <w:instrText xml:space="preserve"> HYPERLINK "https://www.pewresearch.org/science/2025/09/17/how-americans-view-ai-and-its-impact-on-people-and-society/" \h </w:instrText>
      </w:r>
      <w:r>
        <w:fldChar w:fldCharType="separate"/>
      </w:r>
      <w:r>
        <w:rPr>
          <w:rFonts w:ascii="inter" w:hAnsi="inter" w:eastAsia="inter" w:cs="inter"/>
          <w:color w:val="000000"/>
          <w:sz w:val="18"/>
          <w:u w:val="single"/>
        </w:rPr>
        <w:t>https://www.pewresearch.org/science/2025/09/17/how-americans-view-ai-and-its-impact-on-people-and-society/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B10AA3">
      <w:pPr>
        <w:numPr>
          <w:ilvl w:val="0"/>
          <w:numId w:val="8"/>
        </w:numPr>
        <w:spacing w:after="210" w:line="360" w:lineRule="auto"/>
      </w:pPr>
      <w:bookmarkStart w:id="28" w:name="fn6"/>
      <w:bookmarkEnd w:id="28"/>
      <w:r>
        <w:fldChar w:fldCharType="begin"/>
      </w:r>
      <w:r>
        <w:instrText xml:space="preserve"> HYPERLINK "https://www.axios.com/2025/09/17/pew-research-american-ai-survey-2025" \h </w:instrText>
      </w:r>
      <w:r>
        <w:fldChar w:fldCharType="separate"/>
      </w:r>
      <w:r>
        <w:rPr>
          <w:rFonts w:ascii="inter" w:hAnsi="inter" w:eastAsia="inter" w:cs="inter"/>
          <w:color w:val="000000"/>
          <w:sz w:val="18"/>
          <w:u w:val="single"/>
        </w:rPr>
        <w:t>https://www.axios.com/2025/09/17/pew-research-american-ai-survey-2025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3DB70A">
      <w:pPr>
        <w:numPr>
          <w:ilvl w:val="0"/>
          <w:numId w:val="8"/>
        </w:numPr>
        <w:spacing w:after="210" w:line="360" w:lineRule="auto"/>
      </w:pPr>
      <w:bookmarkStart w:id="29" w:name="fn7"/>
      <w:bookmarkEnd w:id="29"/>
      <w:r>
        <w:fldChar w:fldCharType="begin"/>
      </w:r>
      <w:r>
        <w:instrText xml:space="preserve"> HYPERLINK "https://lifestyle.sustainability-directory.com/question/what-are-the-long-term-implications-of-ai-on-collective-emotional-well-being-and-social-cohesion/" \h </w:instrText>
      </w:r>
      <w:r>
        <w:fldChar w:fldCharType="separate"/>
      </w:r>
      <w:r>
        <w:rPr>
          <w:rFonts w:ascii="inter" w:hAnsi="inter" w:eastAsia="inter" w:cs="inter"/>
          <w:color w:val="000000"/>
          <w:sz w:val="18"/>
          <w:u w:val="single"/>
        </w:rPr>
        <w:t>https://lifestyle.sustainability-directory.com/question/what-are-the-long-term-implications-of-ai-on-collective-emotional-well-being-and-social-cohesion/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922E27">
      <w:pPr>
        <w:numPr>
          <w:ilvl w:val="0"/>
          <w:numId w:val="8"/>
        </w:numPr>
        <w:spacing w:after="210" w:line="360" w:lineRule="auto"/>
      </w:pPr>
      <w:bookmarkStart w:id="30" w:name="fn8"/>
      <w:bookmarkEnd w:id="30"/>
      <w:r>
        <w:fldChar w:fldCharType="begin"/>
      </w:r>
      <w:r>
        <w:instrText xml:space="preserve"> HYPERLINK "https://moderndiplomacy.eu/2025/10/05/ai-and-the-human-mind-how-generative-tools-reshape-behaviour-learning-and-social-connection/" \h </w:instrText>
      </w:r>
      <w:r>
        <w:fldChar w:fldCharType="separate"/>
      </w:r>
      <w:r>
        <w:rPr>
          <w:rFonts w:ascii="inter" w:hAnsi="inter" w:eastAsia="inter" w:cs="inter"/>
          <w:color w:val="000000"/>
          <w:sz w:val="18"/>
          <w:u w:val="single"/>
        </w:rPr>
        <w:t>https://moderndiplomacy.eu/2025/10/05/ai-and-the-human-mind-how-generative-tools-reshape-behaviour-learning-and-social-connection/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39AFA8">
      <w:pPr>
        <w:numPr>
          <w:ilvl w:val="0"/>
          <w:numId w:val="8"/>
        </w:numPr>
        <w:spacing w:after="210" w:line="360" w:lineRule="auto"/>
      </w:pPr>
      <w:bookmarkStart w:id="31" w:name="fn9"/>
      <w:bookmarkEnd w:id="31"/>
      <w:r>
        <w:fldChar w:fldCharType="begin"/>
      </w:r>
      <w:r>
        <w:instrText xml:space="preserve"> HYPERLINK "https://www.diggitmagazine.com/student-ai-relationships-rise-artificial-intimacy" \h </w:instrText>
      </w:r>
      <w:r>
        <w:fldChar w:fldCharType="separate"/>
      </w:r>
      <w:r>
        <w:rPr>
          <w:rFonts w:ascii="inter" w:hAnsi="inter" w:eastAsia="inter" w:cs="inter"/>
          <w:color w:val="000000"/>
          <w:sz w:val="18"/>
          <w:u w:val="single"/>
        </w:rPr>
        <w:t>https://www.diggitmagazine.com/student-ai-relationships-rise-artificial-intimacy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395052">
      <w:pPr>
        <w:numPr>
          <w:ilvl w:val="0"/>
          <w:numId w:val="8"/>
        </w:numPr>
        <w:spacing w:after="210" w:line="360" w:lineRule="auto"/>
      </w:pPr>
      <w:bookmarkStart w:id="32" w:name="fn10"/>
      <w:bookmarkEnd w:id="32"/>
      <w:r>
        <w:fldChar w:fldCharType="begin"/>
      </w:r>
      <w:r>
        <w:instrText xml:space="preserve"> HYPERLINK "https://pmc.ncbi.nlm.nih.gov/articles/PMC10983813/" \h </w:instrText>
      </w:r>
      <w:r>
        <w:fldChar w:fldCharType="separate"/>
      </w:r>
      <w:r>
        <w:rPr>
          <w:rFonts w:ascii="inter" w:hAnsi="inter" w:eastAsia="inter" w:cs="inter"/>
          <w:color w:val="000000"/>
          <w:sz w:val="18"/>
          <w:u w:val="single"/>
        </w:rPr>
        <w:t>https://pmc.ncbi.nlm.nih.gov/articles/PMC10983813/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E88C40">
      <w:pPr>
        <w:numPr>
          <w:ilvl w:val="0"/>
          <w:numId w:val="8"/>
        </w:numPr>
        <w:spacing w:after="210" w:line="360" w:lineRule="auto"/>
      </w:pPr>
      <w:bookmarkStart w:id="33" w:name="fn11"/>
      <w:bookmarkEnd w:id="33"/>
      <w:r>
        <w:fldChar w:fldCharType="begin"/>
      </w:r>
      <w:r>
        <w:instrText xml:space="preserve"> HYPERLINK "https://papers.ssrn.com/sol3/papers.cfm?abstract_id=5089129" \h </w:instrText>
      </w:r>
      <w:r>
        <w:fldChar w:fldCharType="separate"/>
      </w:r>
      <w:r>
        <w:rPr>
          <w:rFonts w:ascii="inter" w:hAnsi="inter" w:eastAsia="inter" w:cs="inter"/>
          <w:color w:val="000000"/>
          <w:sz w:val="18"/>
          <w:u w:val="single"/>
        </w:rPr>
        <w:t>https://papers.ssrn.com/sol3/papers.cfm?abstract_id=5089129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2FDF32">
      <w:pPr>
        <w:numPr>
          <w:ilvl w:val="0"/>
          <w:numId w:val="8"/>
        </w:numPr>
        <w:spacing w:after="210" w:line="360" w:lineRule="auto"/>
      </w:pPr>
      <w:bookmarkStart w:id="34" w:name="fn12"/>
      <w:bookmarkEnd w:id="34"/>
      <w:r>
        <w:fldChar w:fldCharType="begin"/>
      </w:r>
      <w:r>
        <w:instrText xml:space="preserve"> HYPERLINK "https://www.sciencedirect.com/science/article/abs/pii/S0747563224001675" \h </w:instrText>
      </w:r>
      <w:r>
        <w:fldChar w:fldCharType="separate"/>
      </w:r>
      <w:r>
        <w:rPr>
          <w:rFonts w:ascii="inter" w:hAnsi="inter" w:eastAsia="inter" w:cs="inter"/>
          <w:color w:val="000000"/>
          <w:sz w:val="18"/>
          <w:u w:val="single"/>
        </w:rPr>
        <w:t>https://www.sciencedirect.com/science/article/abs/pii/S0747563224001675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267855">
      <w:pPr>
        <w:numPr>
          <w:ilvl w:val="0"/>
          <w:numId w:val="8"/>
        </w:numPr>
        <w:spacing w:after="210" w:line="360" w:lineRule="auto"/>
      </w:pPr>
      <w:bookmarkStart w:id="35" w:name="fn13"/>
      <w:bookmarkEnd w:id="35"/>
      <w:r>
        <w:fldChar w:fldCharType="begin"/>
      </w:r>
      <w:r>
        <w:instrText xml:space="preserve"> HYPERLINK "https://lifestyle.sustainability-directory.com/question/how-does-ai-shape-our-social-interactions/" \h </w:instrText>
      </w:r>
      <w:r>
        <w:fldChar w:fldCharType="separate"/>
      </w:r>
      <w:r>
        <w:rPr>
          <w:rFonts w:ascii="inter" w:hAnsi="inter" w:eastAsia="inter" w:cs="inter"/>
          <w:color w:val="000000"/>
          <w:sz w:val="18"/>
          <w:u w:val="single"/>
        </w:rPr>
        <w:t>https://lifestyle.sustainability-directory.com/question/how-does-ai-shape-our-social-interactions/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686F13">
      <w:pPr>
        <w:numPr>
          <w:ilvl w:val="0"/>
          <w:numId w:val="8"/>
        </w:numPr>
        <w:spacing w:after="210" w:line="360" w:lineRule="auto"/>
      </w:pPr>
      <w:bookmarkStart w:id="36" w:name="fn14"/>
      <w:bookmarkEnd w:id="36"/>
      <w:r>
        <w:fldChar w:fldCharType="begin"/>
      </w:r>
      <w:r>
        <w:instrText xml:space="preserve"> HYPERLINK "https://www.frontiersin.org/journals/computer-science/articles/10.3389/fcomp.2025.1531976/pdf" \h </w:instrText>
      </w:r>
      <w:r>
        <w:fldChar w:fldCharType="separate"/>
      </w:r>
      <w:r>
        <w:rPr>
          <w:rFonts w:ascii="inter" w:hAnsi="inter" w:eastAsia="inter" w:cs="inter"/>
          <w:color w:val="000000"/>
          <w:sz w:val="18"/>
          <w:u w:val="single"/>
        </w:rPr>
        <w:t>https://www.frontiersin.org/journals/computer-science/articles/10.3389/fcomp.2025.1531976/pdf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E21916">
      <w:pPr>
        <w:numPr>
          <w:ilvl w:val="0"/>
          <w:numId w:val="8"/>
        </w:numPr>
        <w:spacing w:after="210" w:line="360" w:lineRule="auto"/>
      </w:pPr>
      <w:bookmarkStart w:id="37" w:name="fn15"/>
      <w:bookmarkEnd w:id="37"/>
      <w:r>
        <w:fldChar w:fldCharType="begin"/>
      </w:r>
      <w:r>
        <w:instrText xml:space="preserve"> HYPERLINK "https://www.sciencedirect.com/science/article/pii/S0923474822000339" \h </w:instrText>
      </w:r>
      <w:r>
        <w:fldChar w:fldCharType="separate"/>
      </w:r>
      <w:r>
        <w:rPr>
          <w:rFonts w:ascii="inter" w:hAnsi="inter" w:eastAsia="inter" w:cs="inter"/>
          <w:color w:val="000000"/>
          <w:sz w:val="18"/>
          <w:u w:val="single"/>
        </w:rPr>
        <w:t>https://www.sciencedirect.com/science/article/pii/S0923474822000339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8ADE6A">
      <w:pPr>
        <w:numPr>
          <w:ilvl w:val="0"/>
          <w:numId w:val="8"/>
        </w:numPr>
        <w:spacing w:after="210" w:line="360" w:lineRule="auto"/>
      </w:pPr>
      <w:bookmarkStart w:id="38" w:name="fn16"/>
      <w:bookmarkEnd w:id="38"/>
      <w:r>
        <w:fldChar w:fldCharType="begin"/>
      </w:r>
      <w:r>
        <w:instrText xml:space="preserve"> HYPERLINK "https://academic.oup.com/pnasnexus/article/3/6/pgae191/7689236" \h </w:instrText>
      </w:r>
      <w:r>
        <w:fldChar w:fldCharType="separate"/>
      </w:r>
      <w:r>
        <w:rPr>
          <w:rFonts w:ascii="inter" w:hAnsi="inter" w:eastAsia="inter" w:cs="inter"/>
          <w:color w:val="000000"/>
          <w:sz w:val="18"/>
          <w:u w:val="single"/>
        </w:rPr>
        <w:t>https://academic.oup.com/pnasnexus/article/3/6/pgae191/7689236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5F3817">
      <w:pPr>
        <w:numPr>
          <w:ilvl w:val="0"/>
          <w:numId w:val="8"/>
        </w:numPr>
        <w:spacing w:after="210" w:line="360" w:lineRule="auto"/>
      </w:pPr>
      <w:bookmarkStart w:id="39" w:name="fn17"/>
      <w:bookmarkEnd w:id="39"/>
      <w:r>
        <w:fldChar w:fldCharType="begin"/>
      </w:r>
      <w:r>
        <w:instrText xml:space="preserve"> HYPERLINK "https://www.law.kuleuven.be/citip/blog/my-digital-avatar-is-better-than-you/" \h </w:instrText>
      </w:r>
      <w:r>
        <w:fldChar w:fldCharType="separate"/>
      </w:r>
      <w:r>
        <w:rPr>
          <w:rFonts w:ascii="inter" w:hAnsi="inter" w:eastAsia="inter" w:cs="inter"/>
          <w:color w:val="000000"/>
          <w:sz w:val="18"/>
          <w:u w:val="single"/>
        </w:rPr>
        <w:t>https://www.law.kuleuven.be/citip/blog/my-digital-avatar-is-better-than-you/</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3D58F7">
      <w:pPr>
        <w:numPr>
          <w:ilvl w:val="0"/>
          <w:numId w:val="8"/>
        </w:numPr>
        <w:spacing w:after="210" w:line="360" w:lineRule="auto"/>
      </w:pPr>
      <w:bookmarkStart w:id="40" w:name="fn18"/>
      <w:bookmarkEnd w:id="40"/>
      <w:r>
        <w:fldChar w:fldCharType="begin"/>
      </w:r>
      <w:r>
        <w:instrText xml:space="preserve"> HYPERLINK "https://ai.uni-bremen.de/papers/bessler20affordances.pdf" \h </w:instrText>
      </w:r>
      <w:r>
        <w:fldChar w:fldCharType="separate"/>
      </w:r>
      <w:r>
        <w:rPr>
          <w:rFonts w:ascii="inter" w:hAnsi="inter" w:eastAsia="inter" w:cs="inter"/>
          <w:color w:val="000000"/>
          <w:sz w:val="18"/>
          <w:u w:val="single"/>
        </w:rPr>
        <w:t>https://ai.uni-bremen.de/papers/bessler20affordances.pdf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F09712">
      <w:pPr>
        <w:numPr>
          <w:ilvl w:val="0"/>
          <w:numId w:val="8"/>
        </w:numPr>
        <w:spacing w:after="210" w:line="360" w:lineRule="auto"/>
      </w:pPr>
      <w:bookmarkStart w:id="41" w:name="fn19"/>
      <w:bookmarkEnd w:id="41"/>
      <w:r>
        <w:fldChar w:fldCharType="begin"/>
      </w:r>
      <w:r>
        <w:instrText xml:space="preserve"> HYPERLINK "https://www.diva-portal.org/smash/get/diva2:1875659/FULLTEXT01.pdf" \h </w:instrText>
      </w:r>
      <w:r>
        <w:fldChar w:fldCharType="separate"/>
      </w:r>
      <w:r>
        <w:rPr>
          <w:rFonts w:ascii="inter" w:hAnsi="inter" w:eastAsia="inter" w:cs="inter"/>
          <w:color w:val="000000"/>
          <w:sz w:val="18"/>
          <w:u w:val="single"/>
        </w:rPr>
        <w:t>https://www.diva-portal.org/smash/get/diva2:1875659/FULLTEXT01.pdf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58FAC8">
      <w:pPr>
        <w:numPr>
          <w:ilvl w:val="0"/>
          <w:numId w:val="8"/>
        </w:numPr>
        <w:spacing w:after="210" w:line="360" w:lineRule="auto"/>
      </w:pPr>
      <w:bookmarkStart w:id="42" w:name="fn20"/>
      <w:bookmarkEnd w:id="42"/>
      <w:r>
        <w:fldChar w:fldCharType="begin"/>
      </w:r>
      <w:r>
        <w:instrText xml:space="preserve"> HYPERLINK "https://www.fladgate.com/insights/what-stanford-universitys-2024-ai-index-report-tells-us-about-the-current-state-of-ai" \h </w:instrText>
      </w:r>
      <w:r>
        <w:fldChar w:fldCharType="separate"/>
      </w:r>
      <w:r>
        <w:rPr>
          <w:rFonts w:ascii="inter" w:hAnsi="inter" w:eastAsia="inter" w:cs="inter"/>
          <w:color w:val="000000"/>
          <w:sz w:val="18"/>
          <w:u w:val="single"/>
        </w:rPr>
        <w:t>https://www.fladgate.com/insights/what-stanford-universitys-2024-ai-index-report-tells-us-about-the-current-state-of-ai</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tabs>
          <w:tab w:val="left" w:pos="900"/>
        </w:tabs>
        <w:ind w:left="540" w:hanging="360"/>
      </w:pPr>
    </w:lvl>
  </w:abstractNum>
  <w:abstractNum w:abstractNumId="1">
    <w:nsid w:val="BF205925"/>
    <w:multiLevelType w:val="multilevel"/>
    <w:tmpl w:val="BF205925"/>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
    <w:nsid w:val="CF092B84"/>
    <w:multiLevelType w:val="multilevel"/>
    <w:tmpl w:val="CF092B84"/>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3">
    <w:nsid w:val="0053208E"/>
    <w:multiLevelType w:val="multilevel"/>
    <w:tmpl w:val="0053208E"/>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4">
    <w:nsid w:val="03D62ECE"/>
    <w:multiLevelType w:val="multilevel"/>
    <w:tmpl w:val="03D62ECE"/>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5">
    <w:nsid w:val="25B654F3"/>
    <w:multiLevelType w:val="singleLevel"/>
    <w:tmpl w:val="25B654F3"/>
    <w:lvl w:ilvl="0" w:tentative="0">
      <w:start w:val="1"/>
      <w:numFmt w:val="decimal"/>
      <w:lvlText w:val="%1."/>
      <w:lvlJc w:val="left"/>
      <w:pPr>
        <w:tabs>
          <w:tab w:val="left" w:pos="900"/>
        </w:tabs>
        <w:ind w:left="540" w:hanging="360"/>
      </w:pPr>
    </w:lvl>
  </w:abstractNum>
  <w:abstractNum w:abstractNumId="6">
    <w:nsid w:val="59ADCABA"/>
    <w:multiLevelType w:val="singleLevel"/>
    <w:tmpl w:val="59ADCABA"/>
    <w:lvl w:ilvl="0" w:tentative="0">
      <w:start w:val="1"/>
      <w:numFmt w:val="decimal"/>
      <w:lvlText w:val="%1."/>
      <w:lvlJc w:val="left"/>
      <w:pPr>
        <w:tabs>
          <w:tab w:val="left" w:pos="900"/>
        </w:tabs>
        <w:ind w:left="540" w:hanging="360"/>
      </w:pPr>
    </w:lvl>
  </w:abstractNum>
  <w:abstractNum w:abstractNumId="7">
    <w:nsid w:val="72183CF9"/>
    <w:multiLevelType w:val="singleLevel"/>
    <w:tmpl w:val="72183CF9"/>
    <w:lvl w:ilvl="0" w:tentative="0">
      <w:start w:val="1"/>
      <w:numFmt w:val="decimal"/>
      <w:lvlText w:val="%1."/>
      <w:lvlJc w:val="left"/>
      <w:pPr>
        <w:tabs>
          <w:tab w:val="left" w:pos="900"/>
        </w:tabs>
        <w:ind w:left="540" w:hanging="36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D324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1143</Words>
  <Characters>7931</Characters>
  <TotalTime>0</TotalTime>
  <ScaleCrop>false</ScaleCrop>
  <LinksUpToDate>false</LinksUpToDate>
  <CharactersWithSpaces>9029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2025-12-29T12:36:00Z</dcterms:created>
  <dc:creator>html-to-docx</dc:creator>
  <cp:keywords>html-to-docx</cp:keywords>
  <cp:lastModifiedBy>dyx</cp:lastModifiedBy>
  <dcterms:modified xsi:type="dcterms:W3CDTF">2026-01-04T18:31:44Z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37C06DCED623471D836CA4097A2C7CA9_12</vt:lpwstr>
  </property>
</Properties>
</file>