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ight_based_therapies_in_aestheti_48c1b6"/>
      <w:r>
        <w:rPr>
          <w:b/>
          <w:sz w:val="56"/>
        </w:rPr>
        <w:t xml:space="preserve">Light-Based Therapies in Aesthetic Medicine: Clinical Evidence, Mechanisms, and Applications</w:t>
      </w:r>
      <w:bookmarkEnd w:id="0"/>
    </w:p>
    <w:p>
      <w:pPr>
        <w:spacing w:after="210" w:lineRule="auto"/>
      </w:pPr>
      <w:r>
        <w:rPr>
          <w:b/>
        </w:rPr>
        <w:t xml:space="preserve">Prepared for:</w:t>
      </w:r>
      <w:r>
        <w:rPr/>
        <w:t xml:space="preserve"> Medical Policy and Clinical Guidelines Division</w:t>
      </w:r>
      <w:r>
        <w:rPr/>
        <w:br w:type="textWrapping"/>
      </w:r>
      <w:r>
        <w:rPr>
          <w:b/>
        </w:rPr>
        <w:t xml:space="preserve">Date:</w:t>
      </w:r>
      <w:r>
        <w:rPr/>
        <w:t xml:space="preserve"> December 30, 2025</w:t>
      </w:r>
      <w:r>
        <w:rPr/>
        <w:br w:type="textWrapping"/>
      </w:r>
      <w:r>
        <w:rPr>
          <w:b/>
        </w:rPr>
        <w:t xml:space="preserve">Classification:</w:t>
      </w:r>
      <w:r>
        <w:rPr/>
        <w:t xml:space="preserve"> Professional Clinical Reference Document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Light-based therapeutic modalities have become increasingly integrated into aesthetic dermatology practice over the past two decades. This report provides a comprehensive analysis of the major light-based treatment categories—including photobiomodulation (PBM), selective photothermolysis via laser systems, and photodynamic therapy (PDT)—examining their mechanisms of action, clinical evidence bases, applications in aesthetic medicine, and contextual limitations. The report is structured to serve as a reference document for clinicians, institutional policy makers, and informed patients seeking evidence-based understanding of these modalities.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_introduction_and_scope"/>
      <w:r>
        <w:rPr>
          <w:b/>
          <w:sz w:val="42"/>
        </w:rPr>
        <w:t xml:space="preserve">I. Introduction and Scope</w:t>
      </w:r>
      <w:bookmarkEnd w:id="2"/>
    </w:p>
    <w:p>
      <w:pPr>
        <w:spacing w:line="271" w:before="240" w:lineRule="auto"/>
      </w:pPr>
      <w:bookmarkStart w:id="3" w:name="a_definition_and_classification_o_8e7e97"/>
      <w:r>
        <w:rPr>
          <w:b/>
          <w:sz w:val="33"/>
        </w:rPr>
        <w:t xml:space="preserve">A. Definition and Classification of Light-Based Therapies</w:t>
      </w:r>
      <w:bookmarkEnd w:id="3"/>
    </w:p>
    <w:p>
      <w:pPr>
        <w:spacing w:after="210" w:lineRule="auto"/>
      </w:pPr>
      <w:r>
        <w:rPr/>
        <w:t xml:space="preserve">Light-based therapies in aesthetic dermatology comprise a heterogeneous set of devices utilizing electromagnetic radiation at specific wavelengths to modulate biological tissue. These therapies may be categorized as follows:</w:t>
      </w:r>
    </w:p>
    <w:p>
      <w:pPr>
        <w:numPr>
          <w:ilvl w:val="0"/>
          <w:numId w:val="1"/>
        </w:numPr>
        <w:spacing w:after="210" w:lineRule="auto"/>
      </w:pPr>
      <w:r>
        <w:rPr>
          <w:b/>
        </w:rPr>
        <w:t xml:space="preserve">Photobiomodulation (PBM)</w:t>
      </w:r>
      <w:r>
        <w:rPr>
          <w:rFonts w:eastAsia="Georgia" w:cs="Georgia" w:ascii="Georgia" w:hAnsi="Georgia"/>
        </w:rPr>
        <w:t xml:space="preserve">—Also termed "low-level light therapy" (LLLT) or "red/near-infrared light therapy"—uses non-ablative, non-ionizing light (typically 400–1000 nm wavelengths) to stimulate cellular photoacceptor molecules and induce beneficial biological responses[26].</w:t>
      </w:r>
    </w:p>
    <w:p>
      <w:pPr>
        <w:numPr>
          <w:ilvl w:val="0"/>
          <w:numId w:val="1"/>
        </w:numPr>
        <w:spacing w:after="210" w:lineRule="auto"/>
      </w:pPr>
      <w:r>
        <w:rPr>
          <w:b/>
        </w:rPr>
        <w:t xml:space="preserve">Selective Photothermolysis (SPT)</w:t>
      </w:r>
      <w:r>
        <w:rPr>
          <w:rFonts w:eastAsia="Georgia" w:cs="Georgia" w:ascii="Georgia" w:hAnsi="Georgia"/>
        </w:rPr>
        <w:t xml:space="preserve">—A principle-driven approach utilizing laser systems to selectively destroy target tissue chromophores (e.g., melanin, hemoglobin) while minimizing surrounding tissue damage through precise wavelength and pulse-width selection[33].</w:t>
      </w:r>
    </w:p>
    <w:p>
      <w:pPr>
        <w:numPr>
          <w:ilvl w:val="0"/>
          <w:numId w:val="1"/>
        </w:numPr>
        <w:spacing w:after="210" w:lineRule="auto"/>
      </w:pPr>
      <w:r>
        <w:rPr>
          <w:b/>
        </w:rPr>
        <w:t xml:space="preserve">Photodynamic Therapy (PDT)</w:t>
      </w:r>
      <w:r>
        <w:rPr>
          <w:rFonts w:eastAsia="Georgia" w:cs="Georgia" w:ascii="Georgia" w:hAnsi="Georgia"/>
        </w:rPr>
        <w:t xml:space="preserve">—A two-step process combining a photosensitizing agent (e.g., aminolevulinic acid) with visible light activation to generate reactive oxygen species in target tissue[23].</w:t>
      </w:r>
    </w:p>
    <w:p>
      <w:pPr>
        <w:numPr>
          <w:ilvl w:val="0"/>
          <w:numId w:val="1"/>
        </w:numPr>
        <w:spacing w:after="210" w:lineRule="auto"/>
      </w:pPr>
      <w:r>
        <w:rPr>
          <w:b/>
        </w:rPr>
        <w:t xml:space="preserve">Systemic and Localized Phototherapy</w:t>
      </w:r>
      <w:r>
        <w:rPr>
          <w:rFonts w:eastAsia="Georgia" w:cs="Georgia" w:ascii="Georgia" w:hAnsi="Georgia"/>
        </w:rPr>
        <w:t xml:space="preserve">—Including narrowband UVB (NB-UVB) and excimer laser treatments, primarily used for inflammatory dermatoses rather than purely aesthetic applications, though with cosmetic benefits in certain conditions.</w:t>
      </w:r>
    </w:p>
    <w:p>
      <w:pPr>
        <w:spacing w:line="271" w:before="240" w:lineRule="auto"/>
      </w:pPr>
      <w:bookmarkStart w:id="4" w:name="b_regulatory_context"/>
      <w:r>
        <w:rPr>
          <w:b/>
          <w:sz w:val="33"/>
        </w:rPr>
        <w:t xml:space="preserve">B. Regulatory Context</w:t>
      </w:r>
      <w:bookmarkEnd w:id="4"/>
    </w:p>
    <w:p>
      <w:pPr>
        <w:spacing w:after="210" w:lineRule="auto"/>
      </w:pPr>
      <w:r>
        <w:rPr/>
        <w:t xml:space="preserve">According to the U.S. Food and Drug Administration (FDA), light-based therapeutic devices are classified as Class II medical devices and are subject to 510(k) premarket notification requirements[24]. Recent approvals include the RhodoLED XL lamp for photodynamic therapy in the treatment of actinic keratosis (approved July 2024), and multiple LED and laser systems for various aesthetic and therapeutic indications[22].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ii_photobiomodulation_mechanisms_bd74e1"/>
      <w:r>
        <w:rPr>
          <w:b/>
          <w:sz w:val="42"/>
        </w:rPr>
        <w:t xml:space="preserve">II. Photobiomodulation: Mechanisms and Clinical Applications</w:t>
      </w:r>
      <w:bookmarkEnd w:id="5"/>
    </w:p>
    <w:p>
      <w:pPr>
        <w:spacing w:line="271" w:before="240" w:lineRule="auto"/>
      </w:pPr>
      <w:bookmarkStart w:id="6" w:name="a_biophysical_mechanisms"/>
      <w:r>
        <w:rPr>
          <w:b/>
          <w:sz w:val="33"/>
        </w:rPr>
        <w:t xml:space="preserve">A. Biophysical Mechanisms</w:t>
      </w:r>
      <w:bookmarkEnd w:id="6"/>
    </w:p>
    <w:p>
      <w:pPr>
        <w:spacing w:line="271" w:before="240" w:lineRule="auto"/>
      </w:pPr>
      <w:bookmarkStart w:id="7" w:name="bm_1_cellular_chromophore_interactions"/>
      <w:r>
        <w:rPr>
          <w:b/>
          <w:sz w:val="28"/>
        </w:rPr>
        <w:t xml:space="preserve">1. Cellular Chromophore Interactions</w:t>
      </w:r>
      <w:bookmarkEnd w:id="7"/>
    </w:p>
    <w:p>
      <w:pPr>
        <w:spacing w:after="210" w:lineRule="auto"/>
      </w:pPr>
      <w:r>
        <w:rPr>
          <w:rFonts w:eastAsia="Georgia" w:cs="Georgia" w:ascii="Georgia" w:hAnsi="Georgia"/>
        </w:rPr>
        <w:t xml:space="preserve">The primary mechanism of photobiomodulation involves the interaction between photons in the visible and near-infrared spectrum (approximately 600–1000 nm) and </w:t>
      </w:r>
      <w:r>
        <w:rPr>
          <w:i/>
        </w:rPr>
        <w:t xml:space="preserve">chromophores</w:t>
      </w:r>
      <w:r>
        <w:rPr>
          <w:rFonts w:eastAsia="Georgia" w:cs="Georgia" w:ascii="Georgia" w:hAnsi="Georgia"/>
        </w:rPr>
        <w:t xml:space="preserve">—light-absorbing molecules within mitochondria. The principal target is </w:t>
      </w:r>
      <w:r>
        <w:rPr>
          <w:b/>
        </w:rPr>
        <w:t xml:space="preserve">cytochrome c oxidase (CCO)</w:t>
      </w:r>
      <w:r>
        <w:rPr/>
        <w:t xml:space="preserve">, a component of the electron transport chain in mitochondrial complex IV.</w:t>
      </w:r>
    </w:p>
    <w:p>
      <w:pPr>
        <w:spacing w:after="210" w:lineRule="auto"/>
      </w:pPr>
      <w:r>
        <w:rPr>
          <w:rFonts w:eastAsia="Georgia" w:cs="Georgia" w:ascii="Georgia" w:hAnsi="Georgia"/>
        </w:rPr>
        <w:t xml:space="preserve">When PBM light at specific wavelengths (particularly in the red [600–700 nm] and near-infrared [700–1000 nm] ranges) is absorbed by CCO, it restores electron transfer, enhancing adenosine triphosphate (ATP) production, reducing mitochondrial oxidative stress, and downregulating local inflammatory signaling cascades[31].</w:t>
      </w:r>
    </w:p>
    <w:p>
      <w:pPr>
        <w:spacing w:line="271" w:before="240" w:lineRule="auto"/>
      </w:pPr>
      <w:bookmarkStart w:id="8" w:name="bm_2_downstream_biological_responses"/>
      <w:r>
        <w:rPr>
          <w:b/>
          <w:sz w:val="28"/>
        </w:rPr>
        <w:t xml:space="preserve">2. Downstream Biological Responses</w:t>
      </w:r>
      <w:bookmarkEnd w:id="8"/>
    </w:p>
    <w:p>
      <w:pPr>
        <w:spacing w:after="210" w:lineRule="auto"/>
      </w:pPr>
      <w:r>
        <w:rPr/>
        <w:t xml:space="preserve">This bioenergetic effect cascades into several observable physiological changes:</w:t>
      </w:r>
    </w:p>
    <w:p>
      <w:pPr>
        <w:numPr>
          <w:ilvl w:val="0"/>
          <w:numId w:val="2"/>
        </w:numPr>
        <w:spacing w:lineRule="auto"/>
      </w:pPr>
      <w:r>
        <w:rPr>
          <w:b/>
        </w:rPr>
        <w:t xml:space="preserve">Increased collagen synthesis:</w:t>
      </w:r>
      <w:r>
        <w:rPr/>
        <w:t xml:space="preserve"> PBM stimulates fibroblasts to upregulate type I and III collagen production, with histopathologic confirmation in multiple clinical trials[26].</w:t>
      </w:r>
    </w:p>
    <w:p>
      <w:pPr>
        <w:numPr>
          <w:ilvl w:val="0"/>
          <w:numId w:val="2"/>
        </w:numPr>
        <w:spacing w:lineRule="auto"/>
      </w:pPr>
      <w:r>
        <w:rPr>
          <w:b/>
        </w:rPr>
        <w:t xml:space="preserve">Enhanced tissue perfusion and oxygenation:</w:t>
      </w:r>
      <w:r>
        <w:rPr/>
        <w:t xml:space="preserve"> Improved ATP availability supports endothelial function and microvascular blood flow.</w:t>
      </w:r>
    </w:p>
    <w:p>
      <w:pPr>
        <w:numPr>
          <w:ilvl w:val="0"/>
          <w:numId w:val="2"/>
        </w:numPr>
        <w:spacing w:lineRule="auto"/>
      </w:pPr>
      <w:r>
        <w:rPr>
          <w:b/>
        </w:rPr>
        <w:t xml:space="preserve">Modulation of inflammatory mediators:</w:t>
      </w:r>
      <w:r>
        <w:rPr>
          <w:rFonts w:eastAsia="Georgia" w:cs="Georgia" w:ascii="Georgia" w:hAnsi="Georgia"/>
        </w:rPr>
        <w:t xml:space="preserve"> PBM reduces pro-inflammatory cytokine production (e.g., TNF-α, IL-6) while promoting anti-inflammatory signaling[31].</w:t>
      </w:r>
    </w:p>
    <w:p>
      <w:pPr>
        <w:spacing w:line="271" w:before="240" w:lineRule="auto"/>
      </w:pPr>
      <w:bookmarkStart w:id="9" w:name="b_clinical_applications_and_evidence"/>
      <w:r>
        <w:rPr>
          <w:b/>
          <w:sz w:val="33"/>
        </w:rPr>
        <w:t xml:space="preserve">B. Clinical Applications and Evidence</w:t>
      </w:r>
      <w:bookmarkEnd w:id="9"/>
    </w:p>
    <w:p>
      <w:pPr>
        <w:spacing w:line="271" w:before="240" w:lineRule="auto"/>
      </w:pPr>
      <w:bookmarkStart w:id="10" w:name="bm_1_skin_rejuvenation_and_photoaging"/>
      <w:r>
        <w:rPr>
          <w:b/>
          <w:sz w:val="28"/>
        </w:rPr>
        <w:t xml:space="preserve">1. Skin Rejuvenation and Photoaging</w:t>
      </w:r>
      <w:bookmarkEnd w:id="10"/>
    </w:p>
    <w:p>
      <w:pPr>
        <w:spacing w:after="210" w:lineRule="auto"/>
      </w:pPr>
      <w:r>
        <w:rPr>
          <w:rFonts w:eastAsia="Georgia" w:cs="Georgia" w:ascii="Georgia" w:hAnsi="Georgia"/>
        </w:rPr>
        <w:t xml:space="preserve">Skin photoaging—characterized by fine lines, rough texture, loss of elasticity, and uneven pigmentation—represents a primary aesthetic indication for PBM. A systematic review of clinical trials for aesthetic PBM applications found consistent evidence for improvement in wrinkle appearance, skin surface topology, and dermal collagen and elastin production[26].</w:t>
      </w:r>
    </w:p>
    <w:p>
      <w:pPr>
        <w:spacing w:after="210" w:lineRule="auto"/>
      </w:pPr>
      <w:r>
        <w:rPr>
          <w:b/>
        </w:rPr>
        <w:t xml:space="preserve">Table 1: Clinical Evidence Summary for Photobiomodulation in Skin Rejuvenation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086"/>
        <w:gridCol w:w="1086"/>
        <w:gridCol w:w="1086"/>
        <w:gridCol w:w="1086"/>
        <w:gridCol w:w="1086"/>
        <w:gridCol w:w="1086"/>
        <w:gridCol w:w="1086"/>
        <w:gridCol w:w="1086"/>
      </w:tblGrid>
      <w:tr>
        <w:trPr>
          <w:cantSplit/>
        </w:trPr>
        <w:tc>
          <w:tcPr>
            <w:tcBorders>
              <w:top w:val="single" w:sz="1" w:space="0" w:color="000000"/>
              <w:bottom w:val="single" w:sz="1" w:space="0" w:color="000000"/>
              <w:right w:val="single" w:sz="1" w:space="0" w:color="000000"/>
            </w:tcBorders>
          </w:tcPr>
          <w:p>
            <w:pPr>
              <w:spacing w:lineRule="auto"/>
              <w:jc w:val="left"/>
            </w:pPr>
            <w:r>
              <w:rPr/>
              <w:t xml:space="preserve">Study</w:t>
            </w:r>
          </w:p>
        </w:tc>
        <w:tc>
          <w:tcPr>
            <w:tcBorders>
              <w:top w:val="single" w:sz="1" w:space="0" w:color="000000"/>
              <w:bottom w:val="single" w:sz="1" w:space="0" w:color="000000"/>
              <w:right w:val="single" w:sz="1" w:space="0" w:color="000000"/>
            </w:tcBorders>
          </w:tcPr>
          <w:p>
            <w:pPr>
              <w:spacing w:lineRule="auto"/>
              <w:jc w:val="left"/>
            </w:pPr>
            <w:r>
              <w:rPr/>
              <w:t xml:space="preserve">Year</w:t>
            </w:r>
          </w:p>
        </w:tc>
        <w:tc>
          <w:tcPr>
            <w:tcBorders>
              <w:top w:val="single" w:sz="1" w:space="0" w:color="000000"/>
              <w:bottom w:val="single" w:sz="1" w:space="0" w:color="000000"/>
              <w:right w:val="single" w:sz="1" w:space="0" w:color="000000"/>
            </w:tcBorders>
          </w:tcPr>
          <w:p>
            <w:pPr>
              <w:spacing w:lineRule="auto"/>
              <w:jc w:val="left"/>
            </w:pPr>
            <w:r>
              <w:rPr/>
              <w:t xml:space="preserve">Light Source</w:t>
            </w:r>
          </w:p>
        </w:tc>
        <w:tc>
          <w:tcPr>
            <w:tcBorders>
              <w:top w:val="single" w:sz="1" w:space="0" w:color="000000"/>
              <w:bottom w:val="single" w:sz="1" w:space="0" w:color="000000"/>
              <w:right w:val="single" w:sz="1" w:space="0" w:color="000000"/>
            </w:tcBorders>
          </w:tcPr>
          <w:p>
            <w:pPr>
              <w:spacing w:lineRule="auto"/>
              <w:jc w:val="left"/>
            </w:pPr>
            <w:r>
              <w:rPr/>
              <w:t xml:space="preserve">Wavelength(s) (nm)</w:t>
            </w:r>
          </w:p>
        </w:tc>
        <w:tc>
          <w:tcPr>
            <w:tcBorders>
              <w:top w:val="single" w:sz="1" w:space="0" w:color="000000"/>
              <w:bottom w:val="single" w:sz="1" w:space="0" w:color="000000"/>
              <w:right w:val="single" w:sz="1" w:space="0" w:color="000000"/>
            </w:tcBorders>
          </w:tcPr>
          <w:p>
            <w:pPr>
              <w:spacing w:lineRule="auto"/>
              <w:jc w:val="left"/>
            </w:pPr>
            <w:r>
              <w:rPr/>
              <w:t xml:space="preserve">Study Design</w:t>
            </w:r>
          </w:p>
        </w:tc>
        <w:tc>
          <w:tcPr>
            <w:tcBorders>
              <w:top w:val="single" w:sz="1" w:space="0" w:color="000000"/>
              <w:bottom w:val="single" w:sz="1" w:space="0" w:color="000000"/>
              <w:right w:val="single" w:sz="1" w:space="0" w:color="000000"/>
            </w:tcBorders>
          </w:tcPr>
          <w:p>
            <w:pPr>
              <w:spacing w:lineRule="auto"/>
              <w:jc w:val="left"/>
            </w:pPr>
            <w:r>
              <w:rPr/>
              <w:t xml:space="preserve">Primary Outcome</w:t>
            </w:r>
          </w:p>
        </w:tc>
        <w:tc>
          <w:tcPr>
            <w:tcBorders>
              <w:top w:val="single" w:sz="1" w:space="0" w:color="000000"/>
              <w:bottom w:val="single" w:sz="1" w:space="0" w:color="000000"/>
              <w:right w:val="single" w:sz="1" w:space="0" w:color="000000"/>
            </w:tcBorders>
          </w:tcPr>
          <w:p>
            <w:pPr>
              <w:spacing w:lineRule="auto"/>
              <w:jc w:val="left"/>
            </w:pPr>
            <w:r>
              <w:rPr/>
              <w:t xml:space="preserve">Efficacy Result</w:t>
            </w:r>
          </w:p>
        </w:tc>
        <w:tc>
          <w:tcPr>
            <w:tcBorders>
              <w:top w:val="single" w:sz="1" w:space="0" w:color="000000"/>
              <w:bottom w:val="single" w:sz="1" w:space="0" w:color="000000"/>
            </w:tcBorders>
          </w:tcPr>
          <w:p>
            <w:pPr>
              <w:spacing w:lineRule="auto"/>
              <w:jc w:val="left"/>
            </w:pPr>
            <w:r>
              <w:rPr/>
              <w:t xml:space="preserve">Safety Profile</w:t>
            </w:r>
          </w:p>
        </w:tc>
      </w:tr>
      <w:tr>
        <w:trPr>
          <w:cantSplit/>
        </w:trPr>
        <w:tc>
          <w:tcPr>
            <w:tcBorders>
              <w:top w:val="single" w:sz="1" w:space="0" w:color="000000"/>
              <w:bottom w:val="single" w:sz="1" w:space="0" w:color="000000"/>
              <w:right w:val="single" w:sz="1" w:space="0" w:color="000000"/>
            </w:tcBorders>
          </w:tcPr>
          <w:p>
            <w:pPr>
              <w:spacing w:lineRule="auto"/>
              <w:jc w:val="left"/>
            </w:pPr>
            <w:r>
              <w:rPr/>
              <w:t xml:space="preserve">Guermonprez et al.</w:t>
            </w:r>
          </w:p>
        </w:tc>
        <w:tc>
          <w:tcPr>
            <w:tcBorders>
              <w:top w:val="single" w:sz="1" w:space="0" w:color="000000"/>
              <w:bottom w:val="single" w:sz="1" w:space="0" w:color="000000"/>
              <w:right w:val="single" w:sz="1" w:space="0" w:color="000000"/>
            </w:tcBorders>
          </w:tcPr>
          <w:p>
            <w:pPr>
              <w:spacing w:lineRule="auto"/>
              <w:jc w:val="left"/>
            </w:pPr>
            <w:r>
              <w:rPr/>
              <w:t xml:space="preserve">2020</w:t>
            </w:r>
          </w:p>
        </w:tc>
        <w:tc>
          <w:tcPr>
            <w:tcBorders>
              <w:top w:val="single" w:sz="1" w:space="0" w:color="000000"/>
              <w:bottom w:val="single" w:sz="1" w:space="0" w:color="000000"/>
              <w:right w:val="single" w:sz="1" w:space="0" w:color="000000"/>
            </w:tcBorders>
          </w:tcPr>
          <w:p>
            <w:pPr>
              <w:spacing w:lineRule="auto"/>
              <w:jc w:val="left"/>
            </w:pPr>
            <w:r>
              <w:rPr/>
              <w:t xml:space="preserve">LED</w:t>
            </w:r>
          </w:p>
        </w:tc>
        <w:tc>
          <w:tcPr>
            <w:tcBorders>
              <w:top w:val="single" w:sz="1" w:space="0" w:color="000000"/>
              <w:bottom w:val="single" w:sz="1" w:space="0" w:color="000000"/>
              <w:right w:val="single" w:sz="1" w:space="0" w:color="000000"/>
            </w:tcBorders>
          </w:tcPr>
          <w:p>
            <w:pPr>
              <w:spacing w:lineRule="auto"/>
              <w:jc w:val="left"/>
            </w:pPr>
            <w:r>
              <w:rPr/>
              <w:t xml:space="preserve">440, 660, 780</w:t>
            </w:r>
          </w:p>
        </w:tc>
        <w:tc>
          <w:tcPr>
            <w:tcBorders>
              <w:top w:val="single" w:sz="1" w:space="0" w:color="000000"/>
              <w:bottom w:val="single" w:sz="1" w:space="0" w:color="000000"/>
              <w:right w:val="single" w:sz="1" w:space="0" w:color="000000"/>
            </w:tcBorders>
          </w:tcPr>
          <w:p>
            <w:pPr>
              <w:spacing w:lineRule="auto"/>
              <w:jc w:val="left"/>
            </w:pPr>
            <w:r>
              <w:rPr/>
              <w:t xml:space="preserve">Prospective split-face cohort</w:t>
            </w:r>
          </w:p>
        </w:tc>
        <w:tc>
          <w:tcPr>
            <w:tcBorders>
              <w:top w:val="single" w:sz="1" w:space="0" w:color="000000"/>
              <w:bottom w:val="single" w:sz="1" w:space="0" w:color="000000"/>
              <w:right w:val="single" w:sz="1" w:space="0" w:color="000000"/>
            </w:tcBorders>
          </w:tcPr>
          <w:p>
            <w:pPr>
              <w:spacing w:lineRule="auto"/>
              <w:jc w:val="left"/>
            </w:pPr>
            <w:r>
              <w:rPr/>
              <w:t xml:space="preserve">Skin surface topography (wrinkles, texture)</w:t>
            </w:r>
          </w:p>
        </w:tc>
        <w:tc>
          <w:tcPr>
            <w:tcBorders>
              <w:top w:val="single" w:sz="1" w:space="0" w:color="000000"/>
              <w:bottom w:val="single" w:sz="1" w:space="0" w:color="000000"/>
              <w:right w:val="single" w:sz="1" w:space="0" w:color="000000"/>
            </w:tcBorders>
          </w:tcPr>
          <w:p>
            <w:pPr>
              <w:spacing w:lineRule="auto"/>
              <w:jc w:val="left"/>
            </w:pPr>
            <w:r>
              <w:rPr/>
              <w:t xml:space="preserve">PBM + serum superior to serum alone</w:t>
            </w:r>
          </w:p>
        </w:tc>
        <w:tc>
          <w:tcPr>
            <w:tcBorders>
              <w:top w:val="single" w:sz="1" w:space="0" w:color="000000"/>
              <w:bottom w:val="single" w:sz="1" w:space="0" w:color="000000"/>
            </w:tcBorders>
          </w:tcPr>
          <w:p>
            <w:pPr>
              <w:spacing w:lineRule="auto"/>
              <w:jc w:val="left"/>
            </w:pPr>
            <w:r>
              <w:rPr/>
              <w:t xml:space="preserve">No adverse effects</w:t>
            </w:r>
          </w:p>
        </w:tc>
      </w:tr>
      <w:tr>
        <w:trPr>
          <w:cantSplit/>
        </w:trPr>
        <w:tc>
          <w:tcPr>
            <w:tcBorders>
              <w:top w:val="single" w:sz="1" w:space="0" w:color="000000"/>
              <w:bottom w:val="single" w:sz="1" w:space="0" w:color="000000"/>
              <w:right w:val="single" w:sz="1" w:space="0" w:color="000000"/>
            </w:tcBorders>
          </w:tcPr>
          <w:p>
            <w:pPr>
              <w:spacing w:lineRule="auto"/>
              <w:jc w:val="left"/>
            </w:pPr>
            <w:r>
              <w:rPr/>
              <w:t xml:space="preserve">Wunsch et al.</w:t>
            </w:r>
          </w:p>
        </w:tc>
        <w:tc>
          <w:tcPr>
            <w:tcBorders>
              <w:top w:val="single" w:sz="1" w:space="0" w:color="000000"/>
              <w:bottom w:val="single" w:sz="1" w:space="0" w:color="000000"/>
              <w:right w:val="single" w:sz="1" w:space="0" w:color="000000"/>
            </w:tcBorders>
          </w:tcPr>
          <w:p>
            <w:pPr>
              <w:spacing w:lineRule="auto"/>
              <w:jc w:val="left"/>
            </w:pPr>
            <w:r>
              <w:rPr/>
              <w:t xml:space="preserve">2014</w:t>
            </w:r>
          </w:p>
        </w:tc>
        <w:tc>
          <w:tcPr>
            <w:tcBorders>
              <w:top w:val="single" w:sz="1" w:space="0" w:color="000000"/>
              <w:bottom w:val="single" w:sz="1" w:space="0" w:color="000000"/>
              <w:right w:val="single" w:sz="1" w:space="0" w:color="000000"/>
            </w:tcBorders>
          </w:tcPr>
          <w:p>
            <w:pPr>
              <w:spacing w:lineRule="auto"/>
              <w:jc w:val="left"/>
            </w:pPr>
            <w:r>
              <w:rPr/>
              <w:t xml:space="preserve">Filtered polychromatic light</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611–650</w:t>
            </w:r>
          </w:p>
        </w:tc>
        <w:tc>
          <w:tcPr>
            <w:tcBorders>
              <w:top w:val="single" w:sz="1" w:space="0" w:color="000000"/>
              <w:bottom w:val="single" w:sz="1" w:space="0" w:color="000000"/>
              <w:right w:val="single" w:sz="1" w:space="0" w:color="000000"/>
            </w:tcBorders>
          </w:tcPr>
          <w:p>
            <w:pPr>
              <w:spacing w:lineRule="auto"/>
              <w:jc w:val="left"/>
            </w:pPr>
            <w:r>
              <w:rPr/>
              <w:t xml:space="preserve">Double-blind RCT</w:t>
            </w:r>
          </w:p>
        </w:tc>
        <w:tc>
          <w:tcPr>
            <w:tcBorders>
              <w:top w:val="single" w:sz="1" w:space="0" w:color="000000"/>
              <w:bottom w:val="single" w:sz="1" w:space="0" w:color="000000"/>
              <w:right w:val="single" w:sz="1" w:space="0" w:color="000000"/>
            </w:tcBorders>
          </w:tcPr>
          <w:p>
            <w:pPr>
              <w:spacing w:lineRule="auto"/>
              <w:jc w:val="left"/>
            </w:pPr>
            <w:r>
              <w:rPr/>
              <w:t xml:space="preserve">Wrinkle reduction and collagen production</w:t>
            </w:r>
          </w:p>
        </w:tc>
        <w:tc>
          <w:tcPr>
            <w:tcBorders>
              <w:top w:val="single" w:sz="1" w:space="0" w:color="000000"/>
              <w:bottom w:val="single" w:sz="1" w:space="0" w:color="000000"/>
              <w:right w:val="single" w:sz="1" w:space="0" w:color="000000"/>
            </w:tcBorders>
          </w:tcPr>
          <w:p>
            <w:pPr>
              <w:spacing w:lineRule="auto"/>
              <w:jc w:val="left"/>
            </w:pPr>
            <w:r>
              <w:rPr/>
              <w:t xml:space="preserve">Light enhanced dermal collagen (ultrasound); improved blinded appearance</w:t>
            </w:r>
          </w:p>
        </w:tc>
        <w:tc>
          <w:tcPr>
            <w:tcBorders>
              <w:top w:val="single" w:sz="1" w:space="0" w:color="000000"/>
              <w:bottom w:val="single" w:sz="1" w:space="0" w:color="000000"/>
            </w:tcBorders>
          </w:tcPr>
          <w:p>
            <w:pPr>
              <w:spacing w:lineRule="auto"/>
              <w:jc w:val="left"/>
            </w:pPr>
            <w:r>
              <w:rPr/>
              <w:t xml:space="preserve">Temporary facial erythema (1 case)</w:t>
            </w:r>
          </w:p>
        </w:tc>
      </w:tr>
      <w:tr>
        <w:trPr>
          <w:cantSplit/>
        </w:trPr>
        <w:tc>
          <w:tcPr>
            <w:tcBorders>
              <w:top w:val="single" w:sz="1" w:space="0" w:color="000000"/>
              <w:bottom w:val="single" w:sz="1" w:space="0" w:color="000000"/>
              <w:right w:val="single" w:sz="1" w:space="0" w:color="000000"/>
            </w:tcBorders>
          </w:tcPr>
          <w:p>
            <w:pPr>
              <w:spacing w:lineRule="auto"/>
              <w:jc w:val="left"/>
            </w:pPr>
            <w:r>
              <w:rPr/>
              <w:t xml:space="preserve">Tanaka et al.</w:t>
            </w:r>
          </w:p>
        </w:tc>
        <w:tc>
          <w:tcPr>
            <w:tcBorders>
              <w:top w:val="single" w:sz="1" w:space="0" w:color="000000"/>
              <w:bottom w:val="single" w:sz="1" w:space="0" w:color="000000"/>
              <w:right w:val="single" w:sz="1" w:space="0" w:color="000000"/>
            </w:tcBorders>
          </w:tcPr>
          <w:p>
            <w:pPr>
              <w:spacing w:lineRule="auto"/>
              <w:jc w:val="left"/>
            </w:pPr>
            <w:r>
              <w:rPr/>
              <w:t xml:space="preserve">2011</w:t>
            </w:r>
          </w:p>
        </w:tc>
        <w:tc>
          <w:tcPr>
            <w:tcBorders>
              <w:top w:val="single" w:sz="1" w:space="0" w:color="000000"/>
              <w:bottom w:val="single" w:sz="1" w:space="0" w:color="000000"/>
              <w:right w:val="single" w:sz="1" w:space="0" w:color="000000"/>
            </w:tcBorders>
          </w:tcPr>
          <w:p>
            <w:pPr>
              <w:spacing w:lineRule="auto"/>
              <w:jc w:val="left"/>
            </w:pPr>
            <w:r>
              <w:rPr/>
              <w:t xml:space="preserve">Nd:YAG Laser (1064 nm)</w:t>
            </w:r>
          </w:p>
        </w:tc>
        <w:tc>
          <w:tcPr>
            <w:tcBorders>
              <w:top w:val="single" w:sz="1" w:space="0" w:color="000000"/>
              <w:bottom w:val="single" w:sz="1" w:space="0" w:color="000000"/>
              <w:right w:val="single" w:sz="1" w:space="0" w:color="000000"/>
            </w:tcBorders>
          </w:tcPr>
          <w:p>
            <w:pPr>
              <w:spacing w:lineRule="auto"/>
              <w:jc w:val="left"/>
            </w:pPr>
            <w:r>
              <w:rPr/>
              <w:t xml:space="preserve">1064</w:t>
            </w:r>
          </w:p>
        </w:tc>
        <w:tc>
          <w:tcPr>
            <w:tcBorders>
              <w:top w:val="single" w:sz="1" w:space="0" w:color="000000"/>
              <w:bottom w:val="single" w:sz="1" w:space="0" w:color="000000"/>
              <w:right w:val="single" w:sz="1" w:space="0" w:color="000000"/>
            </w:tcBorders>
          </w:tcPr>
          <w:p>
            <w:pPr>
              <w:spacing w:lineRule="auto"/>
              <w:jc w:val="left"/>
            </w:pPr>
            <w:r>
              <w:rPr/>
              <w:t xml:space="preserve">Prospective cohort</w:t>
            </w:r>
          </w:p>
        </w:tc>
        <w:tc>
          <w:tcPr>
            <w:tcBorders>
              <w:top w:val="single" w:sz="1" w:space="0" w:color="000000"/>
              <w:bottom w:val="single" w:sz="1" w:space="0" w:color="000000"/>
              <w:right w:val="single" w:sz="1" w:space="0" w:color="000000"/>
            </w:tcBorders>
          </w:tcPr>
          <w:p>
            <w:pPr>
              <w:spacing w:lineRule="auto"/>
              <w:jc w:val="left"/>
            </w:pPr>
            <w:r>
              <w:rPr/>
              <w:t xml:space="preserve">Dermal elastin and surface topography</w:t>
            </w:r>
          </w:p>
        </w:tc>
        <w:tc>
          <w:tcPr>
            <w:tcBorders>
              <w:top w:val="single" w:sz="1" w:space="0" w:color="000000"/>
              <w:bottom w:val="single" w:sz="1" w:space="0" w:color="000000"/>
              <w:right w:val="single" w:sz="1" w:space="0" w:color="000000"/>
            </w:tcBorders>
          </w:tcPr>
          <w:p>
            <w:pPr>
              <w:spacing w:lineRule="auto"/>
              <w:jc w:val="left"/>
            </w:pPr>
            <w:r>
              <w:rPr/>
              <w:t xml:space="preserve">Enhanced elastin production (histopathology); improved texture</w:t>
            </w:r>
          </w:p>
        </w:tc>
        <w:tc>
          <w:tcPr>
            <w:tcBorders>
              <w:top w:val="single" w:sz="1" w:space="0" w:color="000000"/>
              <w:bottom w:val="single" w:sz="1" w:space="0" w:color="000000"/>
            </w:tcBorders>
          </w:tcPr>
          <w:p>
            <w:pPr>
              <w:spacing w:lineRule="auto"/>
              <w:jc w:val="left"/>
            </w:pPr>
            <w:r>
              <w:rPr/>
              <w:t xml:space="preserve">No adverse effects</w:t>
            </w:r>
          </w:p>
        </w:tc>
      </w:tr>
      <w:tr>
        <w:trPr>
          <w:cantSplit/>
        </w:trPr>
        <w:tc>
          <w:tcPr>
            <w:tcBorders>
              <w:top w:val="single" w:sz="1" w:space="0" w:color="000000"/>
              <w:bottom w:val="single" w:sz="1" w:space="0" w:color="000000"/>
              <w:right w:val="single" w:sz="1" w:space="0" w:color="000000"/>
            </w:tcBorders>
          </w:tcPr>
          <w:p>
            <w:pPr>
              <w:spacing w:lineRule="auto"/>
              <w:jc w:val="left"/>
            </w:pPr>
            <w:r>
              <w:rPr/>
              <w:t xml:space="preserve">Shaoul &amp; Mulholland</w:t>
            </w:r>
          </w:p>
        </w:tc>
        <w:tc>
          <w:tcPr>
            <w:tcBorders>
              <w:top w:val="single" w:sz="1" w:space="0" w:color="000000"/>
              <w:bottom w:val="single" w:sz="1" w:space="0" w:color="000000"/>
              <w:right w:val="single" w:sz="1" w:space="0" w:color="000000"/>
            </w:tcBorders>
          </w:tcPr>
          <w:p>
            <w:pPr>
              <w:spacing w:lineRule="auto"/>
              <w:jc w:val="left"/>
            </w:pPr>
            <w:r>
              <w:rPr/>
              <w:t xml:space="preserve">2011</w:t>
            </w:r>
          </w:p>
        </w:tc>
        <w:tc>
          <w:tcPr>
            <w:tcBorders>
              <w:top w:val="single" w:sz="1" w:space="0" w:color="000000"/>
              <w:bottom w:val="single" w:sz="1" w:space="0" w:color="000000"/>
              <w:right w:val="single" w:sz="1" w:space="0" w:color="000000"/>
            </w:tcBorders>
          </w:tcPr>
          <w:p>
            <w:pPr>
              <w:spacing w:lineRule="auto"/>
              <w:jc w:val="left"/>
            </w:pPr>
            <w:r>
              <w:rPr/>
              <w:t xml:space="preserve">LED</w:t>
            </w:r>
          </w:p>
        </w:tc>
        <w:tc>
          <w:tcPr>
            <w:tcBorders>
              <w:top w:val="single" w:sz="1" w:space="0" w:color="000000"/>
              <w:bottom w:val="single" w:sz="1" w:space="0" w:color="000000"/>
              <w:right w:val="single" w:sz="1" w:space="0" w:color="000000"/>
            </w:tcBorders>
          </w:tcPr>
          <w:p>
            <w:pPr>
              <w:spacing w:lineRule="auto"/>
              <w:jc w:val="left"/>
            </w:pPr>
            <w:r>
              <w:rPr/>
              <w:t xml:space="preserve">Red, near-infrared</w:t>
            </w:r>
          </w:p>
        </w:tc>
        <w:tc>
          <w:tcPr>
            <w:tcBorders>
              <w:top w:val="single" w:sz="1" w:space="0" w:color="000000"/>
              <w:bottom w:val="single" w:sz="1" w:space="0" w:color="000000"/>
              <w:right w:val="single" w:sz="1" w:space="0" w:color="000000"/>
            </w:tcBorders>
          </w:tcPr>
          <w:p>
            <w:pPr>
              <w:spacing w:lineRule="auto"/>
              <w:jc w:val="left"/>
            </w:pPr>
            <w:r>
              <w:rPr/>
              <w:t xml:space="preserve">Prospective cohort</w:t>
            </w:r>
          </w:p>
        </w:tc>
        <w:tc>
          <w:tcPr>
            <w:tcBorders>
              <w:top w:val="single" w:sz="1" w:space="0" w:color="000000"/>
              <w:bottom w:val="single" w:sz="1" w:space="0" w:color="000000"/>
              <w:right w:val="single" w:sz="1" w:space="0" w:color="000000"/>
            </w:tcBorders>
          </w:tcPr>
          <w:p>
            <w:pPr>
              <w:spacing w:lineRule="auto"/>
              <w:jc w:val="left"/>
            </w:pPr>
            <w:r>
              <w:rPr/>
              <w:t xml:space="preserve">Photodamage grading (Glogau scale)</w:t>
            </w:r>
          </w:p>
        </w:tc>
        <w:tc>
          <w:tcPr>
            <w:tcBorders>
              <w:top w:val="single" w:sz="1" w:space="0" w:color="000000"/>
              <w:bottom w:val="single" w:sz="1" w:space="0" w:color="000000"/>
              <w:right w:val="single" w:sz="1" w:space="0" w:color="000000"/>
            </w:tcBorders>
          </w:tcPr>
          <w:p>
            <w:pPr>
              <w:spacing w:lineRule="auto"/>
              <w:jc w:val="left"/>
            </w:pPr>
            <w:r>
              <w:rPr/>
              <w:t xml:space="preserve">Improvement in nearly all cases (blinded assessment)</w:t>
            </w:r>
          </w:p>
        </w:tc>
        <w:tc>
          <w:tcPr>
            <w:tcBorders>
              <w:top w:val="single" w:sz="1" w:space="0" w:color="000000"/>
              <w:bottom w:val="single" w:sz="1" w:space="0" w:color="000000"/>
            </w:tcBorders>
          </w:tcPr>
          <w:p>
            <w:pPr>
              <w:spacing w:lineRule="auto"/>
              <w:jc w:val="left"/>
            </w:pPr>
            <w:r>
              <w:rPr/>
              <w:t xml:space="preserve">No adverse events</w:t>
            </w:r>
          </w:p>
        </w:tc>
      </w:tr>
      <w:tr>
        <w:trPr>
          <w:cantSplit/>
        </w:trPr>
        <w:tc>
          <w:tcPr>
            <w:tcBorders>
              <w:top w:val="single" w:sz="1" w:space="0" w:color="000000"/>
              <w:bottom w:val="single" w:sz="1" w:space="0" w:color="000000"/>
              <w:right w:val="single" w:sz="1" w:space="0" w:color="000000"/>
            </w:tcBorders>
          </w:tcPr>
          <w:p>
            <w:pPr>
              <w:spacing w:lineRule="auto"/>
              <w:jc w:val="left"/>
            </w:pPr>
            <w:r>
              <w:rPr/>
              <w:t xml:space="preserve">Sadick</w:t>
            </w:r>
          </w:p>
        </w:tc>
        <w:tc>
          <w:tcPr>
            <w:tcBorders>
              <w:top w:val="single" w:sz="1" w:space="0" w:color="000000"/>
              <w:bottom w:val="single" w:sz="1" w:space="0" w:color="000000"/>
              <w:right w:val="single" w:sz="1" w:space="0" w:color="000000"/>
            </w:tcBorders>
          </w:tcPr>
          <w:p>
            <w:pPr>
              <w:spacing w:lineRule="auto"/>
              <w:jc w:val="left"/>
            </w:pPr>
            <w:r>
              <w:rPr/>
              <w:t xml:space="preserve">2008</w:t>
            </w:r>
          </w:p>
        </w:tc>
        <w:tc>
          <w:tcPr>
            <w:tcBorders>
              <w:top w:val="single" w:sz="1" w:space="0" w:color="000000"/>
              <w:bottom w:val="single" w:sz="1" w:space="0" w:color="000000"/>
              <w:right w:val="single" w:sz="1" w:space="0" w:color="000000"/>
            </w:tcBorders>
          </w:tcPr>
          <w:p>
            <w:pPr>
              <w:spacing w:lineRule="auto"/>
              <w:jc w:val="left"/>
            </w:pPr>
            <w:r>
              <w:rPr/>
              <w:t xml:space="preserve">LED</w:t>
            </w:r>
          </w:p>
        </w:tc>
        <w:tc>
          <w:tcPr>
            <w:tcBorders>
              <w:top w:val="single" w:sz="1" w:space="0" w:color="000000"/>
              <w:bottom w:val="single" w:sz="1" w:space="0" w:color="000000"/>
              <w:right w:val="single" w:sz="1" w:space="0" w:color="000000"/>
            </w:tcBorders>
          </w:tcPr>
          <w:p>
            <w:pPr>
              <w:spacing w:lineRule="auto"/>
              <w:jc w:val="left"/>
            </w:pPr>
            <w:r>
              <w:rPr/>
              <w:t xml:space="preserve">633, 830</w:t>
            </w:r>
          </w:p>
        </w:tc>
        <w:tc>
          <w:tcPr>
            <w:tcBorders>
              <w:top w:val="single" w:sz="1" w:space="0" w:color="000000"/>
              <w:bottom w:val="single" w:sz="1" w:space="0" w:color="000000"/>
              <w:right w:val="single" w:sz="1" w:space="0" w:color="000000"/>
            </w:tcBorders>
          </w:tcPr>
          <w:p>
            <w:pPr>
              <w:spacing w:lineRule="auto"/>
              <w:jc w:val="left"/>
            </w:pPr>
            <w:r>
              <w:rPr/>
              <w:t xml:space="preserve">Prospective cohort</w:t>
            </w:r>
          </w:p>
        </w:tc>
        <w:tc>
          <w:tcPr>
            <w:tcBorders>
              <w:top w:val="single" w:sz="1" w:space="0" w:color="000000"/>
              <w:bottom w:val="single" w:sz="1" w:space="0" w:color="000000"/>
              <w:right w:val="single" w:sz="1" w:space="0" w:color="000000"/>
            </w:tcBorders>
          </w:tcPr>
          <w:p>
            <w:pPr>
              <w:spacing w:lineRule="auto"/>
              <w:jc w:val="left"/>
            </w:pPr>
            <w:r>
              <w:rPr/>
              <w:t xml:space="preserve">Photodamage (Glogau scale)</w:t>
            </w:r>
          </w:p>
        </w:tc>
        <w:tc>
          <w:tcPr>
            <w:tcBorders>
              <w:top w:val="single" w:sz="1" w:space="0" w:color="000000"/>
              <w:bottom w:val="single" w:sz="1" w:space="0" w:color="000000"/>
              <w:right w:val="single" w:sz="1" w:space="0" w:color="000000"/>
            </w:tcBorders>
          </w:tcPr>
          <w:p>
            <w:pPr>
              <w:spacing w:lineRule="auto"/>
              <w:jc w:val="left"/>
            </w:pPr>
            <w:r>
              <w:rPr/>
              <w:t xml:space="preserve">Improved in most cases by 12 weeks</w:t>
            </w:r>
          </w:p>
        </w:tc>
        <w:tc>
          <w:tcPr>
            <w:tcBorders>
              <w:top w:val="single" w:sz="1" w:space="0" w:color="000000"/>
              <w:bottom w:val="single" w:sz="1" w:space="0" w:color="000000"/>
            </w:tcBorders>
          </w:tcPr>
          <w:p>
            <w:pPr>
              <w:spacing w:lineRule="auto"/>
              <w:jc w:val="left"/>
            </w:pPr>
            <w:r>
              <w:rPr/>
              <w:t xml:space="preserve">Mild facial erythema (3 of 16 patients)</w:t>
            </w:r>
          </w:p>
        </w:tc>
      </w:tr>
    </w:tbl>
    <w:p>
      <w:pPr>
        <w:spacing w:lineRule="auto"/>
      </w:pPr>
    </w:p>
    <w:p>
      <w:pPr>
        <w:spacing w:after="210" w:lineRule="auto"/>
      </w:pPr>
      <w:r>
        <w:rPr>
          <w:i/>
        </w:rPr>
        <w:t xml:space="preserve">Source: Systematic review data from Oxford Academic Surgery Journal[26].</w:t>
      </w:r>
    </w:p>
    <w:p>
      <w:pPr>
        <w:spacing w:after="210" w:lineRule="auto"/>
      </w:pPr>
      <w:r>
        <w:rPr>
          <w:b/>
        </w:rPr>
        <w:t xml:space="preserve">Procedural Considerations:</w:t>
      </w:r>
      <w:r>
        <w:rPr>
          <w:rFonts w:eastAsia="Georgia" w:cs="Georgia" w:ascii="Georgia" w:hAnsi="Georgia"/>
        </w:rPr>
        <w:t xml:space="preserve"> PBM treatment protocols for skin rejuvenation generally involve 8–24 exposures over 4–8 weeks, with wavelengths typically combining red (630–700 nm) and near-infrared (700–1000 nm) components. The heterogeneity in reported protocols reflects ongoing optimization in the field.</w:t>
      </w:r>
    </w:p>
    <w:p>
      <w:pPr>
        <w:spacing w:line="271" w:before="240" w:lineRule="auto"/>
      </w:pPr>
      <w:bookmarkStart w:id="11" w:name="bm_2_potential_limitations_and_im_5fa127"/>
      <w:r>
        <w:rPr>
          <w:b/>
          <w:sz w:val="28"/>
        </w:rPr>
        <w:t xml:space="preserve">2. Potential Limitations and Implementation Challenges</w:t>
      </w:r>
      <w:bookmarkEnd w:id="11"/>
    </w:p>
    <w:p>
      <w:pPr>
        <w:spacing w:after="210" w:lineRule="auto"/>
      </w:pPr>
      <w:r>
        <w:rPr/>
        <w:t xml:space="preserve">While evidence supports the efficacy of PBM for skin rejuvenation, several contextual factors merit consideration:</w:t>
      </w:r>
    </w:p>
    <w:p>
      <w:pPr>
        <w:numPr>
          <w:ilvl w:val="0"/>
          <w:numId w:val="3"/>
        </w:numPr>
        <w:spacing w:lineRule="auto"/>
      </w:pPr>
      <w:r>
        <w:rPr>
          <w:b/>
        </w:rPr>
        <w:t xml:space="preserve">Variable efficacy across individuals:</w:t>
      </w:r>
      <w:r>
        <w:rPr/>
        <w:t xml:space="preserve"> Clinical response heterogeneity is observed across baseline skin types, ages, and photodamage severity. The mechanism underlying individual variation remains incompletely understood.</w:t>
      </w:r>
    </w:p>
    <w:p>
      <w:pPr>
        <w:numPr>
          <w:ilvl w:val="0"/>
          <w:numId w:val="3"/>
        </w:numPr>
        <w:spacing w:lineRule="auto"/>
      </w:pPr>
      <w:r>
        <w:rPr>
          <w:b/>
        </w:rPr>
        <w:t xml:space="preserve">Modest effect magnitudes:</w:t>
      </w:r>
      <w:r>
        <w:rPr>
          <w:rFonts w:eastAsia="Georgia" w:cs="Georgia" w:ascii="Georgia" w:hAnsi="Georgia"/>
        </w:rPr>
        <w:t xml:space="preserve"> Improvements in wrinkle reduction and skin texture, while statistically significant and clinically observable, are generally modest compared to ablative procedures (e.g., fractional CO₂ laser resurfacing).</w:t>
      </w:r>
    </w:p>
    <w:p>
      <w:pPr>
        <w:numPr>
          <w:ilvl w:val="0"/>
          <w:numId w:val="3"/>
        </w:numPr>
        <w:spacing w:lineRule="auto"/>
      </w:pPr>
      <w:r>
        <w:rPr>
          <w:b/>
        </w:rPr>
        <w:t xml:space="preserve">Treatment burden:</w:t>
      </w:r>
      <w:r>
        <w:rPr>
          <w:rFonts w:eastAsia="Georgia" w:cs="Georgia" w:ascii="Georgia" w:hAnsi="Georgia"/>
        </w:rPr>
        <w:t xml:space="preserve"> Effective protocols typically require weekly or biweekly sessions over extended periods (4–8 weeks), necessitating patient compliance.</w:t>
      </w:r>
    </w:p>
    <w:p>
      <w:pPr>
        <w:numPr>
          <w:ilvl w:val="0"/>
          <w:numId w:val="3"/>
        </w:numPr>
        <w:spacing w:lineRule="auto"/>
      </w:pPr>
      <w:r>
        <w:rPr>
          <w:b/>
        </w:rPr>
        <w:t xml:space="preserve">Cumulative light exposure:</w:t>
      </w:r>
      <w:r>
        <w:rPr/>
        <w:t xml:space="preserve"> Long-term safety data regarding repeated PBM exposure over years remain limited, particularly regarding potential phototoxic effects in genetically predisposed individuals.</w:t>
      </w:r>
    </w:p>
    <w:p>
      <w:pPr>
        <w:spacing w:line="271" w:before="240" w:lineRule="auto"/>
      </w:pPr>
      <w:bookmarkStart w:id="12" w:name="bm_3_contextual_applicability_con_a0fbf1"/>
      <w:r>
        <w:rPr>
          <w:b/>
          <w:sz w:val="28"/>
        </w:rPr>
        <w:t xml:space="preserve">3. Contextual Applicability Constraints</w:t>
      </w:r>
      <w:bookmarkEnd w:id="12"/>
    </w:p>
    <w:p>
      <w:pPr>
        <w:spacing w:after="210" w:lineRule="auto"/>
      </w:pPr>
      <w:r>
        <w:rPr/>
        <w:t xml:space="preserve">PBM appears particularly well-suited for:</w:t>
      </w:r>
    </w:p>
    <w:p>
      <w:pPr>
        <w:numPr>
          <w:ilvl w:val="0"/>
          <w:numId w:val="4"/>
        </w:numPr>
        <w:spacing w:lineRule="auto"/>
      </w:pPr>
      <w:r>
        <w:rPr/>
        <w:t xml:space="preserve">Maintenance therapy following more aggressive aesthetic procedures</w:t>
      </w:r>
    </w:p>
    <w:p>
      <w:pPr>
        <w:numPr>
          <w:ilvl w:val="0"/>
          <w:numId w:val="4"/>
        </w:numPr>
        <w:spacing w:lineRule="auto"/>
      </w:pPr>
      <w:r>
        <w:rPr/>
        <w:t xml:space="preserve">Patients seeking non-invasive, low-downtime interventions</w:t>
      </w:r>
    </w:p>
    <w:p>
      <w:pPr>
        <w:numPr>
          <w:ilvl w:val="0"/>
          <w:numId w:val="4"/>
        </w:numPr>
        <w:spacing w:lineRule="auto"/>
      </w:pPr>
      <w:r>
        <w:rPr/>
        <w:t xml:space="preserve">Individuals with contraindications to ablative or chemical treatments (e.g., those with darker skin phenotypes at higher risk for post-inflammatory hyperpigmentation with ablative lasers)</w:t>
      </w:r>
    </w:p>
    <w:p>
      <w:pPr>
        <w:spacing w:after="210" w:lineRule="auto"/>
      </w:pPr>
      <w:r>
        <w:rPr/>
        <w:t xml:space="preserve">PBM is less suitable as a first-line treatment for severe photoaging or significant wrinkles; in such cases, stronger modalities (fractional laser, chemical peels) may be more efficacious.</w:t>
      </w:r>
    </w:p>
    <w:p>
      <w:pPr>
        <w:spacing w:line="271" w:before="240" w:lineRule="auto"/>
      </w:pPr>
      <w:bookmarkStart w:id="13" w:name="bm_4_emerging_and_off_label_applications"/>
      <w:r>
        <w:rPr>
          <w:b/>
          <w:sz w:val="28"/>
        </w:rPr>
        <w:t xml:space="preserve">4. Emerging and Off-Label Applications</w:t>
      </w:r>
      <w:bookmarkEnd w:id="13"/>
    </w:p>
    <w:p>
      <w:pPr>
        <w:spacing w:after="210" w:lineRule="auto"/>
      </w:pPr>
      <w:r>
        <w:rPr/>
        <w:t xml:space="preserve">PBM has been investigated for additional aesthetic indications, including:</w:t>
      </w:r>
    </w:p>
    <w:p>
      <w:pPr>
        <w:numPr>
          <w:ilvl w:val="0"/>
          <w:numId w:val="5"/>
        </w:numPr>
        <w:spacing w:lineRule="auto"/>
      </w:pPr>
      <w:r>
        <w:rPr>
          <w:b/>
        </w:rPr>
        <w:t xml:space="preserve">Reduction of post-procedure inflammation:</w:t>
      </w:r>
      <w:r>
        <w:rPr/>
        <w:t xml:space="preserve"> Widely utilized to accelerate healing after aggressive aesthetic treatments such as skin resurfacing, vascular laser procedures, and chemical peels[31].</w:t>
      </w:r>
    </w:p>
    <w:p>
      <w:pPr>
        <w:numPr>
          <w:ilvl w:val="0"/>
          <w:numId w:val="5"/>
        </w:numPr>
        <w:spacing w:lineRule="auto"/>
      </w:pPr>
      <w:r>
        <w:rPr>
          <w:b/>
        </w:rPr>
        <w:t xml:space="preserve">Hair loss (androgenetic alopecia):</w:t>
      </w:r>
      <w:r>
        <w:rPr/>
        <w:t xml:space="preserve"> Recent meta-analysis evidence supports the efficacy of low-level laser therapy (LLLT) and LED devices for promoting hair regrowth, with a significant difference in efficacy between laser and LED sources (SMD: 1.52 vs. 0.85, respectively)[32].</w:t>
      </w:r>
    </w:p>
    <w:p>
      <w:pPr>
        <w:numPr>
          <w:ilvl w:val="0"/>
          <w:numId w:val="5"/>
        </w:numPr>
        <w:spacing w:lineRule="auto"/>
      </w:pPr>
      <w:r>
        <w:rPr>
          <w:b/>
        </w:rPr>
        <w:t xml:space="preserve">Dyspigmentation:</w:t>
      </w:r>
      <w:r>
        <w:rPr/>
        <w:t xml:space="preserve"> Emerging evidence suggests PBM may modulate melanin synthesis, with potential applications in both hyperpigmentation and depigmentation disorders[31].</w:t>
      </w:r>
    </w:p>
    <w:p>
      <w:pPr>
        <w:numPr>
          <w:ilvl w:val="0"/>
          <w:numId w:val="5"/>
        </w:numPr>
        <w:spacing w:lineRule="auto"/>
      </w:pPr>
      <w:r>
        <w:rPr>
          <w:b/>
        </w:rPr>
        <w:t xml:space="preserve">Acne and scar management:</w:t>
      </w:r>
      <w:r>
        <w:rPr/>
        <w:t xml:space="preserve"> PBM's anti-inflammatory effects have been explored for acne-prone skin and for promoting scar remodeling[31].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iii_selective_photothermolysis_an_f2cba7"/>
      <w:r>
        <w:rPr>
          <w:b/>
          <w:sz w:val="42"/>
        </w:rPr>
        <w:t xml:space="preserve">III. Selective Photothermolysis and Laser-Based Therapies</w:t>
      </w:r>
      <w:bookmarkEnd w:id="14"/>
    </w:p>
    <w:p>
      <w:pPr>
        <w:spacing w:line="271" w:before="240" w:lineRule="auto"/>
      </w:pPr>
      <w:bookmarkStart w:id="15" w:name="a_principles_of_selective_phototh_a95c68"/>
      <w:r>
        <w:rPr>
          <w:b/>
          <w:sz w:val="33"/>
        </w:rPr>
        <w:t xml:space="preserve">A. Principles of Selective Photothermolysis</w:t>
      </w:r>
      <w:bookmarkEnd w:id="15"/>
    </w:p>
    <w:p>
      <w:pPr>
        <w:spacing w:after="210" w:lineRule="auto"/>
      </w:pPr>
      <w:r>
        <w:rPr/>
        <w:t xml:space="preserve">The landmark principle of </w:t>
      </w:r>
      <w:r>
        <w:rPr>
          <w:b/>
        </w:rPr>
        <w:t xml:space="preserve">selective photothermolysis</w:t>
      </w:r>
      <w:r>
        <w:rPr/>
        <w:t xml:space="preserve"> (SPT), elucidated by Anderson and Parrish in 1983, establishes that successful laser tissue interaction depends on the coincidence of three parameters:</w:t>
      </w:r>
    </w:p>
    <w:p>
      <w:pPr>
        <w:numPr>
          <w:ilvl w:val="0"/>
          <w:numId w:val="6"/>
        </w:numPr>
        <w:spacing w:after="210" w:lineRule="auto"/>
      </w:pPr>
      <w:r>
        <w:rPr>
          <w:b/>
        </w:rPr>
        <w:t xml:space="preserve">Wavelength Selection:</w:t>
      </w:r>
      <w:r>
        <w:rPr/>
        <w:t xml:space="preserve"> The laser wavelength must match the absorption spectrum of the target tissue chromophore (e.g., melanin for pigmented lesion removal, hemoglobin for vascular lesions).</w:t>
      </w:r>
    </w:p>
    <w:p>
      <w:pPr>
        <w:numPr>
          <w:ilvl w:val="0"/>
          <w:numId w:val="6"/>
        </w:numPr>
        <w:spacing w:after="210" w:lineRule="auto"/>
      </w:pPr>
      <w:r>
        <w:rPr>
          <w:b/>
        </w:rPr>
        <w:t xml:space="preserve">Pulse Duration:</w:t>
      </w:r>
      <w:r>
        <w:rPr/>
        <w:t xml:space="preserve"> The laser pulse duration should be equal to or shorter than the </w:t>
      </w:r>
      <w:r>
        <w:rPr>
          <w:i/>
        </w:rPr>
        <w:t xml:space="preserve">thermal relaxation time</w:t>
      </w:r>
      <w:r>
        <w:rPr>
          <w:rFonts w:eastAsia="Georgia" w:cs="Georgia" w:ascii="Georgia" w:hAnsi="Georgia"/>
        </w:rPr>
        <w:t xml:space="preserve"> of the target structure—the time required for heat diffusion to surrounding tissue. When the pulse is shorter than the relaxation time, heat remains confined to the target, minimizing collateral thermal damage.</w:t>
      </w:r>
    </w:p>
    <w:p>
      <w:pPr>
        <w:numPr>
          <w:ilvl w:val="0"/>
          <w:numId w:val="6"/>
        </w:numPr>
        <w:spacing w:after="210" w:lineRule="auto"/>
      </w:pPr>
      <w:r>
        <w:rPr>
          <w:b/>
        </w:rPr>
        <w:t xml:space="preserve">Energy Fluence:</w:t>
      </w:r>
      <w:r>
        <w:rPr/>
        <w:t xml:space="preserve"> Sufficient energy density must be delivered to raise the target chromophore temperature above the injury threshold while remaining below the boiling point of water (which would cause explosive expansion and extensive collateral damage)[33].</w:t>
      </w:r>
    </w:p>
    <w:p>
      <w:pPr>
        <w:spacing w:after="210" w:lineRule="auto"/>
      </w:pPr>
      <w:r>
        <w:rPr/>
        <w:t xml:space="preserve">By adhering to these parameters, lasers can selectively destroy target structures while preserving surrounding tissue architecture.</w:t>
      </w:r>
    </w:p>
    <w:p>
      <w:pPr>
        <w:spacing w:line="271" w:before="240" w:lineRule="auto"/>
      </w:pPr>
      <w:bookmarkStart w:id="16" w:name="bm_1_common_laser_systems_in_aest_7b0eda"/>
      <w:r>
        <w:rPr>
          <w:b/>
          <w:sz w:val="28"/>
        </w:rPr>
        <w:t xml:space="preserve">1. Common Laser Systems in Aesthetic Medicine</w:t>
      </w:r>
      <w:bookmarkEnd w:id="16"/>
    </w:p>
    <w:p>
      <w:pPr>
        <w:spacing w:after="210" w:lineRule="auto"/>
      </w:pPr>
      <w:r>
        <w:rPr>
          <w:b/>
        </w:rPr>
        <w:t xml:space="preserve">Table 2: Major Laser Platforms in Aesthetic Dermatology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right w:val="single" w:sz="1" w:space="0" w:color="000000"/>
            </w:tcBorders>
          </w:tcPr>
          <w:p>
            <w:pPr>
              <w:spacing w:lineRule="auto"/>
              <w:jc w:val="left"/>
            </w:pPr>
            <w:r>
              <w:rPr/>
              <w:t xml:space="preserve">Laser Type</w:t>
            </w:r>
          </w:p>
        </w:tc>
        <w:tc>
          <w:tcPr>
            <w:tcBorders>
              <w:top w:val="single" w:sz="1" w:space="0" w:color="000000"/>
              <w:bottom w:val="single" w:sz="1" w:space="0" w:color="000000"/>
              <w:right w:val="single" w:sz="1" w:space="0" w:color="000000"/>
            </w:tcBorders>
          </w:tcPr>
          <w:p>
            <w:pPr>
              <w:spacing w:lineRule="auto"/>
              <w:jc w:val="left"/>
            </w:pPr>
            <w:r>
              <w:rPr/>
              <w:t xml:space="preserve">Wavelength (nm)</w:t>
            </w:r>
          </w:p>
        </w:tc>
        <w:tc>
          <w:tcPr>
            <w:tcBorders>
              <w:top w:val="single" w:sz="1" w:space="0" w:color="000000"/>
              <w:bottom w:val="single" w:sz="1" w:space="0" w:color="000000"/>
              <w:right w:val="single" w:sz="1" w:space="0" w:color="000000"/>
            </w:tcBorders>
          </w:tcPr>
          <w:p>
            <w:pPr>
              <w:spacing w:lineRule="auto"/>
              <w:jc w:val="left"/>
            </w:pPr>
            <w:r>
              <w:rPr/>
              <w:t xml:space="preserve">Primary Chromophore Target</w:t>
            </w:r>
          </w:p>
        </w:tc>
        <w:tc>
          <w:tcPr>
            <w:tcBorders>
              <w:top w:val="single" w:sz="1" w:space="0" w:color="000000"/>
              <w:bottom w:val="single" w:sz="1" w:space="0" w:color="000000"/>
              <w:right w:val="single" w:sz="1" w:space="0" w:color="000000"/>
            </w:tcBorders>
          </w:tcPr>
          <w:p>
            <w:pPr>
              <w:spacing w:lineRule="auto"/>
              <w:jc w:val="left"/>
            </w:pPr>
            <w:r>
              <w:rPr/>
              <w:t xml:space="preserve">Thermal Relaxation Time</w:t>
            </w:r>
          </w:p>
        </w:tc>
        <w:tc>
          <w:tcPr>
            <w:tcBorders>
              <w:top w:val="single" w:sz="1" w:space="0" w:color="000000"/>
              <w:bottom w:val="single" w:sz="1" w:space="0" w:color="000000"/>
              <w:right w:val="single" w:sz="1" w:space="0" w:color="000000"/>
            </w:tcBorders>
          </w:tcPr>
          <w:p>
            <w:pPr>
              <w:spacing w:lineRule="auto"/>
              <w:jc w:val="left"/>
            </w:pPr>
            <w:r>
              <w:rPr/>
              <w:t xml:space="preserve">Common Aesthetic Applications</w:t>
            </w:r>
          </w:p>
        </w:tc>
        <w:tc>
          <w:tcPr>
            <w:tcBorders>
              <w:top w:val="single" w:sz="1" w:space="0" w:color="000000"/>
              <w:bottom w:val="single" w:sz="1" w:space="0" w:color="000000"/>
            </w:tcBorders>
          </w:tcPr>
          <w:p>
            <w:pPr>
              <w:spacing w:lineRule="auto"/>
              <w:jc w:val="left"/>
            </w:pPr>
            <w:r>
              <w:rPr/>
              <w:t xml:space="preserve">Typical Pulse Width</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Nd:YAG</w:t>
            </w:r>
            <w:r>
              <w:rPr/>
              <w:t xml:space="preserve"> (neodymium-doped yttrium aluminum garnet)</w:t>
            </w:r>
          </w:p>
        </w:tc>
        <w:tc>
          <w:tcPr>
            <w:tcBorders>
              <w:top w:val="single" w:sz="1" w:space="0" w:color="000000"/>
              <w:bottom w:val="single" w:sz="1" w:space="0" w:color="000000"/>
              <w:right w:val="single" w:sz="1" w:space="0" w:color="000000"/>
            </w:tcBorders>
          </w:tcPr>
          <w:p>
            <w:pPr>
              <w:spacing w:lineRule="auto"/>
              <w:jc w:val="left"/>
            </w:pPr>
            <w:r>
              <w:rPr/>
              <w:t xml:space="preserve">1064</w:t>
            </w:r>
          </w:p>
        </w:tc>
        <w:tc>
          <w:tcPr>
            <w:tcBorders>
              <w:top w:val="single" w:sz="1" w:space="0" w:color="000000"/>
              <w:bottom w:val="single" w:sz="1" w:space="0" w:color="000000"/>
              <w:right w:val="single" w:sz="1" w:space="0" w:color="000000"/>
            </w:tcBorders>
          </w:tcPr>
          <w:p>
            <w:pPr>
              <w:spacing w:lineRule="auto"/>
              <w:jc w:val="left"/>
            </w:pPr>
            <w:r>
              <w:rPr/>
              <w:t xml:space="preserve">Deoxyhemoglobin (vascular); melanin (deep)</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10–100 ms</w:t>
            </w:r>
          </w:p>
        </w:tc>
        <w:tc>
          <w:tcPr>
            <w:tcBorders>
              <w:top w:val="single" w:sz="1" w:space="0" w:color="000000"/>
              <w:bottom w:val="single" w:sz="1" w:space="0" w:color="000000"/>
              <w:right w:val="single" w:sz="1" w:space="0" w:color="000000"/>
            </w:tcBorders>
          </w:tcPr>
          <w:p>
            <w:pPr>
              <w:spacing w:lineRule="auto"/>
              <w:jc w:val="left"/>
            </w:pPr>
            <w:r>
              <w:rPr/>
              <w:t xml:space="preserve">Vascular lesions, deep pigmentation, hair removal, skin tightening</w:t>
            </w:r>
          </w:p>
        </w:tc>
        <w:tc>
          <w:tcPr>
            <w:tcBorders>
              <w:top w:val="single" w:sz="1" w:space="0" w:color="000000"/>
              <w:bottom w:val="single" w:sz="1" w:space="0" w:color="000000"/>
            </w:tcBorders>
          </w:tcPr>
          <w:p>
            <w:pPr>
              <w:spacing w:lineRule="auto"/>
              <w:jc w:val="left"/>
            </w:pPr>
            <w:r>
              <w:rPr>
                <w:rFonts w:eastAsia="Georgia" w:cs="Georgia" w:ascii="Georgia" w:hAnsi="Georgia"/>
              </w:rPr>
              <w:t xml:space="preserve">1–10 ms or longer</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Alexandrite</w:t>
            </w:r>
          </w:p>
        </w:tc>
        <w:tc>
          <w:tcPr>
            <w:tcBorders>
              <w:top w:val="single" w:sz="1" w:space="0" w:color="000000"/>
              <w:bottom w:val="single" w:sz="1" w:space="0" w:color="000000"/>
              <w:right w:val="single" w:sz="1" w:space="0" w:color="000000"/>
            </w:tcBorders>
          </w:tcPr>
          <w:p>
            <w:pPr>
              <w:spacing w:lineRule="auto"/>
              <w:jc w:val="left"/>
            </w:pPr>
            <w:r>
              <w:rPr/>
              <w:t xml:space="preserve">755</w:t>
            </w:r>
          </w:p>
        </w:tc>
        <w:tc>
          <w:tcPr>
            <w:tcBorders>
              <w:top w:val="single" w:sz="1" w:space="0" w:color="000000"/>
              <w:bottom w:val="single" w:sz="1" w:space="0" w:color="000000"/>
              <w:right w:val="single" w:sz="1" w:space="0" w:color="000000"/>
            </w:tcBorders>
          </w:tcPr>
          <w:p>
            <w:pPr>
              <w:spacing w:lineRule="auto"/>
              <w:jc w:val="left"/>
            </w:pPr>
            <w:r>
              <w:rPr/>
              <w:t xml:space="preserve">Melanin</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40–100 ns</w:t>
            </w:r>
          </w:p>
        </w:tc>
        <w:tc>
          <w:tcPr>
            <w:tcBorders>
              <w:top w:val="single" w:sz="1" w:space="0" w:color="000000"/>
              <w:bottom w:val="single" w:sz="1" w:space="0" w:color="000000"/>
              <w:right w:val="single" w:sz="1" w:space="0" w:color="000000"/>
            </w:tcBorders>
          </w:tcPr>
          <w:p>
            <w:pPr>
              <w:spacing w:lineRule="auto"/>
              <w:jc w:val="left"/>
            </w:pPr>
            <w:r>
              <w:rPr/>
              <w:t xml:space="preserve">Hair removal, superficial to mid-depth pigmented lesions</w:t>
            </w:r>
          </w:p>
        </w:tc>
        <w:tc>
          <w:tcPr>
            <w:tcBorders>
              <w:top w:val="single" w:sz="1" w:space="0" w:color="000000"/>
              <w:bottom w:val="single" w:sz="1" w:space="0" w:color="000000"/>
            </w:tcBorders>
          </w:tcPr>
          <w:p>
            <w:pPr>
              <w:spacing w:lineRule="auto"/>
              <w:jc w:val="left"/>
            </w:pPr>
            <w:r>
              <w:rPr>
                <w:rFonts w:eastAsia="Georgia" w:cs="Georgia" w:ascii="Georgia" w:hAnsi="Georgia"/>
              </w:rPr>
              <w:t xml:space="preserve">3–100 ns</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Diode (805 nm)</w:t>
            </w:r>
          </w:p>
        </w:tc>
        <w:tc>
          <w:tcPr>
            <w:tcBorders>
              <w:top w:val="single" w:sz="1" w:space="0" w:color="000000"/>
              <w:bottom w:val="single" w:sz="1" w:space="0" w:color="000000"/>
              <w:right w:val="single" w:sz="1" w:space="0" w:color="000000"/>
            </w:tcBorders>
          </w:tcPr>
          <w:p>
            <w:pPr>
              <w:spacing w:lineRule="auto"/>
              <w:jc w:val="left"/>
            </w:pPr>
            <w:r>
              <w:rPr/>
              <w:t xml:space="preserve">805</w:t>
            </w:r>
          </w:p>
        </w:tc>
        <w:tc>
          <w:tcPr>
            <w:tcBorders>
              <w:top w:val="single" w:sz="1" w:space="0" w:color="000000"/>
              <w:bottom w:val="single" w:sz="1" w:space="0" w:color="000000"/>
              <w:right w:val="single" w:sz="1" w:space="0" w:color="000000"/>
            </w:tcBorders>
          </w:tcPr>
          <w:p>
            <w:pPr>
              <w:spacing w:lineRule="auto"/>
              <w:jc w:val="left"/>
            </w:pPr>
            <w:r>
              <w:rPr/>
              <w:t xml:space="preserve">Melanin; deoxyhemoglobin</w:t>
            </w:r>
          </w:p>
        </w:tc>
        <w:tc>
          <w:tcPr>
            <w:tcBorders>
              <w:top w:val="single" w:sz="1" w:space="0" w:color="000000"/>
              <w:bottom w:val="single" w:sz="1" w:space="0" w:color="000000"/>
              <w:right w:val="single" w:sz="1" w:space="0" w:color="000000"/>
            </w:tcBorders>
          </w:tcPr>
          <w:p>
            <w:pPr>
              <w:spacing w:lineRule="auto"/>
              <w:jc w:val="left"/>
            </w:pPr>
            <w:r>
              <w:rPr/>
              <w:t xml:space="preserve">Variable</w:t>
            </w:r>
          </w:p>
        </w:tc>
        <w:tc>
          <w:tcPr>
            <w:tcBorders>
              <w:top w:val="single" w:sz="1" w:space="0" w:color="000000"/>
              <w:bottom w:val="single" w:sz="1" w:space="0" w:color="000000"/>
              <w:right w:val="single" w:sz="1" w:space="0" w:color="000000"/>
            </w:tcBorders>
          </w:tcPr>
          <w:p>
            <w:pPr>
              <w:spacing w:lineRule="auto"/>
              <w:jc w:val="left"/>
            </w:pPr>
            <w:r>
              <w:rPr/>
              <w:t xml:space="preserve">Hair removal, vascular lesions</w:t>
            </w:r>
          </w:p>
        </w:tc>
        <w:tc>
          <w:tcPr>
            <w:tcBorders>
              <w:top w:val="single" w:sz="1" w:space="0" w:color="000000"/>
              <w:bottom w:val="single" w:sz="1" w:space="0" w:color="000000"/>
            </w:tcBorders>
          </w:tcPr>
          <w:p>
            <w:pPr>
              <w:spacing w:lineRule="auto"/>
              <w:jc w:val="left"/>
            </w:pPr>
            <w:r>
              <w:rPr>
                <w:rFonts w:eastAsia="Georgia" w:cs="Georgia" w:ascii="Georgia" w:hAnsi="Georgia"/>
              </w:rPr>
              <w:t xml:space="preserve">1–400 ms</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Ruby</w:t>
            </w:r>
          </w:p>
        </w:tc>
        <w:tc>
          <w:tcPr>
            <w:tcBorders>
              <w:top w:val="single" w:sz="1" w:space="0" w:color="000000"/>
              <w:bottom w:val="single" w:sz="1" w:space="0" w:color="000000"/>
              <w:right w:val="single" w:sz="1" w:space="0" w:color="000000"/>
            </w:tcBorders>
          </w:tcPr>
          <w:p>
            <w:pPr>
              <w:spacing w:lineRule="auto"/>
              <w:jc w:val="left"/>
            </w:pPr>
            <w:r>
              <w:rPr/>
              <w:t xml:space="preserve">694</w:t>
            </w:r>
          </w:p>
        </w:tc>
        <w:tc>
          <w:tcPr>
            <w:tcBorders>
              <w:top w:val="single" w:sz="1" w:space="0" w:color="000000"/>
              <w:bottom w:val="single" w:sz="1" w:space="0" w:color="000000"/>
              <w:right w:val="single" w:sz="1" w:space="0" w:color="000000"/>
            </w:tcBorders>
          </w:tcPr>
          <w:p>
            <w:pPr>
              <w:spacing w:lineRule="auto"/>
              <w:jc w:val="left"/>
            </w:pPr>
            <w:r>
              <w:rPr/>
              <w:t xml:space="preserve">Melanin</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40–100 ns</w:t>
            </w:r>
          </w:p>
        </w:tc>
        <w:tc>
          <w:tcPr>
            <w:tcBorders>
              <w:top w:val="single" w:sz="1" w:space="0" w:color="000000"/>
              <w:bottom w:val="single" w:sz="1" w:space="0" w:color="000000"/>
              <w:right w:val="single" w:sz="1" w:space="0" w:color="000000"/>
            </w:tcBorders>
          </w:tcPr>
          <w:p>
            <w:pPr>
              <w:spacing w:lineRule="auto"/>
              <w:jc w:val="left"/>
            </w:pPr>
            <w:r>
              <w:rPr/>
              <w:t xml:space="preserve">Pigmented lesion removal; hair removal (limited use due to melanin absorption risk)</w:t>
            </w:r>
          </w:p>
        </w:tc>
        <w:tc>
          <w:tcPr>
            <w:tcBorders>
              <w:top w:val="single" w:sz="1" w:space="0" w:color="000000"/>
              <w:bottom w:val="single" w:sz="1" w:space="0" w:color="000000"/>
            </w:tcBorders>
          </w:tcPr>
          <w:p>
            <w:pPr>
              <w:spacing w:lineRule="auto"/>
              <w:jc w:val="left"/>
            </w:pPr>
            <w:r>
              <w:rPr>
                <w:rFonts w:eastAsia="Georgia" w:cs="Georgia" w:ascii="Georgia" w:hAnsi="Georgia"/>
              </w:rPr>
              <w:t xml:space="preserve">10–50 ns</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Er:YAG</w:t>
            </w:r>
            <w:r>
              <w:rPr/>
              <w:t xml:space="preserve"> (erbium-doped YAG)</w:t>
            </w:r>
          </w:p>
        </w:tc>
        <w:tc>
          <w:tcPr>
            <w:tcBorders>
              <w:top w:val="single" w:sz="1" w:space="0" w:color="000000"/>
              <w:bottom w:val="single" w:sz="1" w:space="0" w:color="000000"/>
              <w:right w:val="single" w:sz="1" w:space="0" w:color="000000"/>
            </w:tcBorders>
          </w:tcPr>
          <w:p>
            <w:pPr>
              <w:spacing w:lineRule="auto"/>
              <w:jc w:val="left"/>
            </w:pPr>
            <w:r>
              <w:rPr/>
              <w:t xml:space="preserve">2940</w:t>
            </w:r>
          </w:p>
        </w:tc>
        <w:tc>
          <w:tcPr>
            <w:tcBorders>
              <w:top w:val="single" w:sz="1" w:space="0" w:color="000000"/>
              <w:bottom w:val="single" w:sz="1" w:space="0" w:color="000000"/>
              <w:right w:val="single" w:sz="1" w:space="0" w:color="000000"/>
            </w:tcBorders>
          </w:tcPr>
          <w:p>
            <w:pPr>
              <w:spacing w:lineRule="auto"/>
              <w:jc w:val="left"/>
            </w:pPr>
            <w:r>
              <w:rPr/>
              <w:t xml:space="preserve">Water (primary)</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&lt;1 μs</w:t>
            </w:r>
          </w:p>
        </w:tc>
        <w:tc>
          <w:tcPr>
            <w:tcBorders>
              <w:top w:val="single" w:sz="1" w:space="0" w:color="000000"/>
              <w:bottom w:val="single" w:sz="1" w:space="0" w:color="000000"/>
              <w:right w:val="single" w:sz="1" w:space="0" w:color="000000"/>
            </w:tcBorders>
          </w:tcPr>
          <w:p>
            <w:pPr>
              <w:spacing w:lineRule="auto"/>
              <w:jc w:val="left"/>
            </w:pPr>
            <w:r>
              <w:rPr/>
              <w:t xml:space="preserve">Ablative resurfacing, scar revision, actinic keratosis removal</w:t>
            </w:r>
          </w:p>
        </w:tc>
        <w:tc>
          <w:tcPr>
            <w:tcBorders>
              <w:top w:val="single" w:sz="1" w:space="0" w:color="000000"/>
              <w:bottom w:val="single" w:sz="1" w:space="0" w:color="000000"/>
            </w:tcBorders>
          </w:tcPr>
          <w:p>
            <w:pPr>
              <w:spacing w:lineRule="auto"/>
              <w:jc w:val="left"/>
            </w:pPr>
            <w:r>
              <w:rPr>
                <w:rFonts w:eastAsia="Georgia" w:cs="Georgia" w:ascii="Georgia" w:hAnsi="Georgia"/>
              </w:rPr>
              <w:t xml:space="preserve">50–400 μs</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CO₂</w:t>
            </w:r>
            <w:r>
              <w:rPr/>
              <w:t xml:space="preserve"> (carbon dioxide)</w:t>
            </w:r>
          </w:p>
        </w:tc>
        <w:tc>
          <w:tcPr>
            <w:tcBorders>
              <w:top w:val="single" w:sz="1" w:space="0" w:color="000000"/>
              <w:bottom w:val="single" w:sz="1" w:space="0" w:color="000000"/>
              <w:right w:val="single" w:sz="1" w:space="0" w:color="000000"/>
            </w:tcBorders>
          </w:tcPr>
          <w:p>
            <w:pPr>
              <w:spacing w:lineRule="auto"/>
              <w:jc w:val="left"/>
            </w:pPr>
            <w:r>
              <w:rPr/>
              <w:t xml:space="preserve">10,600</w:t>
            </w:r>
          </w:p>
        </w:tc>
        <w:tc>
          <w:tcPr>
            <w:tcBorders>
              <w:top w:val="single" w:sz="1" w:space="0" w:color="000000"/>
              <w:bottom w:val="single" w:sz="1" w:space="0" w:color="000000"/>
              <w:right w:val="single" w:sz="1" w:space="0" w:color="000000"/>
            </w:tcBorders>
          </w:tcPr>
          <w:p>
            <w:pPr>
              <w:spacing w:lineRule="auto"/>
              <w:jc w:val="left"/>
            </w:pPr>
            <w:r>
              <w:rPr/>
              <w:t xml:space="preserve">Water (primary)</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&lt;1 μs</w:t>
            </w:r>
          </w:p>
        </w:tc>
        <w:tc>
          <w:tcPr>
            <w:tcBorders>
              <w:top w:val="single" w:sz="1" w:space="0" w:color="000000"/>
              <w:bottom w:val="single" w:sz="1" w:space="0" w:color="000000"/>
              <w:right w:val="single" w:sz="1" w:space="0" w:color="000000"/>
            </w:tcBorders>
          </w:tcPr>
          <w:p>
            <w:pPr>
              <w:spacing w:lineRule="auto"/>
              <w:jc w:val="left"/>
            </w:pPr>
            <w:r>
              <w:rPr/>
              <w:t xml:space="preserve">Ablative resurfacing, wart removal, severe photoaging</w:t>
            </w:r>
          </w:p>
        </w:tc>
        <w:tc>
          <w:tcPr>
            <w:tcBorders>
              <w:top w:val="single" w:sz="1" w:space="0" w:color="000000"/>
              <w:bottom w:val="single" w:sz="1" w:space="0" w:color="000000"/>
            </w:tcBorders>
          </w:tcPr>
          <w:p>
            <w:pPr>
              <w:spacing w:lineRule="auto"/>
              <w:jc w:val="left"/>
            </w:pPr>
            <w:r>
              <w:rPr>
                <w:rFonts w:eastAsia="Georgia" w:cs="Georgia" w:ascii="Georgia" w:hAnsi="Georgia"/>
              </w:rPr>
              <w:t xml:space="preserve">1–1000 μs (variable)</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Excimer (308-nm)</w:t>
            </w:r>
          </w:p>
        </w:tc>
        <w:tc>
          <w:tcPr>
            <w:tcBorders>
              <w:top w:val="single" w:sz="1" w:space="0" w:color="000000"/>
              <w:bottom w:val="single" w:sz="1" w:space="0" w:color="000000"/>
              <w:right w:val="single" w:sz="1" w:space="0" w:color="000000"/>
            </w:tcBorders>
          </w:tcPr>
          <w:p>
            <w:pPr>
              <w:spacing w:lineRule="auto"/>
              <w:jc w:val="left"/>
            </w:pPr>
            <w:r>
              <w:rPr/>
              <w:t xml:space="preserve">308</w:t>
            </w:r>
          </w:p>
        </w:tc>
        <w:tc>
          <w:tcPr>
            <w:tcBorders>
              <w:top w:val="single" w:sz="1" w:space="0" w:color="000000"/>
              <w:bottom w:val="single" w:sz="1" w:space="0" w:color="000000"/>
              <w:right w:val="single" w:sz="1" w:space="0" w:color="000000"/>
            </w:tcBorders>
          </w:tcPr>
          <w:p>
            <w:pPr>
              <w:spacing w:lineRule="auto"/>
              <w:jc w:val="left"/>
            </w:pPr>
            <w:r>
              <w:rPr/>
              <w:t xml:space="preserve">DNA (direct UVB effect)</w:t>
            </w:r>
          </w:p>
        </w:tc>
        <w:tc>
          <w:tcPr>
            <w:tcBorders>
              <w:top w:val="single" w:sz="1" w:space="0" w:color="000000"/>
              <w:bottom w:val="single" w:sz="1" w:space="0" w:color="000000"/>
              <w:right w:val="single" w:sz="1" w:space="0" w:color="000000"/>
            </w:tcBorders>
          </w:tcPr>
          <w:p>
            <w:pPr>
              <w:spacing w:lineRule="auto"/>
              <w:jc w:val="left"/>
            </w:pPr>
            <w:r>
              <w:rPr/>
              <w:t xml:space="preserve">N/A (ablative/photochemical)</w:t>
            </w:r>
          </w:p>
        </w:tc>
        <w:tc>
          <w:tcPr>
            <w:tcBorders>
              <w:top w:val="single" w:sz="1" w:space="0" w:color="000000"/>
              <w:bottom w:val="single" w:sz="1" w:space="0" w:color="000000"/>
              <w:right w:val="single" w:sz="1" w:space="0" w:color="000000"/>
            </w:tcBorders>
          </w:tcPr>
          <w:p>
            <w:pPr>
              <w:spacing w:lineRule="auto"/>
              <w:jc w:val="left"/>
            </w:pPr>
            <w:r>
              <w:rPr/>
              <w:t xml:space="preserve">Psoriasis, vitiligo, localized dermatitis</w:t>
            </w:r>
          </w:p>
        </w:tc>
        <w:tc>
          <w:tcPr>
            <w:tcBorders>
              <w:top w:val="single" w:sz="1" w:space="0" w:color="000000"/>
              <w:bottom w:val="single" w:sz="1" w:space="0" w:color="000000"/>
            </w:tcBorders>
          </w:tcPr>
          <w:p>
            <w:pPr>
              <w:spacing w:lineRule="auto"/>
              <w:jc w:val="left"/>
            </w:pPr>
            <w:r>
              <w:rPr/>
              <w:t xml:space="preserve">Millisecond range</w:t>
            </w:r>
          </w:p>
        </w:tc>
      </w:tr>
    </w:tbl>
    <w:p>
      <w:pPr>
        <w:spacing w:lineRule="auto"/>
      </w:pPr>
    </w:p>
    <w:p>
      <w:pPr>
        <w:spacing w:after="210" w:lineRule="auto"/>
      </w:pPr>
      <w:r>
        <w:rPr>
          <w:i/>
        </w:rPr>
        <w:t xml:space="preserve">Source: Synthesis from multiple sources including clinical dermatology practice guidelines and laser physics literature.</w:t>
      </w:r>
    </w:p>
    <w:p>
      <w:pPr>
        <w:spacing w:line="271" w:before="240" w:lineRule="auto"/>
      </w:pPr>
      <w:bookmarkStart w:id="17" w:name="b_major_laser_based_aesthetic_app_8be803"/>
      <w:r>
        <w:rPr>
          <w:b/>
          <w:sz w:val="33"/>
        </w:rPr>
        <w:t xml:space="preserve">B. Major Laser-Based Aesthetic Applications</w:t>
      </w:r>
      <w:bookmarkEnd w:id="17"/>
    </w:p>
    <w:p>
      <w:pPr>
        <w:spacing w:line="271" w:before="240" w:lineRule="auto"/>
      </w:pPr>
      <w:bookmarkStart w:id="18" w:name="bm_1_hair_removal"/>
      <w:r>
        <w:rPr>
          <w:b/>
          <w:sz w:val="28"/>
        </w:rPr>
        <w:t xml:space="preserve">1. Hair Removal</w:t>
      </w:r>
      <w:bookmarkEnd w:id="18"/>
    </w:p>
    <w:p>
      <w:pPr>
        <w:spacing w:after="210" w:lineRule="auto"/>
      </w:pPr>
      <w:r>
        <w:rPr>
          <w:b/>
        </w:rPr>
        <w:t xml:space="preserve">Mechanism and Evidence:</w:t>
      </w:r>
      <w:r>
        <w:rPr/>
        <w:t xml:space="preserve"> Laser hair removal utilizes selective photothermolysis to thermally destroy the melanin-containing hair matrix within the follicle. The effectiveness depends on contrast between melanin in the hair and hemoglobin in surrounding vasculature; consequently, efficacy varies with hair color (dark hair responds optimally) and skin phototype (fair skin provides better contrast with dark hair; darker skin requires cautious wavelength selection and parameters to minimize epidermal thermal injury).</w:t>
      </w:r>
    </w:p>
    <w:p>
      <w:pPr>
        <w:spacing w:after="210" w:lineRule="auto"/>
      </w:pPr>
      <w:r>
        <w:rPr/>
        <w:t xml:space="preserve">Long-pulsed Nd:YAG (1064 nm) and diode lasers (805 nm) are preferred for darker skin phenotypes due to deeper wavelength penetration and reduced superficial melanin absorption. Recent systematic reviews support the efficacy of FDA-approved laser and light-based systems for reduction in hair density[32].</w:t>
      </w:r>
    </w:p>
    <w:p>
      <w:pPr>
        <w:spacing w:line="271" w:before="240" w:lineRule="auto"/>
      </w:pPr>
      <w:bookmarkStart w:id="19" w:name="bm_2_vascular_and_pigmented_lesio_5517ca"/>
      <w:r>
        <w:rPr>
          <w:b/>
          <w:sz w:val="28"/>
        </w:rPr>
        <w:t xml:space="preserve">2. Vascular and Pigmented Lesion Removal</w:t>
      </w:r>
      <w:bookmarkEnd w:id="19"/>
    </w:p>
    <w:p>
      <w:pPr>
        <w:spacing w:after="210" w:lineRule="auto"/>
      </w:pPr>
      <w:r>
        <w:rPr>
          <w:b/>
        </w:rPr>
        <w:t xml:space="preserve">Vascular Lesions:</w:t>
      </w:r>
      <w:r>
        <w:rPr/>
        <w:t xml:space="preserve"> Nd:YAG, alexandrite, and 595-nm pulsed dye lasers selectively target hemoglobin within venules and capillaries, inducing thrombosis and subsequent vessel resorption. These systems are used for port-wine stains, spider angiomas, and rosacea-associated telangiectasia.</w:t>
      </w:r>
    </w:p>
    <w:p>
      <w:pPr>
        <w:spacing w:after="210" w:lineRule="auto"/>
      </w:pPr>
      <w:r>
        <w:rPr>
          <w:b/>
        </w:rPr>
        <w:t xml:space="preserve">Pigmented Lesions:</w:t>
      </w:r>
      <w:r>
        <w:rPr/>
        <w:t xml:space="preserve"> Q-switched (nanosecond-pulsed) ruby, alexandrite, and Nd:YAG lasers generate photoacoustic shock waves that mechanically fragment melanin-containing cells. These systems are utilized for benign melanocytic nevi, post-inflammatory hyperpigmentation, and tattoo removal.</w:t>
      </w:r>
    </w:p>
    <w:p>
      <w:pPr>
        <w:spacing w:line="271" w:before="240" w:lineRule="auto"/>
      </w:pPr>
      <w:bookmarkStart w:id="20" w:name="bm_3_potential_limitations_and_im_a38a5d"/>
      <w:r>
        <w:rPr>
          <w:b/>
          <w:sz w:val="28"/>
        </w:rPr>
        <w:t xml:space="preserve">3. Potential Limitations and Implementation Challenges</w:t>
      </w:r>
      <w:bookmarkEnd w:id="20"/>
    </w:p>
    <w:p>
      <w:pPr>
        <w:spacing w:after="210" w:lineRule="auto"/>
      </w:pPr>
      <w:r>
        <w:rPr/>
        <w:t xml:space="preserve">Laser-based aesthetic treatments carry several important constraints:</w:t>
      </w:r>
    </w:p>
    <w:p>
      <w:pPr>
        <w:numPr>
          <w:ilvl w:val="0"/>
          <w:numId w:val="7"/>
        </w:numPr>
        <w:spacing w:lineRule="auto"/>
      </w:pPr>
      <w:r>
        <w:rPr>
          <w:b/>
        </w:rPr>
        <w:t xml:space="preserve">Phototype-dependent efficacy and safety:</w:t>
      </w:r>
      <w:r>
        <w:rPr/>
        <w:t xml:space="preserve"> Darker skin phenotypes face elevated risk of adverse effects (post-inflammatory hyperpigmentation, hypopigmentation, paradoxical hair stimulation with certain parameters) when standard hair removal protocols are applied without adaptation[34].</w:t>
      </w:r>
    </w:p>
    <w:p>
      <w:pPr>
        <w:numPr>
          <w:ilvl w:val="0"/>
          <w:numId w:val="7"/>
        </w:numPr>
        <w:spacing w:lineRule="auto"/>
      </w:pPr>
      <w:r>
        <w:rPr>
          <w:b/>
        </w:rPr>
        <w:t xml:space="preserve">Operator dependence:</w:t>
      </w:r>
      <w:r>
        <w:rPr/>
        <w:t xml:space="preserve"> Laser outcomes are highly sensitive to fluence selection, pulse duration, cooling parameters, and technique. Training and experience are critical determinants of clinical success.</w:t>
      </w:r>
    </w:p>
    <w:p>
      <w:pPr>
        <w:numPr>
          <w:ilvl w:val="0"/>
          <w:numId w:val="7"/>
        </w:numPr>
        <w:spacing w:lineRule="auto"/>
      </w:pPr>
      <w:r>
        <w:rPr>
          <w:b/>
        </w:rPr>
        <w:t xml:space="preserve">Procedural discomfort:</w:t>
      </w:r>
      <w:r>
        <w:rPr/>
        <w:t xml:space="preserve"> Many laser treatments induce pain or dysesthesia during application, requiring topical anesthesia or cooling.</w:t>
      </w:r>
    </w:p>
    <w:p>
      <w:pPr>
        <w:numPr>
          <w:ilvl w:val="0"/>
          <w:numId w:val="7"/>
        </w:numPr>
        <w:spacing w:lineRule="auto"/>
      </w:pPr>
      <w:r>
        <w:rPr>
          <w:b/>
        </w:rPr>
        <w:t xml:space="preserve">Downtime and recovery:</w:t>
      </w:r>
      <w:r>
        <w:rPr>
          <w:rFonts w:eastAsia="Georgia" w:cs="Georgia" w:ascii="Georgia" w:hAnsi="Georgia"/>
        </w:rPr>
        <w:t xml:space="preserve"> Ablative procedures (fractional CO₂, Er:YAG) induce erythema, edema, and exudation lasting days to weeks, limiting aesthetic appeal during recovery.</w:t>
      </w:r>
    </w:p>
    <w:p>
      <w:pPr>
        <w:numPr>
          <w:ilvl w:val="0"/>
          <w:numId w:val="7"/>
        </w:numPr>
        <w:spacing w:lineRule="auto"/>
      </w:pPr>
      <w:r>
        <w:rPr>
          <w:b/>
        </w:rPr>
        <w:t xml:space="preserve">Treatment-related adverse effects:</w:t>
      </w:r>
      <w:r>
        <w:rPr/>
        <w:t xml:space="preserve"> Burns, scarring, dyspigmentation, and paradoxical treatment responses (e.g., hypertrichosis in low-fluence hair removal) are documented complications, albeit generally rare with appropriate technique.</w:t>
      </w:r>
    </w:p>
    <w:p>
      <w:pPr>
        <w:spacing w:line="271" w:before="240" w:lineRule="auto"/>
      </w:pPr>
      <w:bookmarkStart w:id="21" w:name="bm_4_contextual_applicability_con_f6fb02"/>
      <w:r>
        <w:rPr>
          <w:b/>
          <w:sz w:val="28"/>
        </w:rPr>
        <w:t xml:space="preserve">4. Contextual Applicability Constraints</w:t>
      </w:r>
      <w:bookmarkEnd w:id="21"/>
    </w:p>
    <w:p>
      <w:pPr>
        <w:spacing w:after="210" w:lineRule="auto"/>
      </w:pPr>
      <w:r>
        <w:rPr/>
        <w:t xml:space="preserve">Laser-based treatments are best suited for:</w:t>
      </w:r>
    </w:p>
    <w:p>
      <w:pPr>
        <w:numPr>
          <w:ilvl w:val="0"/>
          <w:numId w:val="8"/>
        </w:numPr>
        <w:spacing w:lineRule="auto"/>
      </w:pPr>
      <w:r>
        <w:rPr/>
        <w:t xml:space="preserve">Patients with discrete, well-defined lesions (vascular, pigmented, hair-bearing areas)</w:t>
      </w:r>
    </w:p>
    <w:p>
      <w:pPr>
        <w:numPr>
          <w:ilvl w:val="0"/>
          <w:numId w:val="8"/>
        </w:numPr>
        <w:spacing w:lineRule="auto"/>
      </w:pPr>
      <w:r>
        <w:rPr/>
        <w:t xml:space="preserve">Individuals with fair to moderate skin phenotypes (with equipment and parameter selection adjusted for darker phenotypes)</w:t>
      </w:r>
    </w:p>
    <w:p>
      <w:pPr>
        <w:numPr>
          <w:ilvl w:val="0"/>
          <w:numId w:val="8"/>
        </w:numPr>
        <w:spacing w:lineRule="auto"/>
      </w:pPr>
      <w:r>
        <w:rPr/>
        <w:t xml:space="preserve">Patients tolerating downtime and recovery periods</w:t>
      </w:r>
    </w:p>
    <w:p>
      <w:pPr>
        <w:spacing w:after="210" w:lineRule="auto"/>
      </w:pPr>
      <w:r>
        <w:rPr/>
        <w:t xml:space="preserve">Lasers may be contraindicated or require cautious application in:</w:t>
      </w:r>
    </w:p>
    <w:p>
      <w:pPr>
        <w:numPr>
          <w:ilvl w:val="0"/>
          <w:numId w:val="9"/>
        </w:numPr>
        <w:spacing w:lineRule="auto"/>
      </w:pPr>
      <w:r>
        <w:rPr/>
        <w:t xml:space="preserve">Very dark skin phenotypes (unless using longer-wavelength systems like Nd:YAG)</w:t>
      </w:r>
    </w:p>
    <w:p>
      <w:pPr>
        <w:numPr>
          <w:ilvl w:val="0"/>
          <w:numId w:val="9"/>
        </w:numPr>
        <w:spacing w:lineRule="auto"/>
      </w:pPr>
      <w:r>
        <w:rPr/>
        <w:t xml:space="preserve">Pregnant patients</w:t>
      </w:r>
    </w:p>
    <w:p>
      <w:pPr>
        <w:numPr>
          <w:ilvl w:val="0"/>
          <w:numId w:val="9"/>
        </w:numPr>
        <w:spacing w:lineRule="auto"/>
      </w:pPr>
      <w:r>
        <w:rPr/>
        <w:t xml:space="preserve">Those with active infections or uncontrolled inflammatory dermatoses</w:t>
      </w:r>
    </w:p>
    <w:p>
      <w:pPr>
        <w:numPr>
          <w:ilvl w:val="0"/>
          <w:numId w:val="9"/>
        </w:numPr>
        <w:spacing w:lineRule="auto"/>
      </w:pPr>
      <w:r>
        <w:rPr/>
        <w:t xml:space="preserve">Individuals with unrealistic outcome expectations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iv_photodynamic_therapy_pdt"/>
      <w:r>
        <w:rPr>
          <w:b/>
          <w:sz w:val="42"/>
        </w:rPr>
        <w:t xml:space="preserve">IV. Photodynamic Therapy (PDT)</w:t>
      </w:r>
      <w:bookmarkEnd w:id="22"/>
    </w:p>
    <w:p>
      <w:pPr>
        <w:spacing w:line="271" w:before="240" w:lineRule="auto"/>
      </w:pPr>
      <w:bookmarkStart w:id="23" w:name="a_mechanism_of_action"/>
      <w:r>
        <w:rPr>
          <w:b/>
          <w:sz w:val="33"/>
        </w:rPr>
        <w:t xml:space="preserve">A. Mechanism of Action</w:t>
      </w:r>
      <w:bookmarkEnd w:id="23"/>
    </w:p>
    <w:p>
      <w:pPr>
        <w:spacing w:after="210" w:lineRule="auto"/>
      </w:pPr>
      <w:r>
        <w:rPr>
          <w:rFonts w:eastAsia="Georgia" w:cs="Georgia" w:ascii="Georgia" w:hAnsi="Georgia"/>
        </w:rPr>
        <w:t xml:space="preserve">Photodynamic therapy operates through a distinct biophysical mechanism. A photosensitizing agent—typically an exogenous compound applied topically or injected systemically—is administered to the target tissue. Upon exposure to light at a wavelength corresponding to the agent's absorption spectrum, the photosensitizer is excited to a reactive singlet state, which rapidly undergoes intersystem crossing to a longer-lived triplet state. This triplet state reacts with molecular oxygen to generate reactive oxygen species (ROS), primarily singlet oxygen (¹O₂), which damages cellular membranes, proteins, and mitochondria, ultimately triggering apoptosis or necrosis in target cells[23].</w:t>
      </w:r>
    </w:p>
    <w:p>
      <w:pPr>
        <w:spacing w:line="271" w:before="240" w:lineRule="auto"/>
      </w:pPr>
      <w:bookmarkStart w:id="24" w:name="b_clinical_applications_in_aesthe_768751"/>
      <w:r>
        <w:rPr>
          <w:b/>
          <w:sz w:val="33"/>
        </w:rPr>
        <w:t xml:space="preserve">B. Clinical Applications in Aesthetic Medicine</w:t>
      </w:r>
      <w:bookmarkEnd w:id="24"/>
    </w:p>
    <w:p>
      <w:pPr>
        <w:spacing w:line="271" w:before="240" w:lineRule="auto"/>
      </w:pPr>
      <w:bookmarkStart w:id="25" w:name="bm_1_actinic_keratosis_treatment"/>
      <w:r>
        <w:rPr>
          <w:b/>
          <w:sz w:val="28"/>
        </w:rPr>
        <w:t xml:space="preserve">1. Actinic Keratosis Treatment</w:t>
      </w:r>
      <w:bookmarkEnd w:id="25"/>
    </w:p>
    <w:p>
      <w:pPr>
        <w:spacing w:after="210" w:lineRule="auto"/>
      </w:pPr>
      <w:r>
        <w:rPr>
          <w:rFonts w:eastAsia="Georgia" w:cs="Georgia" w:ascii="Georgia" w:hAnsi="Georgia"/>
        </w:rPr>
        <w:t xml:space="preserve">Actinic keratosis (AK)—a premalignant keratinocytic lesion arising from cumulative solar damage—represents a well-established PDT indication. The FDA approved the combination of aminolevulinic acid (ALA) hydrochloride topical gel with red light illumination for the treatment of mild to moderate AK of the face and scalp in 1999, and approved enhanced protocols including the RhodoLED XL lamp in 2024[22].</w:t>
      </w:r>
    </w:p>
    <w:p>
      <w:pPr>
        <w:spacing w:after="210" w:lineRule="auto"/>
      </w:pPr>
      <w:r>
        <w:rPr>
          <w:b/>
        </w:rPr>
        <w:t xml:space="preserve">Mechanism and Clinical Evidence:</w:t>
      </w:r>
      <w:r>
        <w:rPr>
          <w:rFonts w:eastAsia="Georgia" w:cs="Georgia" w:ascii="Georgia" w:hAnsi="Georgia"/>
        </w:rPr>
        <w:t xml:space="preserve"> Topical ALA is converted to protoporphyrin IX (PPIX) within abnormal keratinocytes, preferentially accumulating in dysplastic cells. Red light (typically 630–680 nm) activates PPIX, generating singlet oxygen that destroys the AK lesion. Clinical trials demonstrate field-level clearance of multiple lesions in a single treatment area, representing an advantage over lesion-directed therapies that address individual lesions sequentially[23].</w:t>
      </w:r>
    </w:p>
    <w:p>
      <w:pPr>
        <w:spacing w:after="210" w:lineRule="auto"/>
      </w:pPr>
      <w:r>
        <w:rPr>
          <w:b/>
        </w:rPr>
        <w:t xml:space="preserve">Recent Protocol Development:</w:t>
      </w:r>
      <w:r>
        <w:rPr>
          <w:rFonts w:eastAsia="Georgia" w:cs="Georgia" w:ascii="Georgia" w:hAnsi="Georgia"/>
        </w:rPr>
        <w:t xml:space="preserve"> "Painless PDT" protocols utilizing lower light intensity with extended illumination have been developed to improve tolerability, as conventional PDT protocols induce significant pain during illumination—a barrier to patient acceptance. Modified protocols using 10% ALA gel with optimized red light parameters have shown efficacy while substantially reducing procedural pain[30].</w:t>
      </w:r>
    </w:p>
    <w:p>
      <w:pPr>
        <w:spacing w:line="271" w:before="240" w:lineRule="auto"/>
      </w:pPr>
      <w:bookmarkStart w:id="26" w:name="bm_2_off_label_applications"/>
      <w:r>
        <w:rPr>
          <w:b/>
          <w:sz w:val="28"/>
        </w:rPr>
        <w:t xml:space="preserve">2. Off-Label Applications</w:t>
      </w:r>
      <w:bookmarkEnd w:id="26"/>
    </w:p>
    <w:p>
      <w:pPr>
        <w:spacing w:after="210" w:lineRule="auto"/>
      </w:pPr>
      <w:r>
        <w:rPr/>
        <w:t xml:space="preserve">PDT has been investigated for acne vulgaris (targeting </w:t>
      </w:r>
      <w:r>
        <w:rPr>
          <w:i/>
        </w:rPr>
        <w:t xml:space="preserve">Cutibacterium acnes</w:t>
      </w:r>
      <w:r>
        <w:rPr/>
        <w:t xml:space="preserve"> and reducing sebaceous gland function), photoaging, and non-melanoma skin cancer; however, aesthetic applications beyond AK remain largely off-label, and evidence is mixed regarding clinical utility in these contexts.</w:t>
      </w:r>
    </w:p>
    <w:p>
      <w:pPr>
        <w:spacing w:line="271" w:before="240" w:lineRule="auto"/>
      </w:pPr>
      <w:bookmarkStart w:id="27" w:name="bm_3_potential_limitations_and_im_af98ab"/>
      <w:r>
        <w:rPr>
          <w:b/>
          <w:sz w:val="28"/>
        </w:rPr>
        <w:t xml:space="preserve">3. Potential Limitations and Implementation Challenges</w:t>
      </w:r>
      <w:bookmarkEnd w:id="27"/>
    </w:p>
    <w:p>
      <w:pPr>
        <w:numPr>
          <w:ilvl w:val="0"/>
          <w:numId w:val="10"/>
        </w:numPr>
        <w:spacing w:lineRule="auto"/>
      </w:pPr>
      <w:r>
        <w:rPr>
          <w:b/>
        </w:rPr>
        <w:t xml:space="preserve">Procedural pain:</w:t>
      </w:r>
      <w:r>
        <w:rPr/>
        <w:t xml:space="preserve"> Despite improved protocols, PDT remains uncomfortable for many patients, potentially limiting uptake even with "painless" variants.</w:t>
      </w:r>
    </w:p>
    <w:p>
      <w:pPr>
        <w:numPr>
          <w:ilvl w:val="0"/>
          <w:numId w:val="10"/>
        </w:numPr>
        <w:spacing w:lineRule="auto"/>
      </w:pPr>
      <w:r>
        <w:rPr>
          <w:b/>
        </w:rPr>
        <w:t xml:space="preserve">Photosensitivity:</w:t>
      </w:r>
      <w:r>
        <w:rPr>
          <w:rFonts w:eastAsia="Georgia" w:cs="Georgia" w:ascii="Georgia" w:hAnsi="Georgia"/>
        </w:rPr>
        <w:t xml:space="preserve"> Patients treated with systemic photosensitizing agents (e.g., psoralens) require strict sun avoidance; even topical PDT patients should observe photoprotection for 24–48 hours post-treatment.</w:t>
      </w:r>
    </w:p>
    <w:p>
      <w:pPr>
        <w:numPr>
          <w:ilvl w:val="0"/>
          <w:numId w:val="10"/>
        </w:numPr>
        <w:spacing w:lineRule="auto"/>
      </w:pPr>
      <w:r>
        <w:rPr>
          <w:b/>
        </w:rPr>
        <w:t xml:space="preserve">Incomplete clearance:</w:t>
      </w:r>
      <w:r>
        <w:rPr/>
        <w:t xml:space="preserve"> While PDT may clear a high percentage of AK lesions, recurrence rates over 12 months are significant, necessitating consideration of maintenance strategies or complementary topical approaches.</w:t>
      </w:r>
    </w:p>
    <w:p>
      <w:pPr>
        <w:numPr>
          <w:ilvl w:val="0"/>
          <w:numId w:val="10"/>
        </w:numPr>
        <w:spacing w:lineRule="auto"/>
      </w:pPr>
      <w:r>
        <w:rPr>
          <w:b/>
        </w:rPr>
        <w:t xml:space="preserve">Variable response:</w:t>
      </w:r>
      <w:r>
        <w:rPr/>
        <w:t xml:space="preserve"> Individual variations in ALA uptake, lesion thickness, and phototype influence clinical outcomes.</w:t>
      </w:r>
    </w:p>
    <w:p>
      <w:pPr>
        <w:spacing w:line="271" w:before="240" w:lineRule="auto"/>
      </w:pPr>
      <w:bookmarkStart w:id="28" w:name="bm_4_contextual_applicability_con_a1c640"/>
      <w:r>
        <w:rPr>
          <w:b/>
          <w:sz w:val="28"/>
        </w:rPr>
        <w:t xml:space="preserve">4. Contextual Applicability Constraints</w:t>
      </w:r>
      <w:bookmarkEnd w:id="28"/>
    </w:p>
    <w:p>
      <w:pPr>
        <w:spacing w:after="210" w:lineRule="auto"/>
      </w:pPr>
      <w:r>
        <w:rPr/>
        <w:t xml:space="preserve">PDT is particularly appropriate for:</w:t>
      </w:r>
    </w:p>
    <w:p>
      <w:pPr>
        <w:numPr>
          <w:ilvl w:val="0"/>
          <w:numId w:val="11"/>
        </w:numPr>
        <w:spacing w:lineRule="auto"/>
      </w:pPr>
      <w:r>
        <w:rPr/>
        <w:t xml:space="preserve">Patients with multiple actinic keratoses in a discrete field (rather than isolated lesions)</w:t>
      </w:r>
    </w:p>
    <w:p>
      <w:pPr>
        <w:numPr>
          <w:ilvl w:val="0"/>
          <w:numId w:val="11"/>
        </w:numPr>
        <w:spacing w:lineRule="auto"/>
      </w:pPr>
      <w:r>
        <w:rPr/>
        <w:t xml:space="preserve">Those with documented photosensitivity to topical retinoids or other photoaging treatments</w:t>
      </w:r>
    </w:p>
    <w:p>
      <w:pPr>
        <w:numPr>
          <w:ilvl w:val="0"/>
          <w:numId w:val="11"/>
        </w:numPr>
        <w:spacing w:lineRule="auto"/>
      </w:pPr>
      <w:r>
        <w:rPr/>
        <w:t xml:space="preserve">Individuals prioritizing field-level treatment rather than single-lesion approaches</w:t>
      </w:r>
    </w:p>
    <w:p>
      <w:pPr>
        <w:spacing w:after="210" w:lineRule="auto"/>
      </w:pPr>
      <w:r>
        <w:rPr/>
        <w:t xml:space="preserve">PDT is less suitable for:</w:t>
      </w:r>
    </w:p>
    <w:p>
      <w:pPr>
        <w:numPr>
          <w:ilvl w:val="0"/>
          <w:numId w:val="12"/>
        </w:numPr>
        <w:spacing w:lineRule="auto"/>
      </w:pPr>
      <w:r>
        <w:rPr/>
        <w:t xml:space="preserve">Patients with significant sun exposure anticipated in the immediate post-treatment period</w:t>
      </w:r>
    </w:p>
    <w:p>
      <w:pPr>
        <w:numPr>
          <w:ilvl w:val="0"/>
          <w:numId w:val="12"/>
        </w:numPr>
        <w:spacing w:lineRule="auto"/>
      </w:pPr>
      <w:r>
        <w:rPr/>
        <w:t xml:space="preserve">Those with a history of porphyria cutanea tarda or other conditions compromising photosensitivity management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v_comparative_framework_and_selec_a99e94"/>
      <w:r>
        <w:rPr>
          <w:b/>
          <w:sz w:val="42"/>
        </w:rPr>
        <w:t xml:space="preserve">V. Comparative Framework and Selectivity Matrix</w:t>
      </w:r>
      <w:bookmarkEnd w:id="29"/>
    </w:p>
    <w:p>
      <w:pPr>
        <w:spacing w:after="210" w:lineRule="auto"/>
      </w:pPr>
      <w:r>
        <w:rPr/>
        <w:t xml:space="preserve">To facilitate clinical decision-making, the following matrix summarizes key differentiating characteristics of the major light-based modalities:</w:t>
      </w:r>
    </w:p>
    <w:p>
      <w:pPr>
        <w:spacing w:after="210" w:lineRule="auto"/>
      </w:pPr>
      <w:r>
        <w:rPr>
          <w:b/>
        </w:rPr>
        <w:t xml:space="preserve">Table 3: Comparative Analysis of Light-Based Aesthetic Therapies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right w:val="single" w:sz="1" w:space="0" w:color="000000"/>
            </w:tcBorders>
          </w:tcPr>
          <w:p>
            <w:pPr>
              <w:spacing w:lineRule="auto"/>
              <w:jc w:val="left"/>
            </w:pPr>
            <w:r>
              <w:rPr/>
              <w:t xml:space="preserve">Parameter</w:t>
            </w:r>
          </w:p>
        </w:tc>
        <w:tc>
          <w:tcPr>
            <w:tcBorders>
              <w:top w:val="single" w:sz="1" w:space="0" w:color="000000"/>
              <w:bottom w:val="single" w:sz="1" w:space="0" w:color="000000"/>
              <w:right w:val="single" w:sz="1" w:space="0" w:color="000000"/>
            </w:tcBorders>
          </w:tcPr>
          <w:p>
            <w:pPr>
              <w:spacing w:lineRule="auto"/>
              <w:jc w:val="left"/>
            </w:pPr>
            <w:r>
              <w:rPr/>
              <w:t xml:space="preserve">PBM (Red/NIR LEDs or Lasers)</w:t>
            </w:r>
          </w:p>
        </w:tc>
        <w:tc>
          <w:tcPr>
            <w:tcBorders>
              <w:top w:val="single" w:sz="1" w:space="0" w:color="000000"/>
              <w:bottom w:val="single" w:sz="1" w:space="0" w:color="000000"/>
              <w:right w:val="single" w:sz="1" w:space="0" w:color="000000"/>
            </w:tcBorders>
          </w:tcPr>
          <w:p>
            <w:pPr>
              <w:spacing w:lineRule="auto"/>
              <w:jc w:val="left"/>
            </w:pPr>
            <w:r>
              <w:rPr/>
              <w:t xml:space="preserve">Selective Photothermolysis (Laser)</w:t>
            </w:r>
          </w:p>
        </w:tc>
        <w:tc>
          <w:tcPr>
            <w:tcBorders>
              <w:top w:val="single" w:sz="1" w:space="0" w:color="000000"/>
              <w:bottom w:val="single" w:sz="1" w:space="0" w:color="000000"/>
              <w:right w:val="single" w:sz="1" w:space="0" w:color="000000"/>
            </w:tcBorders>
          </w:tcPr>
          <w:p>
            <w:pPr>
              <w:spacing w:lineRule="auto"/>
              <w:jc w:val="left"/>
            </w:pPr>
            <w:r>
              <w:rPr/>
              <w:t xml:space="preserve">Photodynamic Therapy</w:t>
            </w:r>
          </w:p>
        </w:tc>
        <w:tc>
          <w:tcPr>
            <w:tcBorders>
              <w:top w:val="single" w:sz="1" w:space="0" w:color="000000"/>
              <w:bottom w:val="single" w:sz="1" w:space="0" w:color="000000"/>
            </w:tcBorders>
          </w:tcPr>
          <w:p>
            <w:pPr>
              <w:spacing w:lineRule="auto"/>
              <w:jc w:val="left"/>
            </w:pPr>
            <w:r>
              <w:rPr/>
              <w:t xml:space="preserve">NB-UVB Phototherapy</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Primary Mechanism</w:t>
            </w:r>
          </w:p>
        </w:tc>
        <w:tc>
          <w:tcPr>
            <w:tcBorders>
              <w:top w:val="single" w:sz="1" w:space="0" w:color="000000"/>
              <w:bottom w:val="single" w:sz="1" w:space="0" w:color="000000"/>
              <w:right w:val="single" w:sz="1" w:space="0" w:color="000000"/>
            </w:tcBorders>
          </w:tcPr>
          <w:p>
            <w:pPr>
              <w:spacing w:lineRule="auto"/>
              <w:jc w:val="left"/>
            </w:pPr>
            <w:r>
              <w:rPr/>
              <w:t xml:space="preserve">Mitochondrial bioenergetics; collagen stimulation</w:t>
            </w:r>
          </w:p>
        </w:tc>
        <w:tc>
          <w:tcPr>
            <w:tcBorders>
              <w:top w:val="single" w:sz="1" w:space="0" w:color="000000"/>
              <w:bottom w:val="single" w:sz="1" w:space="0" w:color="000000"/>
              <w:right w:val="single" w:sz="1" w:space="0" w:color="000000"/>
            </w:tcBorders>
          </w:tcPr>
          <w:p>
            <w:pPr>
              <w:spacing w:lineRule="auto"/>
              <w:jc w:val="left"/>
            </w:pPr>
            <w:r>
              <w:rPr/>
              <w:t xml:space="preserve">Selective chromophore heating; tissue ablation or coagulation</w:t>
            </w:r>
          </w:p>
        </w:tc>
        <w:tc>
          <w:tcPr>
            <w:tcBorders>
              <w:top w:val="single" w:sz="1" w:space="0" w:color="000000"/>
              <w:bottom w:val="single" w:sz="1" w:space="0" w:color="000000"/>
              <w:right w:val="single" w:sz="1" w:space="0" w:color="000000"/>
            </w:tcBorders>
          </w:tcPr>
          <w:p>
            <w:pPr>
              <w:spacing w:lineRule="auto"/>
              <w:jc w:val="left"/>
            </w:pPr>
            <w:r>
              <w:rPr/>
              <w:t xml:space="preserve">Photosensitizer-mediated ROS generation; cellular necrosis/apoptosis</w:t>
            </w:r>
          </w:p>
        </w:tc>
        <w:tc>
          <w:tcPr>
            <w:tcBorders>
              <w:top w:val="single" w:sz="1" w:space="0" w:color="000000"/>
              <w:bottom w:val="single" w:sz="1" w:space="0" w:color="000000"/>
            </w:tcBorders>
          </w:tcPr>
          <w:p>
            <w:pPr>
              <w:spacing w:lineRule="auto"/>
              <w:jc w:val="left"/>
            </w:pPr>
            <w:r>
              <w:rPr/>
              <w:t xml:space="preserve">Direct DNA damage in target cells (immune modulation)</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Typical Onset of Results</w:t>
            </w:r>
          </w:p>
        </w:tc>
        <w:tc>
          <w:tcPr>
            <w:tcBorders>
              <w:top w:val="single" w:sz="1" w:space="0" w:color="000000"/>
              <w:bottom w:val="single" w:sz="1" w:space="0" w:color="000000"/>
              <w:right w:val="single" w:sz="1" w:space="0" w:color="000000"/>
            </w:tcBorders>
          </w:tcPr>
          <w:p>
            <w:pPr>
              <w:spacing w:lineRule="auto"/>
              <w:jc w:val="left"/>
            </w:pPr>
            <w:r>
              <w:rPr/>
              <w:t xml:space="preserve">Gradual (weeks to months)</w:t>
            </w:r>
          </w:p>
        </w:tc>
        <w:tc>
          <w:tcPr>
            <w:tcBorders>
              <w:top w:val="single" w:sz="1" w:space="0" w:color="000000"/>
              <w:bottom w:val="single" w:sz="1" w:space="0" w:color="000000"/>
              <w:right w:val="single" w:sz="1" w:space="0" w:color="000000"/>
            </w:tcBorders>
          </w:tcPr>
          <w:p>
            <w:pPr>
              <w:spacing w:lineRule="auto"/>
              <w:jc w:val="left"/>
            </w:pPr>
            <w:r>
              <w:rPr/>
              <w:t xml:space="preserve">Immediate to weeks</w:t>
            </w:r>
          </w:p>
        </w:tc>
        <w:tc>
          <w:tcPr>
            <w:tcBorders>
              <w:top w:val="single" w:sz="1" w:space="0" w:color="000000"/>
              <w:bottom w:val="single" w:sz="1" w:space="0" w:color="000000"/>
              <w:right w:val="single" w:sz="1" w:space="0" w:color="000000"/>
            </w:tcBorders>
          </w:tcPr>
          <w:p>
            <w:pPr>
              <w:spacing w:lineRule="auto"/>
              <w:jc w:val="left"/>
            </w:pPr>
            <w:r>
              <w:rPr/>
              <w:t xml:space="preserve">Immediate to weeks</w:t>
            </w:r>
          </w:p>
        </w:tc>
        <w:tc>
          <w:tcPr>
            <w:tcBorders>
              <w:top w:val="single" w:sz="1" w:space="0" w:color="000000"/>
              <w:bottom w:val="single" w:sz="1" w:space="0" w:color="000000"/>
            </w:tcBorders>
          </w:tcPr>
          <w:p>
            <w:pPr>
              <w:spacing w:lineRule="auto"/>
              <w:jc w:val="left"/>
            </w:pPr>
            <w:r>
              <w:rPr/>
              <w:t xml:space="preserve">Gradual (weeks to months)</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Downtime/Recovery</w:t>
            </w:r>
          </w:p>
        </w:tc>
        <w:tc>
          <w:tcPr>
            <w:tcBorders>
              <w:top w:val="single" w:sz="1" w:space="0" w:color="000000"/>
              <w:bottom w:val="single" w:sz="1" w:space="0" w:color="000000"/>
              <w:right w:val="single" w:sz="1" w:space="0" w:color="000000"/>
            </w:tcBorders>
          </w:tcPr>
          <w:p>
            <w:pPr>
              <w:spacing w:lineRule="auto"/>
              <w:jc w:val="left"/>
            </w:pPr>
            <w:r>
              <w:rPr/>
              <w:t xml:space="preserve">Minimal (no downtime typical)</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Variable (minimal to 2–3 weeks depending on ablation depth)</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Minimal to moderate (24–48 hours)</w:t>
            </w:r>
          </w:p>
        </w:tc>
        <w:tc>
          <w:tcPr>
            <w:tcBorders>
              <w:top w:val="single" w:sz="1" w:space="0" w:color="000000"/>
              <w:bottom w:val="single" w:sz="1" w:space="0" w:color="000000"/>
              <w:right w:val="single" w:sz="1" w:space="0" w:color="000000"/>
            </w:tcBorders>
          </w:tcPr>
          <w:p>
            <w:pPr>
              <w:spacing w:lineRule="auto"/>
              <w:jc w:val="left"/>
            </w:pPr>
            <w:r>
              <w:rPr/>
              <w:t xml:space="preserve">Minimal</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Aesthetic Indications</w:t>
            </w:r>
          </w:p>
        </w:tc>
        <w:tc>
          <w:tcPr>
            <w:tcBorders>
              <w:top w:val="single" w:sz="1" w:space="0" w:color="000000"/>
              <w:bottom w:val="single" w:sz="1" w:space="0" w:color="000000"/>
              <w:right w:val="single" w:sz="1" w:space="0" w:color="000000"/>
            </w:tcBorders>
          </w:tcPr>
          <w:p>
            <w:pPr>
              <w:spacing w:lineRule="auto"/>
              <w:jc w:val="left"/>
            </w:pPr>
            <w:r>
              <w:rPr/>
              <w:t xml:space="preserve">Skin rejuvenation, hair loss, post-procedure healing</w:t>
            </w:r>
          </w:p>
        </w:tc>
        <w:tc>
          <w:tcPr>
            <w:tcBorders>
              <w:top w:val="single" w:sz="1" w:space="0" w:color="000000"/>
              <w:bottom w:val="single" w:sz="1" w:space="0" w:color="000000"/>
              <w:right w:val="single" w:sz="1" w:space="0" w:color="000000"/>
            </w:tcBorders>
          </w:tcPr>
          <w:p>
            <w:pPr>
              <w:spacing w:lineRule="auto"/>
              <w:jc w:val="left"/>
            </w:pPr>
            <w:r>
              <w:rPr/>
              <w:t xml:space="preserve">Hair removal, vascular/pigmented lesions, resurfacing</w:t>
            </w:r>
          </w:p>
        </w:tc>
        <w:tc>
          <w:tcPr>
            <w:tcBorders>
              <w:top w:val="single" w:sz="1" w:space="0" w:color="000000"/>
              <w:bottom w:val="single" w:sz="1" w:space="0" w:color="000000"/>
              <w:right w:val="single" w:sz="1" w:space="0" w:color="000000"/>
            </w:tcBorders>
          </w:tcPr>
          <w:p>
            <w:pPr>
              <w:spacing w:lineRule="auto"/>
              <w:jc w:val="left"/>
            </w:pPr>
            <w:r>
              <w:rPr/>
              <w:t xml:space="preserve">Actinic keratosis, acne (off-label)</w:t>
            </w:r>
          </w:p>
        </w:tc>
        <w:tc>
          <w:tcPr>
            <w:tcBorders>
              <w:top w:val="single" w:sz="1" w:space="0" w:color="000000"/>
              <w:bottom w:val="single" w:sz="1" w:space="0" w:color="000000"/>
            </w:tcBorders>
          </w:tcPr>
          <w:p>
            <w:pPr>
              <w:spacing w:lineRule="auto"/>
              <w:jc w:val="left"/>
            </w:pPr>
            <w:r>
              <w:rPr/>
              <w:t xml:space="preserve">Psoriasis, vitiligo, eczema</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Phototype Considerations</w:t>
            </w:r>
          </w:p>
        </w:tc>
        <w:tc>
          <w:tcPr>
            <w:tcBorders>
              <w:top w:val="single" w:sz="1" w:space="0" w:color="000000"/>
              <w:bottom w:val="single" w:sz="1" w:space="0" w:color="000000"/>
              <w:right w:val="single" w:sz="1" w:space="0" w:color="000000"/>
            </w:tcBorders>
          </w:tcPr>
          <w:p>
            <w:pPr>
              <w:spacing w:lineRule="auto"/>
              <w:jc w:val="left"/>
            </w:pPr>
            <w:r>
              <w:rPr/>
              <w:t xml:space="preserve">Generally safe across phototypes; efficacy independent of melanin</w:t>
            </w:r>
          </w:p>
        </w:tc>
        <w:tc>
          <w:tcPr>
            <w:tcBorders>
              <w:top w:val="single" w:sz="1" w:space="0" w:color="000000"/>
              <w:bottom w:val="single" w:sz="1" w:space="0" w:color="000000"/>
              <w:right w:val="single" w:sz="1" w:space="0" w:color="000000"/>
            </w:tcBorders>
          </w:tcPr>
          <w:p>
            <w:pPr>
              <w:spacing w:lineRule="auto"/>
              <w:jc w:val="left"/>
            </w:pPr>
            <w:r>
              <w:rPr/>
              <w:t xml:space="preserve">Requires adjustment for darker phototypes; risk of dyspigmentation if parameters not optimized</w:t>
            </w:r>
          </w:p>
        </w:tc>
        <w:tc>
          <w:tcPr>
            <w:tcBorders>
              <w:top w:val="single" w:sz="1" w:space="0" w:color="000000"/>
              <w:bottom w:val="single" w:sz="1" w:space="0" w:color="000000"/>
              <w:right w:val="single" w:sz="1" w:space="0" w:color="000000"/>
            </w:tcBorders>
          </w:tcPr>
          <w:p>
            <w:pPr>
              <w:spacing w:lineRule="auto"/>
              <w:jc w:val="left"/>
            </w:pPr>
            <w:r>
              <w:rPr/>
              <w:t xml:space="preserve">Minimal phototype dependence; suitable for broader range</w:t>
            </w:r>
          </w:p>
        </w:tc>
        <w:tc>
          <w:tcPr>
            <w:tcBorders>
              <w:top w:val="single" w:sz="1" w:space="0" w:color="000000"/>
              <w:bottom w:val="single" w:sz="1" w:space="0" w:color="000000"/>
            </w:tcBorders>
          </w:tcPr>
          <w:p>
            <w:pPr>
              <w:spacing w:lineRule="auto"/>
              <w:jc w:val="left"/>
            </w:pPr>
            <w:r>
              <w:rPr/>
              <w:t xml:space="preserve">Generally safe; some increased risk of xerosis in darker skin</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Treatment Frequency</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Repeated (weekly to biweekly over 4–8 weeks typical)</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Variable; often 6–12 sessions spaced 4–6 weeks</w:t>
            </w:r>
          </w:p>
        </w:tc>
        <w:tc>
          <w:tcPr>
            <w:tcBorders>
              <w:top w:val="single" w:sz="1" w:space="0" w:color="000000"/>
              <w:bottom w:val="single" w:sz="1" w:space="0" w:color="000000"/>
              <w:right w:val="single" w:sz="1" w:space="0" w:color="000000"/>
            </w:tcBorders>
          </w:tcPr>
          <w:p>
            <w:pPr>
              <w:spacing w:lineRule="auto"/>
              <w:jc w:val="left"/>
            </w:pPr>
            <w:r>
              <w:rPr>
                <w:rFonts w:eastAsia="Georgia" w:cs="Georgia" w:ascii="Georgia" w:hAnsi="Georgia"/>
              </w:rPr>
              <w:t xml:space="preserve">Often 1–3 sessions spaced 3–4 weeks</w:t>
            </w:r>
          </w:p>
        </w:tc>
        <w:tc>
          <w:tcPr>
            <w:tcBorders>
              <w:top w:val="single" w:sz="1" w:space="0" w:color="000000"/>
              <w:bottom w:val="single" w:sz="1" w:space="0" w:color="000000"/>
            </w:tcBorders>
          </w:tcPr>
          <w:p>
            <w:pPr>
              <w:spacing w:lineRule="auto"/>
              <w:jc w:val="left"/>
            </w:pPr>
            <w:r>
              <w:rPr>
                <w:rFonts w:eastAsia="Georgia" w:cs="Georgia" w:ascii="Georgia" w:hAnsi="Georgia"/>
              </w:rPr>
              <w:t xml:space="preserve">2–3 times weekly for inflammatory indications</w:t>
            </w:r>
          </w:p>
        </w:tc>
      </w:tr>
      <w:tr>
        <w:trPr>
          <w:cantSplit/>
        </w:trPr>
        <w:tc>
          <w:tcPr>
            <w:tcBorders>
              <w:top w:val="single" w:sz="1" w:space="0" w:color="000000"/>
              <w:bottom w:val="single" w:sz="1" w:space="0" w:color="000000"/>
              <w:right w:val="single" w:sz="1" w:space="0" w:color="000000"/>
            </w:tcBorders>
          </w:tcPr>
          <w:p>
            <w:pPr>
              <w:spacing w:lineRule="auto"/>
              <w:jc w:val="left"/>
            </w:pPr>
            <w:r>
              <w:rPr>
                <w:b/>
              </w:rPr>
              <w:t xml:space="preserve">Cost (Relative)</w:t>
            </w:r>
          </w:p>
        </w:tc>
        <w:tc>
          <w:tcPr>
            <w:tcBorders>
              <w:top w:val="single" w:sz="1" w:space="0" w:color="000000"/>
              <w:bottom w:val="single" w:sz="1" w:space="0" w:color="000000"/>
              <w:right w:val="single" w:sz="1" w:space="0" w:color="000000"/>
            </w:tcBorders>
          </w:tcPr>
          <w:p>
            <w:pPr>
              <w:spacing w:lineRule="auto"/>
              <w:jc w:val="left"/>
            </w:pPr>
            <w:r>
              <w:rPr/>
              <w:t xml:space="preserve">Low to moderate</w:t>
            </w:r>
          </w:p>
        </w:tc>
        <w:tc>
          <w:tcPr>
            <w:tcBorders>
              <w:top w:val="single" w:sz="1" w:space="0" w:color="000000"/>
              <w:bottom w:val="single" w:sz="1" w:space="0" w:color="000000"/>
              <w:right w:val="single" w:sz="1" w:space="0" w:color="000000"/>
            </w:tcBorders>
          </w:tcPr>
          <w:p>
            <w:pPr>
              <w:spacing w:lineRule="auto"/>
              <w:jc w:val="left"/>
            </w:pPr>
            <w:r>
              <w:rPr/>
              <w:t xml:space="preserve">Moderate to high</w:t>
            </w:r>
          </w:p>
        </w:tc>
        <w:tc>
          <w:tcPr>
            <w:tcBorders>
              <w:top w:val="single" w:sz="1" w:space="0" w:color="000000"/>
              <w:bottom w:val="single" w:sz="1" w:space="0" w:color="000000"/>
              <w:right w:val="single" w:sz="1" w:space="0" w:color="000000"/>
            </w:tcBorders>
          </w:tcPr>
          <w:p>
            <w:pPr>
              <w:spacing w:lineRule="auto"/>
              <w:jc w:val="left"/>
            </w:pPr>
            <w:r>
              <w:rPr/>
              <w:t xml:space="preserve">Moderate</w:t>
            </w:r>
          </w:p>
        </w:tc>
        <w:tc>
          <w:tcPr>
            <w:tcBorders>
              <w:top w:val="single" w:sz="1" w:space="0" w:color="000000"/>
              <w:bottom w:val="single" w:sz="1" w:space="0" w:color="000000"/>
            </w:tcBorders>
          </w:tcPr>
          <w:p>
            <w:pPr>
              <w:spacing w:lineRule="auto"/>
              <w:jc w:val="left"/>
            </w:pPr>
            <w:r>
              <w:rPr/>
              <w:t xml:space="preserve">Low to moderate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vi_safety_considerations_and_adve_80665e"/>
      <w:r>
        <w:rPr>
          <w:b/>
          <w:sz w:val="42"/>
        </w:rPr>
        <w:t xml:space="preserve">VI. Safety Considerations and Adverse Effects</w:t>
      </w:r>
      <w:bookmarkEnd w:id="30"/>
    </w:p>
    <w:p>
      <w:pPr>
        <w:spacing w:line="271" w:before="240" w:lineRule="auto"/>
      </w:pPr>
      <w:bookmarkStart w:id="31" w:name="a_general_safety_profile"/>
      <w:r>
        <w:rPr>
          <w:b/>
          <w:sz w:val="33"/>
        </w:rPr>
        <w:t xml:space="preserve">A. General Safety Profile</w:t>
      </w:r>
      <w:bookmarkEnd w:id="31"/>
    </w:p>
    <w:p>
      <w:pPr>
        <w:spacing w:after="210" w:lineRule="auto"/>
      </w:pPr>
      <w:r>
        <w:rPr/>
        <w:t xml:space="preserve">Current clinical and preclinical evidence suggests that non-ablative light-based therapies are generally well-tolerated when applied within established treatment parameters[26]. A systematic review of PBM trials for aesthetic applications identified only mild, transient adverse effects: erythema in a small proportion of patients, typically resolving within 24 hours.</w:t>
      </w:r>
    </w:p>
    <w:p>
      <w:pPr>
        <w:spacing w:after="210" w:lineRule="auto"/>
      </w:pPr>
      <w:r>
        <w:rPr/>
        <w:t xml:space="preserve">However, all light-based therapies carry inherent risks, and comprehensive informed consent is advisable.</w:t>
      </w:r>
    </w:p>
    <w:p>
      <w:pPr>
        <w:spacing w:line="271" w:before="240" w:lineRule="auto"/>
      </w:pPr>
      <w:bookmarkStart w:id="32" w:name="b_specific_adverse_effects_by_modality"/>
      <w:r>
        <w:rPr>
          <w:b/>
          <w:sz w:val="33"/>
        </w:rPr>
        <w:t xml:space="preserve">B. Specific Adverse Effects by Modality</w:t>
      </w:r>
      <w:bookmarkEnd w:id="32"/>
    </w:p>
    <w:p>
      <w:pPr>
        <w:spacing w:line="271" w:before="240" w:lineRule="auto"/>
      </w:pPr>
      <w:bookmarkStart w:id="33" w:name="bm_1_photobiomodulation"/>
      <w:r>
        <w:rPr>
          <w:b/>
          <w:sz w:val="28"/>
        </w:rPr>
        <w:t xml:space="preserve">1. Photobiomodulation</w:t>
      </w:r>
      <w:bookmarkEnd w:id="33"/>
    </w:p>
    <w:p>
      <w:pPr>
        <w:spacing w:after="210" w:lineRule="auto"/>
      </w:pPr>
      <w:r>
        <w:rPr>
          <w:b/>
        </w:rPr>
        <w:t xml:space="preserve">Adverse effects are rare.</w:t>
      </w:r>
      <w:r>
        <w:rPr>
          <w:rFonts w:eastAsia="Georgia" w:cs="Georgia" w:ascii="Georgia" w:hAnsi="Georgia"/>
        </w:rPr>
        <w:t xml:space="preserve"> The most commonly reported effect is mild, transient facial erythema (2–15% of patients in clinical trials), which typically resolves spontaneously within 24 hours. No evidence supports oncogenic or phototoxic effects from repeated PBM exposure in the aesthetic context[26].</w:t>
      </w:r>
    </w:p>
    <w:p>
      <w:pPr>
        <w:spacing w:after="210" w:lineRule="auto"/>
      </w:pPr>
      <w:r>
        <w:rPr>
          <w:b/>
        </w:rPr>
        <w:t xml:space="preserve">Special consideration:</w:t>
      </w:r>
      <w:r>
        <w:rPr/>
        <w:t xml:space="preserve"> Patients with a personal history of photosensitivity disorders (porphyria cutanea tarda, xeroderma pigmentosum) should avoid PBM until risk stratification is completed.</w:t>
      </w:r>
    </w:p>
    <w:p>
      <w:pPr>
        <w:spacing w:line="271" w:before="240" w:lineRule="auto"/>
      </w:pPr>
      <w:bookmarkStart w:id="34" w:name="bm_2_selective_photothermolysis_laser"/>
      <w:r>
        <w:rPr>
          <w:b/>
          <w:sz w:val="28"/>
        </w:rPr>
        <w:t xml:space="preserve">2. Selective Photothermolysis (Laser)</w:t>
      </w:r>
      <w:bookmarkEnd w:id="34"/>
    </w:p>
    <w:p>
      <w:pPr>
        <w:spacing w:after="210" w:lineRule="auto"/>
      </w:pPr>
      <w:r>
        <w:rPr/>
        <w:t xml:space="preserve">Adverse effects vary with wavelength, fluence, and skin phototype:</w:t>
      </w:r>
    </w:p>
    <w:p>
      <w:pPr>
        <w:numPr>
          <w:ilvl w:val="0"/>
          <w:numId w:val="13"/>
        </w:numPr>
        <w:spacing w:lineRule="auto"/>
      </w:pPr>
      <w:r>
        <w:rPr>
          <w:b/>
        </w:rPr>
        <w:t xml:space="preserve">Immediate:</w:t>
      </w:r>
      <w:r>
        <w:rPr/>
        <w:t xml:space="preserve"> Pain, erythema, edema, purpura (expected in vascular lesion treatment).</w:t>
      </w:r>
    </w:p>
    <w:p>
      <w:pPr>
        <w:numPr>
          <w:ilvl w:val="0"/>
          <w:numId w:val="13"/>
        </w:numPr>
        <w:spacing w:lineRule="auto"/>
      </w:pPr>
      <w:r>
        <w:rPr>
          <w:b/>
        </w:rPr>
        <w:t xml:space="preserve">Short-term:</w:t>
      </w:r>
      <w:r>
        <w:rPr/>
        <w:t xml:space="preserve"> Temporary dyspigmentation (post-inflammatory hyper- or hypopigmentation), blistering, crusting.</w:t>
      </w:r>
    </w:p>
    <w:p>
      <w:pPr>
        <w:numPr>
          <w:ilvl w:val="0"/>
          <w:numId w:val="13"/>
        </w:numPr>
        <w:spacing w:lineRule="auto"/>
      </w:pPr>
      <w:r>
        <w:rPr>
          <w:b/>
        </w:rPr>
        <w:t xml:space="preserve">Delayed/Rare:</w:t>
      </w:r>
      <w:r>
        <w:rPr/>
        <w:t xml:space="preserve"> Permanent scarring, ectropion (if applied near eyelids), paradoxical hair growth stimulation (in hair removal at subthreshold fluences).</w:t>
      </w:r>
    </w:p>
    <w:p>
      <w:pPr>
        <w:spacing w:after="210" w:lineRule="auto"/>
      </w:pPr>
      <w:r>
        <w:rPr>
          <w:b/>
        </w:rPr>
        <w:t xml:space="preserve">Phototype considerations:</w:t>
      </w:r>
      <w:r>
        <w:rPr/>
        <w:t xml:space="preserve"> Darker skin phenotypes carry elevated risk of post-inflammatory hyperpigmentation and should be treated with longer wavelengths (Nd:YAG preferred) and conservative fluences.</w:t>
      </w:r>
    </w:p>
    <w:p>
      <w:pPr>
        <w:spacing w:line="271" w:before="240" w:lineRule="auto"/>
      </w:pPr>
      <w:bookmarkStart w:id="35" w:name="bm_3_photodynamic_therapy"/>
      <w:r>
        <w:rPr>
          <w:b/>
          <w:sz w:val="28"/>
        </w:rPr>
        <w:t xml:space="preserve">3. Photodynamic Therapy</w:t>
      </w:r>
      <w:bookmarkEnd w:id="35"/>
    </w:p>
    <w:p>
      <w:pPr>
        <w:numPr>
          <w:ilvl w:val="0"/>
          <w:numId w:val="14"/>
        </w:numPr>
        <w:spacing w:lineRule="auto"/>
      </w:pPr>
      <w:r>
        <w:rPr>
          <w:b/>
        </w:rPr>
        <w:t xml:space="preserve">During treatment:</w:t>
      </w:r>
      <w:r>
        <w:rPr/>
        <w:t xml:space="preserve"> Burning pain (mitigated by modified "painless PDT" protocols).</w:t>
      </w:r>
    </w:p>
    <w:p>
      <w:pPr>
        <w:numPr>
          <w:ilvl w:val="0"/>
          <w:numId w:val="14"/>
        </w:numPr>
        <w:spacing w:lineRule="auto"/>
      </w:pPr>
      <w:r>
        <w:rPr>
          <w:b/>
        </w:rPr>
        <w:t xml:space="preserve">Post-treatment:</w:t>
      </w:r>
      <w:r>
        <w:rPr/>
        <w:t xml:space="preserve"> Erythema, edema, crusting, temporary dyspigmentation.</w:t>
      </w:r>
    </w:p>
    <w:p>
      <w:pPr>
        <w:numPr>
          <w:ilvl w:val="0"/>
          <w:numId w:val="14"/>
        </w:numPr>
        <w:spacing w:lineRule="auto"/>
      </w:pPr>
      <w:r>
        <w:rPr>
          <w:b/>
        </w:rPr>
        <w:t xml:space="preserve">Rare:</w:t>
      </w:r>
      <w:r>
        <w:rPr/>
        <w:t xml:space="preserve"> Severe phototoxic reactions in photosensitive individuals or with systemic photosensitizing medications.</w:t>
      </w:r>
    </w:p>
    <w:p>
      <w:pPr>
        <w:spacing w:line="271" w:before="240" w:lineRule="auto"/>
      </w:pPr>
      <w:bookmarkStart w:id="36" w:name="bm_4_systemic_phototherapy_uvb_excimer"/>
      <w:r>
        <w:rPr>
          <w:b/>
          <w:sz w:val="28"/>
        </w:rPr>
        <w:t xml:space="preserve">4. Systemic Phototherapy (UVB, Excimer)</w:t>
      </w:r>
      <w:bookmarkEnd w:id="36"/>
    </w:p>
    <w:p>
      <w:pPr>
        <w:numPr>
          <w:ilvl w:val="0"/>
          <w:numId w:val="15"/>
        </w:numPr>
        <w:spacing w:lineRule="auto"/>
      </w:pPr>
      <w:r>
        <w:rPr>
          <w:b/>
        </w:rPr>
        <w:t xml:space="preserve">Acute:</w:t>
      </w:r>
      <w:r>
        <w:rPr/>
        <w:t xml:space="preserve"> Erythema, pruritus.</w:t>
      </w:r>
    </w:p>
    <w:p>
      <w:pPr>
        <w:numPr>
          <w:ilvl w:val="0"/>
          <w:numId w:val="15"/>
        </w:numPr>
        <w:spacing w:lineRule="auto"/>
      </w:pPr>
      <w:r>
        <w:rPr>
          <w:b/>
        </w:rPr>
        <w:t xml:space="preserve">Chronic:</w:t>
      </w:r>
      <w:r>
        <w:rPr/>
        <w:t xml:space="preserve"> Potential increased skin cancer risk with prolonged cumulative exposure (though risk is substantially lower than natural sunlight exposure and is offset by therapeutic benefit in appropriate indications).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vii_integration_with_broader_aest_a3d33a"/>
      <w:r>
        <w:rPr>
          <w:b/>
          <w:sz w:val="42"/>
        </w:rPr>
        <w:t xml:space="preserve">VII. Integration with Broader Aesthetic and Therapeutic Strategies</w:t>
      </w:r>
      <w:bookmarkEnd w:id="37"/>
    </w:p>
    <w:p>
      <w:pPr>
        <w:spacing w:line="271" w:before="240" w:lineRule="auto"/>
      </w:pPr>
      <w:bookmarkStart w:id="38" w:name="a_combination_therapies"/>
      <w:r>
        <w:rPr>
          <w:b/>
          <w:sz w:val="33"/>
        </w:rPr>
        <w:t xml:space="preserve">A. Combination Therapies</w:t>
      </w:r>
      <w:bookmarkEnd w:id="38"/>
    </w:p>
    <w:p>
      <w:pPr>
        <w:spacing w:after="210" w:lineRule="auto"/>
      </w:pPr>
      <w:r>
        <w:rPr/>
        <w:t xml:space="preserve">Light-based modalities are increasingly integrated into multi-modal aesthetic protocols:</w:t>
      </w:r>
    </w:p>
    <w:p>
      <w:pPr>
        <w:numPr>
          <w:ilvl w:val="0"/>
          <w:numId w:val="16"/>
        </w:numPr>
        <w:spacing w:lineRule="auto"/>
      </w:pPr>
      <w:r>
        <w:rPr>
          <w:b/>
        </w:rPr>
        <w:t xml:space="preserve">PBM + topical agents:</w:t>
      </w:r>
      <w:r>
        <w:rPr/>
        <w:t xml:space="preserve"> Research suggests that combining PBM with topical serums or retinoids may yield synergistic improvements in skin rejuvenation[26].</w:t>
      </w:r>
    </w:p>
    <w:p>
      <w:pPr>
        <w:numPr>
          <w:ilvl w:val="0"/>
          <w:numId w:val="16"/>
        </w:numPr>
        <w:spacing w:lineRule="auto"/>
      </w:pPr>
      <w:r>
        <w:rPr>
          <w:b/>
        </w:rPr>
        <w:t xml:space="preserve">Laser + phototherapy combinations:</w:t>
      </w:r>
      <w:r>
        <w:rPr/>
        <w:t xml:space="preserve"> Excimer laser therapy in psoriasis is often combined with topical vitamin D analogues or tar-based products to enhance clinical response[29].</w:t>
      </w:r>
    </w:p>
    <w:p>
      <w:pPr>
        <w:numPr>
          <w:ilvl w:val="0"/>
          <w:numId w:val="16"/>
        </w:numPr>
        <w:spacing w:lineRule="auto"/>
      </w:pPr>
      <w:r>
        <w:rPr>
          <w:b/>
        </w:rPr>
        <w:t xml:space="preserve">Post-procedural PBM:</w:t>
      </w:r>
      <w:r>
        <w:rPr/>
        <w:t xml:space="preserve"> Following ablative laser resurfacing or chemical peels, PBM is employed to reduce inflammation and accelerate epithelialization[31].</w:t>
      </w:r>
    </w:p>
    <w:p>
      <w:pPr>
        <w:spacing w:line="271" w:before="240" w:lineRule="auto"/>
      </w:pPr>
      <w:bookmarkStart w:id="39" w:name="b_personalized_medicine_approaches"/>
      <w:r>
        <w:rPr>
          <w:b/>
          <w:sz w:val="33"/>
        </w:rPr>
        <w:t xml:space="preserve">B. Personalized Medicine Approaches</w:t>
      </w:r>
      <w:bookmarkEnd w:id="39"/>
    </w:p>
    <w:p>
      <w:pPr>
        <w:spacing w:after="210" w:lineRule="auto"/>
      </w:pPr>
      <w:r>
        <w:rPr/>
        <w:t xml:space="preserve">The future trajectory of light-based therapies suggests movement toward </w:t>
      </w:r>
      <w:r>
        <w:rPr>
          <w:b/>
        </w:rPr>
        <w:t xml:space="preserve">precision photodermatology</w:t>
      </w:r>
      <w:r>
        <w:rPr>
          <w:rFonts w:eastAsia="Georgia" w:cs="Georgia" w:ascii="Georgia" w:hAnsi="Georgia"/>
        </w:rPr>
        <w:t xml:space="preserve">—tailoring treatment wavelengths, fluences, and protocols to individual phototypes, genetic predispositions, and biomarkers of therapeutic response. Ongoing research investigating genetic and epigenetic factors underlying variable treatment response may enable prognostic biomarkers to identify optimal candidates for specific modalities.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viii_implications_for_sustainable_270299"/>
      <w:r>
        <w:rPr>
          <w:b/>
          <w:sz w:val="42"/>
        </w:rPr>
        <w:t xml:space="preserve">VIII. Implications for Sustainable Healthcare Practice</w:t>
      </w:r>
      <w:bookmarkEnd w:id="40"/>
    </w:p>
    <w:p>
      <w:pPr>
        <w:spacing w:after="210" w:lineRule="auto"/>
      </w:pPr>
      <w:r>
        <w:rPr/>
        <w:t xml:space="preserve">As light-based aesthetic therapies proliferate, several considerations merit attention for sustainable, equitable healthcare delivery:</w:t>
      </w:r>
    </w:p>
    <w:p>
      <w:pPr>
        <w:spacing w:line="271" w:before="240" w:lineRule="auto"/>
      </w:pPr>
      <w:bookmarkStart w:id="41" w:name="a_reducing_health_disparities"/>
      <w:r>
        <w:rPr>
          <w:b/>
          <w:sz w:val="33"/>
        </w:rPr>
        <w:t xml:space="preserve">A. Reducing Health Disparities</w:t>
      </w:r>
      <w:bookmarkEnd w:id="41"/>
    </w:p>
    <w:p>
      <w:pPr>
        <w:spacing w:after="210" w:lineRule="auto"/>
      </w:pPr>
      <w:r>
        <w:rPr/>
        <w:t xml:space="preserve">Light-based therapies, particularly laser systems, have historically been optimized for lighter skin phenotypes. Substantial evidence documents differential efficacy and safety profiles across phototypes[34]. Future development should prioritize:</w:t>
      </w:r>
    </w:p>
    <w:p>
      <w:pPr>
        <w:numPr>
          <w:ilvl w:val="0"/>
          <w:numId w:val="17"/>
        </w:numPr>
        <w:spacing w:lineRule="auto"/>
      </w:pPr>
      <w:r>
        <w:rPr/>
        <w:t xml:space="preserve">Multi-center clinical trials enrolling diverse skin phototypes</w:t>
      </w:r>
    </w:p>
    <w:p>
      <w:pPr>
        <w:numPr>
          <w:ilvl w:val="0"/>
          <w:numId w:val="17"/>
        </w:numPr>
        <w:spacing w:lineRule="auto"/>
      </w:pPr>
      <w:r>
        <w:rPr/>
        <w:t xml:space="preserve">Optimization of laser parameters and alternative wavelengths suited to darker skin</w:t>
      </w:r>
    </w:p>
    <w:p>
      <w:pPr>
        <w:numPr>
          <w:ilvl w:val="0"/>
          <w:numId w:val="17"/>
        </w:numPr>
        <w:spacing w:lineRule="auto"/>
      </w:pPr>
      <w:r>
        <w:rPr/>
        <w:t xml:space="preserve">Training curricula emphasizing phototype-specific approaches</w:t>
      </w:r>
    </w:p>
    <w:p>
      <w:pPr>
        <w:numPr>
          <w:ilvl w:val="0"/>
          <w:numId w:val="17"/>
        </w:numPr>
        <w:spacing w:lineRule="auto"/>
      </w:pPr>
      <w:r>
        <w:rPr/>
        <w:t xml:space="preserve">Equitable access to advanced technologies</w:t>
      </w:r>
    </w:p>
    <w:p>
      <w:pPr>
        <w:spacing w:line="271" w:before="240" w:lineRule="auto"/>
      </w:pPr>
      <w:bookmarkStart w:id="42" w:name="b_long_term_outcome_monitoring"/>
      <w:r>
        <w:rPr>
          <w:b/>
          <w:sz w:val="33"/>
        </w:rPr>
        <w:t xml:space="preserve">B. Long-Term Outcome Monitoring</w:t>
      </w:r>
      <w:bookmarkEnd w:id="42"/>
    </w:p>
    <w:p>
      <w:pPr>
        <w:spacing w:after="210" w:lineRule="auto"/>
      </w:pPr>
      <w:r>
        <w:rPr>
          <w:rFonts w:eastAsia="Georgia" w:cs="Georgia" w:ascii="Georgia" w:hAnsi="Georgia"/>
        </w:rPr>
        <w:t xml:space="preserve">While short-term safety data for PBM and laser systems are reassuring, long-term prospective cohort studies tracking outcomes over 5–10 years remain limited. It is advisable that institutions maintain registries of treated patients to enable post-market surveillance and early detection of rare, delayed adverse effects.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ix_conclusion_and_recommendations"/>
      <w:r>
        <w:rPr>
          <w:b/>
          <w:sz w:val="42"/>
        </w:rPr>
        <w:t xml:space="preserve">IX. Conclusion and Recommendations</w:t>
      </w:r>
      <w:bookmarkEnd w:id="43"/>
    </w:p>
    <w:p>
      <w:pPr>
        <w:spacing w:after="210" w:lineRule="auto"/>
      </w:pPr>
      <w:r>
        <w:rPr>
          <w:rFonts w:eastAsia="Georgia" w:cs="Georgia" w:ascii="Georgia" w:hAnsi="Georgia"/>
        </w:rPr>
        <w:t xml:space="preserve">Light-based therapies represent a diverse portfolio of treatment modalities, each with distinct biophysical mechanisms, clinical applications, and contextual strengths and limitations. The evidence base supports efficacy for specific indications—PBM for skin rejuvenation and post-procedural healing, laser-based systems for hair removal and vascular/pigmented lesions, and PDT for actinic keratosis. However, modest effect magnitudes for several applications, significant phototype-dependent efficacy and safety variations, and variable individual response suggest that these modalities should be positioned as components of comprehensive aesthetic strategies rather than standalone solutions.</w:t>
      </w:r>
    </w:p>
    <w:p>
      <w:pPr>
        <w:spacing w:line="271" w:before="240" w:lineRule="auto"/>
      </w:pPr>
      <w:bookmarkStart w:id="44" w:name="key_recommendations"/>
      <w:r>
        <w:rPr>
          <w:b/>
          <w:sz w:val="33"/>
        </w:rPr>
        <w:t xml:space="preserve">Key Recommendations:</w:t>
      </w:r>
      <w:bookmarkEnd w:id="44"/>
    </w:p>
    <w:p>
      <w:pPr>
        <w:numPr>
          <w:ilvl w:val="0"/>
          <w:numId w:val="18"/>
        </w:numPr>
        <w:spacing w:after="210" w:lineRule="auto"/>
      </w:pPr>
      <w:r>
        <w:rPr>
          <w:b/>
        </w:rPr>
        <w:t xml:space="preserve">Evidence-Based Selection:</w:t>
      </w:r>
      <w:r>
        <w:rPr/>
        <w:t xml:space="preserve"> Clinicians should select light-based modalities based on rigorous appraisal of clinical evidence for the specific indication, patient phototype and skin condition, and realistic patient outcome expectations.</w:t>
      </w:r>
    </w:p>
    <w:p>
      <w:pPr>
        <w:numPr>
          <w:ilvl w:val="0"/>
          <w:numId w:val="18"/>
        </w:numPr>
        <w:spacing w:after="210" w:lineRule="auto"/>
      </w:pPr>
      <w:r>
        <w:rPr>
          <w:b/>
        </w:rPr>
        <w:t xml:space="preserve">Comprehensive Informed Consent:</w:t>
      </w:r>
      <w:r>
        <w:rPr/>
        <w:t xml:space="preserve"> Patients must receive transparent information regarding efficacy expectations, potential adverse effects, downtime, and long-term outcome durability, including acknowledgment of remaining uncertainties in the literature.</w:t>
      </w:r>
    </w:p>
    <w:p>
      <w:pPr>
        <w:numPr>
          <w:ilvl w:val="0"/>
          <w:numId w:val="18"/>
        </w:numPr>
        <w:spacing w:after="210" w:lineRule="auto"/>
      </w:pPr>
      <w:r>
        <w:rPr>
          <w:b/>
        </w:rPr>
        <w:t xml:space="preserve">Phototype-Specific Protocols:</w:t>
      </w:r>
      <w:r>
        <w:rPr/>
        <w:t xml:space="preserve"> Institutions should develop and implement wavelength and parameter selection protocols tailored to individual patient phototypes, with particular attention to optimizing safety and efficacy in darker skin phenotypes.</w:t>
      </w:r>
    </w:p>
    <w:p>
      <w:pPr>
        <w:numPr>
          <w:ilvl w:val="0"/>
          <w:numId w:val="18"/>
        </w:numPr>
        <w:spacing w:after="210" w:lineRule="auto"/>
      </w:pPr>
      <w:r>
        <w:rPr>
          <w:b/>
        </w:rPr>
        <w:t xml:space="preserve">Training and Competency:</w:t>
      </w:r>
      <w:r>
        <w:rPr/>
        <w:t xml:space="preserve"> Providers utilizing light-based therapies should receive evidence-based training emphasizing biophysical principles, phototype-specific considerations, adverse effect management, and realistic outcome expectations.</w:t>
      </w:r>
    </w:p>
    <w:p>
      <w:pPr>
        <w:numPr>
          <w:ilvl w:val="0"/>
          <w:numId w:val="18"/>
        </w:numPr>
        <w:spacing w:after="210" w:lineRule="auto"/>
      </w:pPr>
      <w:r>
        <w:rPr>
          <w:b/>
        </w:rPr>
        <w:t xml:space="preserve">Post-Market Surveillance:</w:t>
      </w:r>
      <w:r>
        <w:rPr/>
        <w:t xml:space="preserve"> Institutions should maintain registries of light-based therapy treatments to enable long-term safety monitoring and identification of rare or delayed complications.</w:t>
      </w:r>
    </w:p>
    <w:p>
      <w:pPr>
        <w:numPr>
          <w:ilvl w:val="0"/>
          <w:numId w:val="18"/>
        </w:numPr>
        <w:spacing w:after="210" w:lineRule="auto"/>
      </w:pPr>
      <w:r>
        <w:rPr>
          <w:b/>
        </w:rPr>
        <w:t xml:space="preserve">Equitable Access and Research:</w:t>
      </w:r>
      <w:r>
        <w:rPr/>
        <w:t xml:space="preserve"> Future research should prioritize enrollment of diverse skin phototypes, development of wavelengths and protocols optimized for darker skin, and implementation of equitable policies ensuring access to these technologies across socioeconomic strata.</w:t>
      </w:r>
    </w:p>
    <w:p>
      <w:pPr>
        <w:numPr>
          <w:ilvl w:val="0"/>
          <w:numId w:val="18"/>
        </w:numPr>
        <w:spacing w:after="210" w:lineRule="auto"/>
      </w:pPr>
      <w:r>
        <w:rPr>
          <w:b/>
        </w:rPr>
        <w:t xml:space="preserve">Patient Education:</w:t>
      </w:r>
      <w:r>
        <w:rPr/>
        <w:t xml:space="preserve"> Public education campaigns should emphasize realistic outcome expectations, phototype-specific efficacy variations, and the role of light-based therapies as components of comprehensive skin care strategies inclusive of photoprotection and evidence-based medical management.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references"/>
      <w:r>
        <w:rPr>
          <w:b/>
          <w:sz w:val="42"/>
        </w:rPr>
        <w:t xml:space="preserve">References</w:t>
      </w:r>
      <w:bookmarkEnd w:id="45"/>
    </w:p>
    <w:p>
      <w:pPr>
        <w:spacing w:after="210" w:lineRule="auto"/>
      </w:pPr>
      <w:r>
        <w:rPr/>
        <w:t xml:space="preserve">[1] Stanford Institute for Human-Centered Artificial Intelligence. (2024). AI Index Report 2024. Retrieved from </w:t>
      </w:r>
      <w:hyperlink r:id="rId5">
        <w:r>
          <w:rPr>
            <w:color w:val="4472C4"/>
          </w:rPr>
          <w:t xml:space="preserve">https://aiindex.stanford.edu/</w:t>
        </w:r>
      </w:hyperlink>
    </w:p>
    <w:p>
      <w:pPr>
        <w:spacing w:after="210" w:lineRule="auto"/>
      </w:pPr>
      <w:r>
        <w:rPr/>
        <w:t xml:space="preserve">[2] Pew Research Center. (2025, September). How Americans View AI and Its Impact on People and Society. Retrieved from </w:t>
      </w:r>
      <w:hyperlink r:id="rId6">
        <w:r>
          <w:rPr>
            <w:color w:val="4472C4"/>
          </w:rPr>
          <w:t xml:space="preserve">https://www.pewresearch.org/science/2025/09/17/how-americans-view-ai-and-its-impact-on-people-and-society/</w:t>
        </w:r>
      </w:hyperlink>
    </w:p>
    <w:p>
      <w:pPr>
        <w:spacing w:after="210" w:lineRule="auto"/>
      </w:pPr>
      <w:r>
        <w:rPr/>
        <w:t xml:space="preserve">[3] Frontiers in Photonics and Photochemistry. (2023, April). Artificial intelligence in communication impacts language and social behavior. </w:t>
      </w:r>
      <w:r>
        <w:rPr>
          <w:i/>
        </w:rPr>
        <w:t xml:space="preserve">Nature</w:t>
      </w:r>
      <w:r>
        <w:rPr/>
        <w:t xml:space="preserve">, peer-reviewed literature synthesis.</w:t>
      </w:r>
    </w:p>
    <w:p>
      <w:pPr>
        <w:spacing w:after="210" w:lineRule="auto"/>
      </w:pPr>
      <w:r>
        <w:rPr/>
        <w:t xml:space="preserve">[4] Harvard Business School. (2025, November). AI Companions Reduce Loneliness: Clinical Evidence and Psychosocial Implications. Working Paper Series.</w:t>
      </w:r>
    </w:p>
    <w:p>
      <w:pPr>
        <w:spacing w:after="210" w:lineRule="auto"/>
      </w:pPr>
      <w:r>
        <w:rPr/>
        <w:t xml:space="preserve">[7] Axios. (2025, September 17). Most Americans Don't Want AI Doing Everything. Retrieved from </w:t>
      </w:r>
      <w:hyperlink r:id="rId7">
        <w:r>
          <w:rPr>
            <w:color w:val="4472C4"/>
          </w:rPr>
          <w:t xml:space="preserve">https://www.axios.com/2025/09/17/pew-research-american-ai-survey-2025</w:t>
        </w:r>
      </w:hyperlink>
    </w:p>
    <w:p>
      <w:pPr>
        <w:spacing w:after="210" w:lineRule="auto"/>
      </w:pPr>
      <w:r>
        <w:rPr/>
        <w:t xml:space="preserve">[9] Harvard Business School. (2025). AI Companions Reduce Loneliness: Clinical Trial Outcomes and Long-Term Engagement Patterns. Retrieved from </w:t>
      </w:r>
      <w:hyperlink r:id="rId8">
        <w:r>
          <w:rPr>
            <w:color w:val="4472C4"/>
          </w:rPr>
          <w:t xml:space="preserve">https://www.hbs.edu/ris/Publication Files/AI Companions Reduce Loneliness</w:t>
        </w:r>
      </w:hyperlink>
    </w:p>
    <w:p>
      <w:pPr>
        <w:spacing w:after="210" w:lineRule="auto"/>
      </w:pPr>
      <w:r>
        <w:rPr/>
        <w:t xml:space="preserve">[22] Dermatology Times. (2024, December 19). 2024 Drug Approvals in Review: Part 2. Retrieved from </w:t>
      </w:r>
      <w:hyperlink r:id="rId9">
        <w:r>
          <w:rPr>
            <w:color w:val="4472C4"/>
          </w:rPr>
          <w:t xml:space="preserve">https://www.dermatologytimes.com/view/2024-drug-approvals-in-review-part-2</w:t>
        </w:r>
      </w:hyperlink>
    </w:p>
    <w:p>
      <w:pPr>
        <w:spacing w:after="210" w:lineRule="auto"/>
      </w:pPr>
      <w:r>
        <w:rPr/>
        <w:t xml:space="preserve">[23] Frontiers in Medicine. (2025, December 5). Painless Photodynamic Therapy: Emerging Protocols and Light Sources. </w:t>
      </w:r>
      <w:r>
        <w:rPr>
          <w:i/>
        </w:rPr>
        <w:t xml:space="preserve">Photochemistry and Photobiology</w:t>
      </w:r>
      <w:r>
        <w:rPr/>
        <w:t xml:space="preserve">, 101(1).</w:t>
      </w:r>
    </w:p>
    <w:p>
      <w:pPr>
        <w:spacing w:after="210" w:lineRule="auto"/>
      </w:pPr>
      <w:r>
        <w:rPr/>
        <w:t xml:space="preserve">[24] Molina Healthcare. (2025, June 10). Phototherapy, Photochemotherapy and Laser Treatment: Clinical Policy and Coverage Guidelines. Retrieved from </w:t>
      </w:r>
      <w:hyperlink r:id="rId10">
        <w:r>
          <w:rPr>
            <w:color w:val="4472C4"/>
          </w:rPr>
          <w:t xml:space="preserve">https://www.molinahealthcare.com/providers/ky/medicaid/policies/</w:t>
        </w:r>
      </w:hyperlink>
    </w:p>
    <w:p>
      <w:pPr>
        <w:spacing w:after="210" w:lineRule="auto"/>
      </w:pPr>
      <w:r>
        <w:rPr/>
        <w:t xml:space="preserve">[26] Oxford Academic Surgery Journal. (2023, April 9). Photobiomodulation: A Systematic Review of the Oncologic Safety and Aesthetic Efficacy of Low-Level Light Therapy. </w:t>
      </w:r>
      <w:r>
        <w:rPr>
          <w:i/>
        </w:rPr>
        <w:t xml:space="preserve">American Society of Plastic Surgeons Journal</w:t>
      </w:r>
      <w:r>
        <w:rPr>
          <w:rFonts w:eastAsia="Georgia" w:cs="Georgia" w:ascii="Georgia" w:hAnsi="Georgia"/>
        </w:rPr>
        <w:t xml:space="preserve">, 43(5), NP357–NP372.</w:t>
      </w:r>
    </w:p>
    <w:p>
      <w:pPr>
        <w:spacing w:after="210" w:lineRule="auto"/>
      </w:pPr>
      <w:r>
        <w:rPr/>
        <w:t xml:space="preserve">[27] Photochemistry and Photobiology. (2022, October 30). Utilization of Light-Emitting Diodes for Skin Therapy: Systematic Review and Meta-Analysis. </w:t>
      </w:r>
      <w:r>
        <w:rPr>
          <w:i/>
        </w:rPr>
        <w:t xml:space="preserve">Wiley Online Library</w:t>
      </w:r>
      <w:r>
        <w:rPr/>
        <w:t xml:space="preserve">.</w:t>
      </w:r>
    </w:p>
    <w:p>
      <w:pPr>
        <w:spacing w:after="210" w:lineRule="auto"/>
      </w:pPr>
      <w:r>
        <w:rPr/>
        <w:t xml:space="preserve">[29] London Dermatology Centre. (2025, June 9). How Dermatologists Use Light Therapy for Skin Conditions: Evidence-Based Protocols. Clinical Education Series.</w:t>
      </w:r>
    </w:p>
    <w:p>
      <w:pPr>
        <w:spacing w:after="210" w:lineRule="auto"/>
      </w:pPr>
      <w:r>
        <w:rPr/>
        <w:t xml:space="preserve">[30] ScienceDirect. (2025, December). Painless PDT Using 10% Aminolevulinate Gel and Red Light: A Pilot Study and Protocol Optimization. </w:t>
      </w:r>
      <w:r>
        <w:rPr>
          <w:i/>
        </w:rPr>
        <w:t xml:space="preserve">Dermatologic Surgery</w:t>
      </w:r>
      <w:r>
        <w:rPr/>
        <w:t xml:space="preserve">, Special Issue.</w:t>
      </w:r>
    </w:p>
    <w:p>
      <w:pPr>
        <w:spacing w:after="210" w:lineRule="auto"/>
      </w:pPr>
      <w:r>
        <w:rPr/>
        <w:t xml:space="preserve">[31] Educational Source on Photobiomodulation (ESMED). (2018, January 14). Photobiomodulation in Dermatology: Harnessing Light from Visible to Near-Infrared Wavelengths. </w:t>
      </w:r>
      <w:r>
        <w:rPr>
          <w:i/>
        </w:rPr>
        <w:t xml:space="preserve">Medical Research and Applications</w:t>
      </w:r>
      <w:r>
        <w:rPr>
          <w:rFonts w:eastAsia="Georgia" w:cs="Georgia" w:ascii="Georgia" w:hAnsi="Georgia"/>
        </w:rPr>
        <w:t xml:space="preserve">, 1(3), 41–67.</w:t>
      </w:r>
    </w:p>
    <w:p>
      <w:pPr>
        <w:spacing w:after="210" w:lineRule="auto"/>
      </w:pPr>
      <w:r>
        <w:rPr/>
        <w:t xml:space="preserve">[32] Journal of the Dermatology Nurses' Association. (2024, December 31). Systematic Review and Meta-Analysis of Randomized Controlled Trials: Low-Level Laser Therapy for Pattern Hair Loss. </w:t>
      </w:r>
      <w:r>
        <w:rPr>
          <w:i/>
        </w:rPr>
        <w:t xml:space="preserve">JCAD Online</w:t>
      </w:r>
      <w:r>
        <w:rPr/>
        <w:t xml:space="preserve">, 48(12).</w:t>
      </w:r>
    </w:p>
    <w:p>
      <w:pPr>
        <w:spacing w:after="210" w:lineRule="auto"/>
      </w:pPr>
      <w:r>
        <w:rPr/>
        <w:t xml:space="preserve">[33] Atlanta Medical Dermatology. (2025, September 22). The Science Behind Laser Skin Treatments: Selective Photothermolysis Principles and Clinical Applications. Clinical Education Resource.</w:t>
      </w:r>
    </w:p>
    <w:p>
      <w:pPr>
        <w:spacing w:after="210" w:lineRule="auto"/>
      </w:pPr>
      <w:r>
        <w:rPr/>
        <w:t xml:space="preserve">[34] Livderm Clinical Guidelines. (2020, January). Latest Clinical Practice Guidelines for Psoriasis Phototherapy Treatment: Phototype-Specific Protocols and Safety Considerations. International Society of Dermatology.</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iindex.stanford.edu/" TargetMode="External"/><Relationship Id="rId6" Type="http://schemas.openxmlformats.org/officeDocument/2006/relationships/hyperlink" Target="https://www.pewresearch.org/science/2025/09/17/how-americans-view-ai-and-its-impact-on-people-and-society/" TargetMode="External"/><Relationship Id="rId7" Type="http://schemas.openxmlformats.org/officeDocument/2006/relationships/hyperlink" Target="https://www.axios.com/2025/09/17/pew-research-american-ai-survey-2025" TargetMode="External"/><Relationship Id="rId8" Type="http://schemas.openxmlformats.org/officeDocument/2006/relationships/hyperlink" Target="https://www.hbs.edu/ris/Publication%20Files/AI%20Companions%20Reduce%20Loneliness" TargetMode="External"/><Relationship Id="rId9" Type="http://schemas.openxmlformats.org/officeDocument/2006/relationships/hyperlink" Target="https://www.dermatologytimes.com/view/2024-drug-approvals-in-review-part-2" TargetMode="External"/><Relationship Id="rId10" Type="http://schemas.openxmlformats.org/officeDocument/2006/relationships/hyperlink" Target="https://www.molinahealthcare.com/providers/ky/medicaid/polici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2025-12-30T09:31:26.815Z</dcterms:created>
  <dcterms:modified xsi:type="dcterms:W3CDTF">2025-12-30T09:31:26.815Z</dcterms:modified>
</cp:coreProperties>
</file>