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7787B">
      <w:pPr>
        <w:spacing w:before="315" w:after="105" w:line="360" w:lineRule="auto"/>
        <w:ind w:left="-30"/>
        <w:jc w:val="left"/>
      </w:pPr>
      <w:bookmarkStart w:id="0" w:name="liability_allocation_in_accidents_1f7ff6"/>
      <w:r>
        <w:rPr>
          <w:rFonts w:ascii="inter" w:hAnsi="inter" w:eastAsia="inter" w:cs="inter"/>
          <w:b/>
          <w:color w:val="000000"/>
          <w:sz w:val="24"/>
        </w:rPr>
        <w:t>Liability Allocation in Accidents Involving Advanced Driver Assistance Systems: A Comprehensive Analysis</w:t>
      </w:r>
      <w:bookmarkEnd w:id="0"/>
    </w:p>
    <w:p w14:paraId="30E14C0D">
      <w:pPr>
        <w:spacing w:before="315" w:after="105" w:line="360" w:lineRule="auto"/>
        <w:ind w:left="-30"/>
        <w:jc w:val="left"/>
      </w:pPr>
      <w:bookmarkStart w:id="1" w:name="executive_summary"/>
      <w:r>
        <w:rPr>
          <w:rFonts w:ascii="inter" w:hAnsi="inter" w:eastAsia="inter" w:cs="inter"/>
          <w:b/>
          <w:color w:val="000000"/>
          <w:sz w:val="24"/>
        </w:rPr>
        <w:t>Executive Summary</w:t>
      </w:r>
      <w:bookmarkEnd w:id="1"/>
    </w:p>
    <w:p w14:paraId="52988DC2">
      <w:pPr>
        <w:spacing w:after="210" w:line="360" w:lineRule="auto"/>
      </w:pPr>
      <w:r>
        <w:rPr>
          <w:rFonts w:ascii="inter" w:hAnsi="inter" w:eastAsia="inter" w:cs="inter"/>
          <w:color w:val="000000"/>
        </w:rPr>
        <w:t>Advanced driver assistance systems represent a critical technological transition in vehicle safety, yet they create unprecedented legal ambiguity regarding responsibility for accidents. Unlike conventional ve</w:t>
      </w:r>
      <w:bookmarkStart w:id="331" w:name="_GoBack"/>
      <w:bookmarkEnd w:id="331"/>
      <w:r>
        <w:rPr>
          <w:rFonts w:ascii="inter" w:hAnsi="inter" w:eastAsia="inter" w:cs="inter"/>
          <w:color w:val="000000"/>
        </w:rPr>
        <w:t>hicles where the driver bears virtually all liability, or fully autonomous systems where manufacturers assume operational control, ADAS operates in a contested middle ground where responsibility is neither clearly defined nor consistently allocated across jurisdictions. This report synthesizes technical standards, legal doctrines, regulatory frameworks, and case precedent to establish a coherent liability allocation model and propose actionable governance recommendations.</w:t>
      </w:r>
    </w:p>
    <w:p w14:paraId="111EBA6A">
      <w:pPr>
        <w:spacing w:after="210" w:line="360" w:lineRule="auto"/>
      </w:pPr>
      <w:r>
        <w:rPr>
          <w:rFonts w:ascii="inter" w:hAnsi="inter" w:eastAsia="inter" w:cs="inter"/>
          <w:color w:val="000000"/>
        </w:rPr>
        <w:t xml:space="preserve">The central finding is that liability allocation in ADAS accidents depends critically on three factors: (1) whether the system operated within its Operational Design Domain (ODD), (2) whether the driver maintained requisite supervision and readiness, and (3) whether the manufacturer designed and communicated the system's boundaries transparently. These factors create a proportional liability spectrum rather than binary fault determination, with the 2025 </w:t>
      </w:r>
      <w:r>
        <w:rPr>
          <w:rFonts w:ascii="inter" w:hAnsi="inter" w:eastAsia="inter" w:cs="inter"/>
          <w:i/>
          <w:color w:val="000000"/>
        </w:rPr>
        <w:t>Benavides v. Tesla</w:t>
      </w:r>
      <w:r>
        <w:rPr>
          <w:rFonts w:ascii="inter" w:hAnsi="inter" w:eastAsia="inter" w:cs="inter"/>
          <w:color w:val="000000"/>
        </w:rPr>
        <w:t xml:space="preserve"> verdict establishing that manufacturers bear approximately 25-35% liability for Level 2 systems when multiple factors are present, including ODD violations, inadequate restrictions, and misleading marketing claims.</w:t>
      </w:r>
    </w:p>
    <w:p w14:paraId="26027E40">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3C2776E3">
      <w:pPr>
        <w:spacing w:before="315" w:after="105" w:line="360" w:lineRule="auto"/>
        <w:ind w:left="-30"/>
        <w:jc w:val="left"/>
      </w:pPr>
      <w:bookmarkStart w:id="2" w:name="part_1_technical_principles_of_adas"/>
      <w:r>
        <w:rPr>
          <w:rFonts w:ascii="inter" w:hAnsi="inter" w:eastAsia="inter" w:cs="inter"/>
          <w:b/>
          <w:color w:val="000000"/>
          <w:sz w:val="24"/>
        </w:rPr>
        <w:t>Part 1: Technical Principles of ADAS</w:t>
      </w:r>
      <w:bookmarkEnd w:id="2"/>
    </w:p>
    <w:p w14:paraId="6255E5E7">
      <w:pPr>
        <w:spacing w:before="315" w:after="105" w:line="360" w:lineRule="auto"/>
        <w:ind w:left="-30"/>
        <w:jc w:val="left"/>
      </w:pPr>
      <w:bookmarkStart w:id="3" w:name="bm_1_1_adas_architecture_and_func_4e494f"/>
      <w:r>
        <w:rPr>
          <w:rFonts w:ascii="inter" w:hAnsi="inter" w:eastAsia="inter" w:cs="inter"/>
          <w:b/>
          <w:color w:val="000000"/>
          <w:sz w:val="24"/>
        </w:rPr>
        <w:t>1.1 ADAS Architecture and Functional Capabilities</w:t>
      </w:r>
      <w:bookmarkEnd w:id="3"/>
    </w:p>
    <w:p w14:paraId="1186F151">
      <w:pPr>
        <w:spacing w:after="210" w:line="360" w:lineRule="auto"/>
      </w:pPr>
      <w:r>
        <w:rPr>
          <w:rFonts w:ascii="inter" w:hAnsi="inter" w:eastAsia="inter" w:cs="inter"/>
          <w:color w:val="000000"/>
        </w:rPr>
        <w:t>Advanced driver assistance systems consist of three integrated components: sensors, computational processors, and human-machine interfaces (HMI). Sensors—including radar, lidar, cameras, and ultrasonic devices—provide environmental data that onboard Electronic Control Units (ECUs) fuse and analyze in real-time. This sensor fusion process applies machine learning algorithms to extract meaningful information about lane positions, vehicle trajectories, and potential hazards, enabling features such as adaptive cruise control, lane-keeping assistance, forward collision warning, and automatic emergency braking.</w:t>
      </w:r>
      <w:bookmarkStart w:id="4" w:name="fnref1"/>
      <w:bookmarkEnd w:id="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5" w:name="fnref2"/>
      <w:bookmarkEnd w:id="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2A2B2F9F">
      <w:pPr>
        <w:spacing w:after="210" w:line="360" w:lineRule="auto"/>
      </w:pPr>
      <w:r>
        <w:rPr>
          <w:rFonts w:ascii="inter" w:hAnsi="inter" w:eastAsia="inter" w:cs="inter"/>
          <w:color w:val="000000"/>
        </w:rPr>
        <w:t>The effectiveness of ADAS depends entirely on reliable sensor data and accurate algorithmic interpretation. However, sensor technology has well-documented limitations. Cameras can be obscured or misaligned; radar signals are scattered by heavy rain or water spray; and lidar performance degrades in fog and snow. More fundamentally, ADAS systems lack the semantic understanding that human drivers possess. When faced with ambiguous environmental data—such as tar-filled road cracks misidentified as lane markings, or construction zones with non-standard markings—ADAS algorithms often reach dangerously incorrect conclusions while the sensors function normally. This "algorithmic misinterpretation" represents a category of failure distinct from physical sensor malfunction, yet with equally serious safety consequences.</w:t>
      </w:r>
      <w:bookmarkStart w:id="6" w:name="fnref3"/>
      <w:bookmarkEnd w:id="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33F026C7">
      <w:pPr>
        <w:spacing w:before="315" w:after="105" w:line="360" w:lineRule="auto"/>
        <w:ind w:left="-30"/>
        <w:jc w:val="left"/>
      </w:pPr>
      <w:bookmarkStart w:id="7" w:name="bm_1_2_operational_design_domain_odd"/>
      <w:r>
        <w:rPr>
          <w:rFonts w:ascii="inter" w:hAnsi="inter" w:eastAsia="inter" w:cs="inter"/>
          <w:b/>
          <w:color w:val="000000"/>
          <w:sz w:val="24"/>
        </w:rPr>
        <w:t>1.2 Operational Design Domain (ODD)</w:t>
      </w:r>
      <w:bookmarkEnd w:id="7"/>
    </w:p>
    <w:p w14:paraId="3CE352F8">
      <w:pPr>
        <w:spacing w:after="210" w:line="360" w:lineRule="auto"/>
      </w:pPr>
      <w:r>
        <w:rPr>
          <w:rFonts w:ascii="inter" w:hAnsi="inter" w:eastAsia="inter" w:cs="inter"/>
          <w:color w:val="000000"/>
        </w:rPr>
        <w:t>The Operational Design Domain defines the specific conditions under which a driving automation system is designed and validated to function reliably. ODD encompasses environmental conditions (daylight vs. darkness, dry vs. wet weather), geographical characteristics (highway vs. urban roads), and traffic conditions (vehicle speed, pedestrian density). A critical legal principle emerges from ODD: a system cannot be deemed defective when operating outside its ODD, and a driver bears primary liability for enabling the system in conditions where it was not designed to operate.</w:t>
      </w:r>
      <w:bookmarkStart w:id="8" w:name="fnref4"/>
      <w:bookmarkEnd w:id="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9" w:name="fnref5"/>
      <w:bookmarkEnd w:id="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39924A9E">
      <w:pPr>
        <w:spacing w:after="210" w:line="360" w:lineRule="auto"/>
      </w:pPr>
      <w:r>
        <w:rPr>
          <w:rFonts w:ascii="inter" w:hAnsi="inter" w:eastAsia="inter" w:cs="inter"/>
          <w:color w:val="000000"/>
        </w:rPr>
        <w:t>ODD management responsibility is bifurcated by SAE level. For Level 2 systems, the driver bears full responsibility for monitoring ODD conditions and disabling the system when conditions fall outside design parameters. For Level 3 systems, the system monitors ODD conditions and requests driver intervention if boundaries are approached. This assignment of ODD management responsibility directly maps to legal liability allocation—manufacturers who fail to restrict system activation outside ODD face strict liability exposure, as demonstrated in the Tesla case where the jury found Tesla 33% at fault partly because it "did not restrict AP from being used outside its ODD."</w:t>
      </w:r>
      <w:bookmarkStart w:id="10" w:name="fnref6"/>
      <w:bookmarkEnd w:id="1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1" w:name="fnref4_1"/>
      <w:bookmarkEnd w:id="1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75FF059C">
      <w:pPr>
        <w:spacing w:before="315" w:after="105" w:line="360" w:lineRule="auto"/>
        <w:ind w:left="-30"/>
        <w:jc w:val="left"/>
      </w:pPr>
      <w:bookmarkStart w:id="12" w:name="bm_1_3_human_machine_interface_an_c44c97"/>
      <w:r>
        <w:rPr>
          <w:rFonts w:ascii="inter" w:hAnsi="inter" w:eastAsia="inter" w:cs="inter"/>
          <w:b/>
          <w:color w:val="000000"/>
          <w:sz w:val="24"/>
        </w:rPr>
        <w:t>1.3 Human-Machine Interface and Mode Confusion</w:t>
      </w:r>
      <w:bookmarkEnd w:id="12"/>
    </w:p>
    <w:p w14:paraId="18FAFEC2">
      <w:pPr>
        <w:spacing w:after="210" w:line="360" w:lineRule="auto"/>
      </w:pPr>
      <w:r>
        <w:rPr>
          <w:rFonts w:ascii="inter" w:hAnsi="inter" w:eastAsia="inter" w:cs="inter"/>
          <w:color w:val="000000"/>
        </w:rPr>
        <w:t>ADAS systems present drivers with complex decisions about when to engage automation and how much to trust system warnings. The HMI must communicate unambiguously whether the system is active, which functions are engaged, and when driver intervention is required. Poor HMI design creates mode confusion—a state where drivers become uncertain about which party (human or machine) controls vehicle motion. Research demonstrates that mode confusion directly contributes to accidents and substantially increases manufacturer liability.</w:t>
      </w:r>
      <w:bookmarkStart w:id="13" w:name="fnref7"/>
      <w:bookmarkEnd w:id="1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4" w:name="fnref8"/>
      <w:bookmarkEnd w:id="1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632389B9">
      <w:pPr>
        <w:spacing w:after="210" w:line="360" w:lineRule="auto"/>
      </w:pPr>
      <w:r>
        <w:rPr>
          <w:rFonts w:ascii="inter" w:hAnsi="inter" w:eastAsia="inter" w:cs="inter"/>
          <w:color w:val="000000"/>
        </w:rPr>
        <w:t>The cognitive challenge is significant. Drivers must monitor system status while remaining alert enough to intervene within 4-7 seconds when the system requests control transfer. Studies show that warning frequency increases as drivers become comfortable with automation, suggesting they modify attention patterns rather than maintain vigilance. This "out-of-the-loop" phenomenon creates a paradox: the safer and more reliable a system appears, the less vigilant drivers become, yet Level 2 systems legally require continuous driver supervision for safety.</w:t>
      </w:r>
      <w:bookmarkStart w:id="15" w:name="fnref9"/>
      <w:bookmarkEnd w:id="1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6" w:name="fnref10"/>
      <w:bookmarkEnd w:id="1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7" w:name="fnref11"/>
      <w:bookmarkEnd w:id="17"/>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3D7A2E7A">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476DA2A7">
      <w:pPr>
        <w:spacing w:before="315" w:after="105" w:line="360" w:lineRule="auto"/>
        <w:ind w:left="-30"/>
        <w:jc w:val="left"/>
      </w:pPr>
      <w:bookmarkStart w:id="18" w:name="part_2_existing_legal_frameworks_d70e8b"/>
      <w:r>
        <w:rPr>
          <w:rFonts w:ascii="inter" w:hAnsi="inter" w:eastAsia="inter" w:cs="inter"/>
          <w:b/>
          <w:color w:val="000000"/>
          <w:sz w:val="24"/>
        </w:rPr>
        <w:t>Part 2: Existing Legal Frameworks for ADAS Liability</w:t>
      </w:r>
      <w:bookmarkEnd w:id="18"/>
    </w:p>
    <w:p w14:paraId="59177439">
      <w:pPr>
        <w:spacing w:before="315" w:after="105" w:line="360" w:lineRule="auto"/>
        <w:ind w:left="-30"/>
        <w:jc w:val="left"/>
      </w:pPr>
      <w:bookmarkStart w:id="19" w:name="bm_2_1_product_liability_doctrine"/>
      <w:r>
        <w:rPr>
          <w:rFonts w:ascii="inter" w:hAnsi="inter" w:eastAsia="inter" w:cs="inter"/>
          <w:b/>
          <w:color w:val="000000"/>
          <w:sz w:val="24"/>
        </w:rPr>
        <w:t>2.1 Product Liability Doctrine</w:t>
      </w:r>
      <w:bookmarkEnd w:id="19"/>
    </w:p>
    <w:p w14:paraId="18D07E24">
      <w:pPr>
        <w:spacing w:after="210" w:line="360" w:lineRule="auto"/>
      </w:pPr>
      <w:r>
        <w:rPr>
          <w:rFonts w:ascii="inter" w:hAnsi="inter" w:eastAsia="inter" w:cs="inter"/>
          <w:color w:val="000000"/>
        </w:rPr>
        <w:t xml:space="preserve">ADAS manufacturers face liability under three product liability theories. </w:t>
      </w:r>
      <w:r>
        <w:rPr>
          <w:rFonts w:ascii="inter" w:hAnsi="inter" w:eastAsia="inter" w:cs="inter"/>
          <w:b/>
          <w:color w:val="000000"/>
        </w:rPr>
        <w:t>Manufacturing defect claims</w:t>
      </w:r>
      <w:r>
        <w:rPr>
          <w:rFonts w:ascii="inter" w:hAnsi="inter" w:eastAsia="inter" w:cs="inter"/>
          <w:color w:val="000000"/>
        </w:rPr>
        <w:t xml:space="preserve"> allege that a specific vehicle's ADAS failed to conform to its design specifications—for example, a camera misaligned by one millimeter. </w:t>
      </w:r>
      <w:r>
        <w:rPr>
          <w:rFonts w:ascii="inter" w:hAnsi="inter" w:eastAsia="inter" w:cs="inter"/>
          <w:b/>
          <w:color w:val="000000"/>
        </w:rPr>
        <w:t>Design defect claims</w:t>
      </w:r>
      <w:r>
        <w:rPr>
          <w:rFonts w:ascii="inter" w:hAnsi="inter" w:eastAsia="inter" w:cs="inter"/>
          <w:color w:val="000000"/>
        </w:rPr>
        <w:t xml:space="preserve"> argue that the ADAS design itself is unreasonably dangerous and that a safer alternative design was economically feasible. The risk-utility test, applied by many U.S. courts, requires balancing the burden of safer design against the gravity and likelihood of harm.</w:t>
      </w:r>
      <w:bookmarkStart w:id="20" w:name="fnref12"/>
      <w:bookmarkEnd w:id="20"/>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1" w:name="fnref3_1"/>
      <w:bookmarkEnd w:id="21"/>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3384D0E5">
      <w:pPr>
        <w:spacing w:after="210" w:line="360" w:lineRule="auto"/>
      </w:pPr>
      <w:r>
        <w:rPr>
          <w:rFonts w:ascii="inter" w:hAnsi="inter" w:eastAsia="inter" w:cs="inter"/>
          <w:b/>
          <w:color w:val="000000"/>
        </w:rPr>
        <w:t>Failure-to-warn claims</w:t>
      </w:r>
      <w:r>
        <w:rPr>
          <w:rFonts w:ascii="inter" w:hAnsi="inter" w:eastAsia="inter" w:cs="inter"/>
          <w:color w:val="000000"/>
        </w:rPr>
        <w:t xml:space="preserve"> constitute the most active litigation category for ADAS. These claims allege that manufacturers failed to adequately inform drivers about system limitations, the need for continuous monitoring, or the risks of overreliance. The 2025 Tesla verdict illustrates this theory's power: the jury found Tesla liable partly because CEO Elon Musk's claims that Autopilot was "safer than human drivers" created false consumer expectations and encouraged dangerous overreliance. The plaintiff's attorney argued that "Tesla's misrepresentations transformed our roads into testing grounds for their inherently flawed technology."</w:t>
      </w:r>
      <w:bookmarkStart w:id="22" w:name="fnref13"/>
      <w:bookmarkEnd w:id="22"/>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23" w:name="fnref14"/>
      <w:bookmarkEnd w:id="2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4" w:name="fnref12_1"/>
      <w:bookmarkEnd w:id="24"/>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3BBBAC04">
      <w:pPr>
        <w:spacing w:before="315" w:after="105" w:line="360" w:lineRule="auto"/>
        <w:ind w:left="-30"/>
        <w:jc w:val="left"/>
      </w:pPr>
      <w:bookmarkStart w:id="25" w:name="bm_2_2_negligence_standards"/>
      <w:r>
        <w:rPr>
          <w:rFonts w:ascii="inter" w:hAnsi="inter" w:eastAsia="inter" w:cs="inter"/>
          <w:b/>
          <w:color w:val="000000"/>
          <w:sz w:val="24"/>
        </w:rPr>
        <w:t>2.2 Negligence Standards</w:t>
      </w:r>
      <w:bookmarkEnd w:id="25"/>
    </w:p>
    <w:p w14:paraId="53D0800D">
      <w:pPr>
        <w:spacing w:after="210" w:line="360" w:lineRule="auto"/>
      </w:pPr>
      <w:r>
        <w:rPr>
          <w:rFonts w:ascii="inter" w:hAnsi="inter" w:eastAsia="inter" w:cs="inter"/>
          <w:color w:val="000000"/>
        </w:rPr>
        <w:t>Under negligence law applicable in Singapore and most jurisdictions, a plaintiff must establish that the manufacturer owed a duty of care, breached that duty, and caused damages. For ADAS, the duty of care encompasses designing systems that function reliably within their ODD, adequately warning users of limitations, and implementing safeguards against misuse. A manufacturer breaches this duty by allowing systems to be activated outside their design domain, failing to monitor driver attention in Level 2 systems, or inadequately restricting system capabilities when predictable misuse is foreseeable.</w:t>
      </w:r>
      <w:bookmarkStart w:id="26" w:name="fnref15"/>
      <w:bookmarkEnd w:id="26"/>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27" w:name="fnref16"/>
      <w:bookmarkEnd w:id="27"/>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4D20C133">
      <w:pPr>
        <w:spacing w:after="210" w:line="360" w:lineRule="auto"/>
      </w:pPr>
      <w:r>
        <w:rPr>
          <w:rFonts w:ascii="inter" w:hAnsi="inter" w:eastAsia="inter" w:cs="inter"/>
          <w:color w:val="000000"/>
        </w:rPr>
        <w:t>The Swedish courts have clarified that drivers cannot exculpate themselves by claiming ADAS malfunctioned; even when an ADAS fails, the driver remains legally responsible for vehicle operation. However, this does not eliminate manufacturer liability—it merely clarifies that driver negligence and manufacturer negligence are not mutually exclusive. Both parties can be found negligent under comparative fault principles.</w:t>
      </w:r>
      <w:bookmarkStart w:id="28" w:name="fnref17"/>
      <w:bookmarkEnd w:id="28"/>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29" w:name="fnref15_1"/>
      <w:bookmarkEnd w:id="29"/>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61BF9686">
      <w:pPr>
        <w:spacing w:before="315" w:after="105" w:line="360" w:lineRule="auto"/>
        <w:ind w:left="-30"/>
        <w:jc w:val="left"/>
      </w:pPr>
      <w:bookmarkStart w:id="30" w:name="bm_2_3_regulatory_standards_as_li_2b0c66"/>
      <w:r>
        <w:rPr>
          <w:rFonts w:ascii="inter" w:hAnsi="inter" w:eastAsia="inter" w:cs="inter"/>
          <w:b/>
          <w:color w:val="000000"/>
          <w:sz w:val="24"/>
        </w:rPr>
        <w:t>2.3 Regulatory Standards as Liability Anchors</w:t>
      </w:r>
      <w:bookmarkEnd w:id="30"/>
    </w:p>
    <w:p w14:paraId="1D7595F3">
      <w:pPr>
        <w:spacing w:after="210" w:line="360" w:lineRule="auto"/>
      </w:pPr>
      <w:r>
        <w:rPr>
          <w:rFonts w:ascii="inter" w:hAnsi="inter" w:eastAsia="inter" w:cs="inter"/>
          <w:color w:val="000000"/>
        </w:rPr>
        <w:t>Compliance with regulatory standards significantly influences liability allocation. The NHTSA's Federal Motor Vehicle Safety Standards (FMVSS) establish minimum performance requirements that manufacturers must meet. While FMVSS establishes performance thresholds, it does not prescribe specific design solutions, giving manufacturers flexibility in implementation. Importantly, compliance with FMVSS does not shield manufacturers from product liability claims—a vehicle may meet regulatory standards yet be found defective under common law strict liability principles.</w:t>
      </w:r>
      <w:bookmarkStart w:id="31" w:name="fnref18"/>
      <w:bookmarkEnd w:id="31"/>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32" w:name="fnref19"/>
      <w:bookmarkEnd w:id="32"/>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1370BBE1">
      <w:pPr>
        <w:spacing w:after="210" w:line="360" w:lineRule="auto"/>
      </w:pPr>
      <w:r>
        <w:rPr>
          <w:rFonts w:ascii="inter" w:hAnsi="inter" w:eastAsia="inter" w:cs="inter"/>
          <w:color w:val="000000"/>
        </w:rPr>
        <w:t>ISO 26262, the functional safety standard for automotive systems, requires manufacturers to evaluate risk using the Automotive Safety Integrity Level (ASIL) framework, with ASIL D representing the highest risk category for safety-critical systems. Systems like automatic emergency braking must achieve ASIL D certification. Failure to comply with ISO 26262 development requirements constitutes evidence of design defect and negligence, though many ADAS-related accidents likely involve systems where manufacturers claim they followed applicable standards.</w:t>
      </w:r>
      <w:bookmarkStart w:id="33" w:name="fnref20"/>
      <w:bookmarkEnd w:id="33"/>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34" w:name="fnref21"/>
      <w:bookmarkEnd w:id="34"/>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17F01907">
      <w:pPr>
        <w:spacing w:after="210" w:line="360" w:lineRule="auto"/>
      </w:pPr>
      <w:r>
        <w:rPr>
          <w:rFonts w:ascii="inter" w:hAnsi="inter" w:eastAsia="inter" w:cs="inter"/>
          <w:color w:val="000000"/>
        </w:rPr>
        <w:t>UN Regulation 157, which governs Level 3 Automated Lane Keeping Systems, establishes the first international performance-based requirements for driving automation. The regulation requires driver monitoring systems that detect inattention, automatic vehicle deceleration if the driver fails to respond to alerts, and cybersecurity standards. Compliance with UN R157 creates a legally defensible position for manufacturers, but non-compliance creates presumptive evidence of design defect in European jurisdictions.</w:t>
      </w:r>
      <w:bookmarkStart w:id="35" w:name="fnref22"/>
      <w:bookmarkEnd w:id="35"/>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36" w:name="fnref23"/>
      <w:bookmarkEnd w:id="36"/>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37" w:name="fnref24"/>
      <w:bookmarkEnd w:id="37"/>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2E1B5BDF">
      <w:pPr>
        <w:spacing w:before="315" w:after="105" w:line="360" w:lineRule="auto"/>
        <w:ind w:left="-30"/>
        <w:jc w:val="left"/>
      </w:pPr>
      <w:bookmarkStart w:id="38" w:name="bm_2_4_the_eu_product_liability_d_b379a5"/>
      <w:r>
        <w:rPr>
          <w:rFonts w:ascii="inter" w:hAnsi="inter" w:eastAsia="inter" w:cs="inter"/>
          <w:b/>
          <w:color w:val="000000"/>
          <w:sz w:val="24"/>
        </w:rPr>
        <w:t>2.4 The EU Product Liability Directive (2024)</w:t>
      </w:r>
      <w:bookmarkEnd w:id="38"/>
    </w:p>
    <w:p w14:paraId="662E70DF">
      <w:pPr>
        <w:spacing w:after="210" w:line="360" w:lineRule="auto"/>
      </w:pPr>
      <w:r>
        <w:rPr>
          <w:rFonts w:ascii="inter" w:hAnsi="inter" w:eastAsia="inter" w:cs="inter"/>
          <w:color w:val="000000"/>
        </w:rPr>
        <w:t>The recently enacted EU Product Liability Directive fundamentally expands manufacturer liability for software and AI systems, directly impacting ADAS manufacturers. The Directive explicitly covers embedded, standalone, and cloud-based software, including over-the-air (OTA) updates and AI systems. Critically, the Directive treats cybersecurity vulnerabilities and failures to provide necessary software updates as product defects, even when the defect arises after market placement.</w:t>
      </w:r>
      <w:bookmarkStart w:id="39" w:name="fnref25"/>
      <w:bookmarkEnd w:id="39"/>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0FE35C8A">
      <w:pPr>
        <w:spacing w:after="210" w:line="360" w:lineRule="auto"/>
      </w:pPr>
      <w:r>
        <w:rPr>
          <w:rFonts w:ascii="inter" w:hAnsi="inter" w:eastAsia="inter" w:cs="inter"/>
          <w:color w:val="000000"/>
        </w:rPr>
        <w:t>The Directive also introduces claimant-friendly presumptions: defectiveness is presumed if the manufacturer fails to disclose relevant evidence, if the product violates mandatory safety requirements, or if the claimant faces "excessive difficulties" due to technical complexity. This presumption of defectiveness fundamentally reverses the burden of proof compared to traditional product liability, placing the onus on manufacturers to demonstrate their systems were not defective. For ADAS manufacturers, this creates significant exposure because demonstrating that a complex AI system was not defective proves far more difficult than showing it complied with technical standards.</w:t>
      </w:r>
      <w:bookmarkStart w:id="40" w:name="fnref25_1"/>
      <w:bookmarkEnd w:id="40"/>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284AEC5E">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2DD66C61">
      <w:pPr>
        <w:spacing w:before="315" w:after="105" w:line="360" w:lineRule="auto"/>
        <w:ind w:left="-30"/>
        <w:jc w:val="left"/>
      </w:pPr>
      <w:bookmarkStart w:id="41" w:name="part_3_case_law_and_liability_precedents"/>
      <w:r>
        <w:rPr>
          <w:rFonts w:ascii="inter" w:hAnsi="inter" w:eastAsia="inter" w:cs="inter"/>
          <w:b/>
          <w:color w:val="000000"/>
          <w:sz w:val="24"/>
        </w:rPr>
        <w:t>Part 3: Case Law and Liability Precedents</w:t>
      </w:r>
      <w:bookmarkEnd w:id="41"/>
    </w:p>
    <w:p w14:paraId="5B9ED8AF">
      <w:pPr>
        <w:spacing w:before="315" w:after="105" w:line="360" w:lineRule="auto"/>
        <w:ind w:left="-30"/>
        <w:jc w:val="left"/>
      </w:pPr>
      <w:bookmarkStart w:id="42" w:name="bm_3_1_the_benavides_v_tesla_verd_7ce83c"/>
      <w:r>
        <w:rPr>
          <w:rFonts w:ascii="inter" w:hAnsi="inter" w:eastAsia="inter" w:cs="inter"/>
          <w:b/>
          <w:color w:val="000000"/>
          <w:sz w:val="24"/>
        </w:rPr>
        <w:t>3.1 The Benavides v. Tesla Verdict (2025)</w:t>
      </w:r>
      <w:bookmarkEnd w:id="42"/>
    </w:p>
    <w:p w14:paraId="0DD9D358">
      <w:pPr>
        <w:spacing w:after="210" w:line="360" w:lineRule="auto"/>
      </w:pPr>
      <w:r>
        <w:rPr>
          <w:rFonts w:ascii="inter" w:hAnsi="inter" w:eastAsia="inter" w:cs="inter"/>
          <w:color w:val="000000"/>
        </w:rPr>
        <w:t xml:space="preserve">The August 2025 </w:t>
      </w:r>
      <w:r>
        <w:rPr>
          <w:rFonts w:ascii="inter" w:hAnsi="inter" w:eastAsia="inter" w:cs="inter"/>
          <w:i/>
          <w:color w:val="000000"/>
        </w:rPr>
        <w:t>Benavides v. Tesla</w:t>
      </w:r>
      <w:r>
        <w:rPr>
          <w:rFonts w:ascii="inter" w:hAnsi="inter" w:eastAsia="inter" w:cs="inter"/>
          <w:color w:val="000000"/>
        </w:rPr>
        <w:t xml:space="preserve"> verdict represents the first jury finding of partial manufacturer liability in a Tesla Autopilot wrongful death case. The accident occurred when driver George McGee, traveling at 62 mph on Card Sound Road in the Florida Keys while using Enhanced Autopilot, dropped his phone and reached to retrieve it. He believed Autopilot would prevent a serious crash by automatically braking. Instead, the vehicle accelerated through an intersection and collided with a parked vehicle, killing pedestrian Naibel Benavides Leon and severely injuring her boyfriend Dillon Angulo.</w:t>
      </w:r>
      <w:bookmarkStart w:id="43" w:name="fnref13_1"/>
      <w:bookmarkEnd w:id="4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44" w:name="fnref14_1"/>
      <w:bookmarkEnd w:id="44"/>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39810B6F">
      <w:pPr>
        <w:spacing w:after="210" w:line="360" w:lineRule="auto"/>
      </w:pPr>
      <w:r>
        <w:rPr>
          <w:rFonts w:ascii="inter" w:hAnsi="inter" w:eastAsia="inter" w:cs="inter"/>
          <w:color w:val="000000"/>
        </w:rPr>
        <w:t>The jury awarded $329 million total damages: $129 million in compensatory damages and $200 million in punitive damages. Critically, the jury apportioned fault 67% to the driver and 33% to Tesla, resulting in Tesla's obligation to pay approximately $242.5 million. This apportionment proves significant because McGee admitted dropping his phone and bore clear negligence responsibility. Yet the jury found Tesla 33% liable based on multiple factors:</w:t>
      </w:r>
      <w:bookmarkStart w:id="45" w:name="fnref14_2"/>
      <w:bookmarkEnd w:id="45"/>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46" w:name="fnref13_2"/>
      <w:bookmarkEnd w:id="46"/>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40F72300">
      <w:pPr>
        <w:numPr>
          <w:ilvl w:val="0"/>
          <w:numId w:val="1"/>
        </w:numPr>
        <w:spacing w:after="210" w:line="360" w:lineRule="auto"/>
      </w:pPr>
      <w:r>
        <w:rPr>
          <w:rFonts w:ascii="inter" w:hAnsi="inter" w:eastAsia="inter" w:cs="inter"/>
          <w:b/>
          <w:color w:val="000000"/>
          <w:sz w:val="21"/>
        </w:rPr>
        <w:t>ODD Violation</w:t>
      </w:r>
      <w:r>
        <w:rPr>
          <w:rFonts w:ascii="inter" w:hAnsi="inter" w:eastAsia="inter" w:cs="inter"/>
          <w:color w:val="000000"/>
          <w:sz w:val="21"/>
        </w:rPr>
        <w:t>: Tesla designed Autopilot exclusively for controlled-access highways but intentionally did not restrict drivers from activating it on all road types, including the rural two-lane road where the accident occurred.</w:t>
      </w:r>
      <w:bookmarkStart w:id="47" w:name="fnref13_3"/>
      <w:bookmarkEnd w:id="47"/>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48" w:name="fnref14_3"/>
      <w:bookmarkEnd w:id="48"/>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4B9B7092">
      <w:pPr>
        <w:numPr>
          <w:ilvl w:val="0"/>
          <w:numId w:val="1"/>
        </w:numPr>
        <w:spacing w:after="210" w:line="360" w:lineRule="auto"/>
      </w:pPr>
      <w:r>
        <w:rPr>
          <w:rFonts w:ascii="inter" w:hAnsi="inter" w:eastAsia="inter" w:cs="inter"/>
          <w:b/>
          <w:color w:val="000000"/>
          <w:sz w:val="21"/>
        </w:rPr>
        <w:t>Marketing Misrepresentation</w:t>
      </w:r>
      <w:r>
        <w:rPr>
          <w:rFonts w:ascii="inter" w:hAnsi="inter" w:eastAsia="inter" w:cs="inter"/>
          <w:color w:val="000000"/>
          <w:sz w:val="21"/>
        </w:rPr>
        <w:t>: Elon Musk's public statements that Autopilot was "safer than human drivers" and capable of stopping for obstacles encouraged McGee and likely other drivers to over-trust the system and engage in secondary tasks.</w:t>
      </w:r>
      <w:bookmarkStart w:id="49" w:name="fnref14_4"/>
      <w:bookmarkEnd w:id="49"/>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bookmarkStart w:id="50" w:name="fnref13_4"/>
      <w:bookmarkEnd w:id="50"/>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1966EA6B">
      <w:pPr>
        <w:numPr>
          <w:ilvl w:val="0"/>
          <w:numId w:val="1"/>
        </w:numPr>
        <w:spacing w:after="210" w:line="360" w:lineRule="auto"/>
      </w:pPr>
      <w:r>
        <w:rPr>
          <w:rFonts w:ascii="inter" w:hAnsi="inter" w:eastAsia="inter" w:cs="inter"/>
          <w:b/>
          <w:color w:val="000000"/>
          <w:sz w:val="21"/>
        </w:rPr>
        <w:t>Inadequate Driver Monitoring</w:t>
      </w:r>
      <w:r>
        <w:rPr>
          <w:rFonts w:ascii="inter" w:hAnsi="inter" w:eastAsia="inter" w:cs="inter"/>
          <w:color w:val="000000"/>
          <w:sz w:val="21"/>
        </w:rPr>
        <w:t>: The system did not verify that McGee had his hands on the wheel or eyes on the road; it only detected hand position, not whether McGee was actually paying attention.</w:t>
      </w:r>
      <w:bookmarkStart w:id="51" w:name="fnref13_5"/>
      <w:bookmarkEnd w:id="51"/>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52" w:name="fnref14_5"/>
      <w:bookmarkEnd w:id="52"/>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204B40FF">
      <w:pPr>
        <w:numPr>
          <w:ilvl w:val="0"/>
          <w:numId w:val="1"/>
        </w:numPr>
        <w:spacing w:after="210" w:line="360" w:lineRule="auto"/>
      </w:pPr>
      <w:r>
        <w:rPr>
          <w:rFonts w:ascii="inter" w:hAnsi="inter" w:eastAsia="inter" w:cs="inter"/>
          <w:b/>
          <w:color w:val="000000"/>
          <w:sz w:val="21"/>
        </w:rPr>
        <w:t>Failure to Warn</w:t>
      </w:r>
      <w:r>
        <w:rPr>
          <w:rFonts w:ascii="inter" w:hAnsi="inter" w:eastAsia="inter" w:cs="inter"/>
          <w:color w:val="000000"/>
          <w:sz w:val="21"/>
        </w:rPr>
        <w:t>: While the owner's manual contained disclaimers, Tesla's marketing and system design conveyed a false sense of capability that contradicted written warnings.</w:t>
      </w:r>
      <w:bookmarkStart w:id="53" w:name="fnref14_6"/>
      <w:bookmarkEnd w:id="53"/>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bookmarkStart w:id="54" w:name="fnref13_6"/>
      <w:bookmarkEnd w:id="54"/>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010B5B27">
      <w:pPr>
        <w:spacing w:after="210" w:line="360" w:lineRule="auto"/>
      </w:pPr>
      <w:r>
        <w:rPr>
          <w:rFonts w:ascii="inter" w:hAnsi="inter" w:eastAsia="inter" w:cs="inter"/>
          <w:color w:val="000000"/>
        </w:rPr>
        <w:t>The Tesla verdict establishes several liability principles: (1) manufacturers cannot avoid liability by restricting ODD only in marketing materials; (2) marketing claims about system capability are legally material to liability even when contradicted by fine-print disclaimers; (3) jury members will apportion fault even to negligent drivers if manufacturers contribute through design, marketing, or supervision failures; and (4) punitive damages against manufacturers in ADAS cases can dramatically exceed compensatory damages.</w:t>
      </w:r>
      <w:bookmarkStart w:id="55" w:name="fnref13_7"/>
      <w:bookmarkEnd w:id="55"/>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56" w:name="fnref14_7"/>
      <w:bookmarkEnd w:id="5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36D2B5C4">
      <w:pPr>
        <w:spacing w:before="315" w:after="105" w:line="360" w:lineRule="auto"/>
        <w:ind w:left="-30"/>
        <w:jc w:val="left"/>
      </w:pPr>
      <w:bookmarkStart w:id="57" w:name="bm_3_2_mode_confusion_and_system_2cf473"/>
      <w:r>
        <w:rPr>
          <w:rFonts w:ascii="inter" w:hAnsi="inter" w:eastAsia="inter" w:cs="inter"/>
          <w:b/>
          <w:color w:val="000000"/>
          <w:sz w:val="24"/>
        </w:rPr>
        <w:t>3.2 Mode Confusion and System Transparency Cases</w:t>
      </w:r>
      <w:bookmarkEnd w:id="57"/>
    </w:p>
    <w:p w14:paraId="15521A57">
      <w:pPr>
        <w:spacing w:after="210" w:line="360" w:lineRule="auto"/>
      </w:pPr>
      <w:r>
        <w:rPr>
          <w:rFonts w:ascii="inter" w:hAnsi="inter" w:eastAsia="inter" w:cs="inter"/>
          <w:color w:val="000000"/>
        </w:rPr>
        <w:t>While the Tesla verdict addresses overt misrepresentation, emerging case law focuses on mode confusion—situations where drivers misunderstand system status despite technically adequate warnings. Research on mode confusion in human-machine interfaces for automated vehicles found that drivers frequently became confused about whether the system was in "Driver Assist" or "Partial Auto" modes, creating serious safety risks. This confusion occurred even with system warnings, suggesting that HMI design failures constitute design defects independent of warning adequacy.</w:t>
      </w:r>
      <w:bookmarkStart w:id="58" w:name="fnref7_1"/>
      <w:bookmarkEnd w:id="5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74A01728">
      <w:pPr>
        <w:spacing w:after="210" w:line="360" w:lineRule="auto"/>
      </w:pPr>
      <w:r>
        <w:rPr>
          <w:rFonts w:ascii="inter" w:hAnsi="inter" w:eastAsia="inter" w:cs="inter"/>
          <w:color w:val="000000"/>
        </w:rPr>
        <w:t>In a West Virginia court dismissal (Betts case), the court granted summary judgment for a manufacturer despite ADAS claims, finding that federal NHTSA standards preempted state tort liability for ADAS failure-to-warn claims. This decision, however, is narrowing as other courts reject preemption arguments and recognize that state tort law and federal standards serve complementary purposes. Federal standards establish minimum baselines; tort law addresses failures to exceed those minimums.</w:t>
      </w:r>
      <w:bookmarkStart w:id="59" w:name="fnref19_1"/>
      <w:bookmarkEnd w:id="59"/>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60" w:name="fnref26"/>
      <w:bookmarkEnd w:id="60"/>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460C069A">
      <w:pPr>
        <w:spacing w:before="315" w:after="105" w:line="360" w:lineRule="auto"/>
        <w:ind w:left="-30"/>
        <w:jc w:val="left"/>
      </w:pPr>
      <w:bookmarkStart w:id="61" w:name="bm_3_3_comparative_liability_tesl_5898c4"/>
      <w:r>
        <w:rPr>
          <w:rFonts w:ascii="inter" w:hAnsi="inter" w:eastAsia="inter" w:cs="inter"/>
          <w:b/>
          <w:color w:val="000000"/>
          <w:sz w:val="24"/>
        </w:rPr>
        <w:t>3.3 Comparative Liability: Tesla's Previous Victories</w:t>
      </w:r>
      <w:bookmarkEnd w:id="61"/>
    </w:p>
    <w:p w14:paraId="6DC0CC1D">
      <w:pPr>
        <w:spacing w:after="210" w:line="360" w:lineRule="auto"/>
      </w:pPr>
      <w:r>
        <w:rPr>
          <w:rFonts w:ascii="inter" w:hAnsi="inter" w:eastAsia="inter" w:cs="inter"/>
          <w:color w:val="000000"/>
        </w:rPr>
        <w:t xml:space="preserve">Tesla achieved favorable verdicts in two previous fatal Autopilot cases in California (2023), where courts found Tesla not liable despite driver deaths. The key difference from the </w:t>
      </w:r>
      <w:r>
        <w:rPr>
          <w:rFonts w:ascii="inter" w:hAnsi="inter" w:eastAsia="inter" w:cs="inter"/>
          <w:i/>
          <w:color w:val="000000"/>
        </w:rPr>
        <w:t>Benavides</w:t>
      </w:r>
      <w:r>
        <w:rPr>
          <w:rFonts w:ascii="inter" w:hAnsi="inter" w:eastAsia="inter" w:cs="inter"/>
          <w:color w:val="000000"/>
        </w:rPr>
        <w:t xml:space="preserve"> verdict lies in whether third parties were harmed. When Tesla drivers injured themselves, courts were more receptive to the argument that driver negligence was the sole cause. When innocent pedestrians were harmed—as in </w:t>
      </w:r>
      <w:r>
        <w:rPr>
          <w:rFonts w:ascii="inter" w:hAnsi="inter" w:eastAsia="inter" w:cs="inter"/>
          <w:i/>
          <w:color w:val="000000"/>
        </w:rPr>
        <w:t>Benavides</w:t>
      </w:r>
      <w:r>
        <w:rPr>
          <w:rFonts w:ascii="inter" w:hAnsi="inter" w:eastAsia="inter" w:cs="inter"/>
          <w:color w:val="000000"/>
        </w:rPr>
        <w:t>—juries proved willing to apportion fault to manufacturers who enabled system misuse. This third-party liability context significantly expands ADAS manufacturer exposure.</w:t>
      </w:r>
      <w:bookmarkStart w:id="62" w:name="fnref27"/>
      <w:bookmarkEnd w:id="62"/>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bookmarkStart w:id="63" w:name="fnref13_8"/>
      <w:bookmarkEnd w:id="6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555F75E2">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57377BD0">
      <w:pPr>
        <w:spacing w:before="315" w:after="105" w:line="360" w:lineRule="auto"/>
        <w:ind w:left="-30"/>
        <w:jc w:val="left"/>
      </w:pPr>
      <w:bookmarkStart w:id="64" w:name="part_4_systematic_analysis_of_res_82a1a9"/>
      <w:r>
        <w:rPr>
          <w:rFonts w:ascii="inter" w:hAnsi="inter" w:eastAsia="inter" w:cs="inter"/>
          <w:b/>
          <w:color w:val="000000"/>
          <w:sz w:val="24"/>
        </w:rPr>
        <w:t>Part 4: Systematic Analysis of Responsibility Boundaries</w:t>
      </w:r>
      <w:bookmarkEnd w:id="64"/>
    </w:p>
    <w:p w14:paraId="16726388">
      <w:pPr>
        <w:spacing w:before="315" w:after="105" w:line="360" w:lineRule="auto"/>
        <w:ind w:left="-30"/>
        <w:jc w:val="left"/>
      </w:pPr>
      <w:bookmarkStart w:id="65" w:name="bm_4_1_the_responsibility_matrix_f6b5d0"/>
      <w:r>
        <w:rPr>
          <w:rFonts w:ascii="inter" w:hAnsi="inter" w:eastAsia="inter" w:cs="inter"/>
          <w:b/>
          <w:color w:val="000000"/>
          <w:sz w:val="24"/>
        </w:rPr>
        <w:t>4.1 The Responsibility Matrix: Driver vs. Manufacturer Across SAE Levels</w:t>
      </w:r>
      <w:bookmarkEnd w:id="65"/>
    </w:p>
    <w:p w14:paraId="6DA72B94">
      <w:pPr>
        <w:spacing w:after="0" w:line="360" w:lineRule="auto"/>
        <w:jc w:val="center"/>
      </w:pPr>
      <w:r>
        <w:rPr>
          <w:rFonts w:ascii="inter" w:hAnsi="inter" w:eastAsia="inter" w:cs="inter"/>
          <w:color w:val="000000"/>
        </w:rPr>
        <w:drawing>
          <wp:inline distT="0" distB="0" distL="0" distR="0">
            <wp:extent cx="6038850" cy="4025900"/>
            <wp:effectExtent l="0" t="0" r="0" b="0"/>
            <wp:docPr id="2" name="image-f83b65e3d34e76cc7cf99d709da0e36fcad9e40a.png" descr="Responsibility Allocation Across SAE Automation Levels"/>
            <wp:cNvGraphicFramePr/>
            <a:graphic xmlns:a="http://schemas.openxmlformats.org/drawingml/2006/main">
              <a:graphicData uri="http://schemas.openxmlformats.org/drawingml/2006/picture">
                <pic:pic xmlns:pic="http://schemas.openxmlformats.org/drawingml/2006/picture">
                  <pic:nvPicPr>
                    <pic:cNvPr id="2" name="image-f83b65e3d34e76cc7cf99d709da0e36fcad9e40a.png" descr="Responsibility Allocation Across SAE Automation Levels"/>
                    <pic:cNvPicPr/>
                  </pic:nvPicPr>
                  <pic:blipFill>
                    <a:blip r:embed="rId6" cstate="print"/>
                    <a:srcRect/>
                    <a:stretch>
                      <a:fillRect/>
                    </a:stretch>
                  </pic:blipFill>
                  <pic:spPr>
                    <a:xfrm>
                      <a:off x="0" y="0"/>
                      <a:ext cx="6038850" cy="4025900"/>
                    </a:xfrm>
                    <a:prstGeom prst="rect">
                      <a:avLst/>
                    </a:prstGeom>
                  </pic:spPr>
                </pic:pic>
              </a:graphicData>
            </a:graphic>
          </wp:inline>
        </w:drawing>
      </w:r>
    </w:p>
    <w:p w14:paraId="06260A07">
      <w:pPr>
        <w:spacing w:after="210" w:line="360" w:lineRule="auto"/>
      </w:pPr>
      <w:r>
        <w:rPr>
          <w:rFonts w:ascii="inter" w:hAnsi="inter" w:eastAsia="inter" w:cs="inter"/>
          <w:color w:val="000000"/>
        </w:rPr>
        <w:t>Responsibility Allocation Across SAE Automation Levels</w:t>
      </w:r>
    </w:p>
    <w:p w14:paraId="6ADF8DFB">
      <w:pPr>
        <w:spacing w:after="210" w:line="360" w:lineRule="auto"/>
      </w:pPr>
      <w:r>
        <w:rPr>
          <w:rFonts w:ascii="inter" w:hAnsi="inter" w:eastAsia="inter" w:cs="inter"/>
          <w:color w:val="000000"/>
        </w:rPr>
        <w:t>The responsibility allocation shifts fundamentally across SAE automation levels. At Level 0-1, the driver retains essentially all control and liability responsibility, with manufacturers liable only for defects in their narrowly-scoped assistance features. At Level 2, where systems control both lateral and longitudinal motion, the driver's liability responsibility decreases to approximately 65-75% when the system malfunction contributes to the accident, while manufacturers assume 25-35% liability if the system failed to perform reliably within its ODD or exceeded its design boundaries.</w:t>
      </w:r>
      <w:bookmarkStart w:id="66" w:name="fnref1_1"/>
      <w:bookmarkEnd w:id="6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67" w:name="fnref28"/>
      <w:bookmarkEnd w:id="67"/>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68" w:name="fnref13_9"/>
      <w:bookmarkEnd w:id="68"/>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7F11D67E">
      <w:pPr>
        <w:spacing w:after="210" w:line="360" w:lineRule="auto"/>
      </w:pPr>
      <w:r>
        <w:rPr>
          <w:rFonts w:ascii="inter" w:hAnsi="inter" w:eastAsia="inter" w:cs="inter"/>
          <w:color w:val="000000"/>
        </w:rPr>
        <w:t>This shift reflects a legal principle: as system capabilities increase, so does the manufacturer's responsibility to ensure system reliability and to prevent misuse through design safeguards rather than relying solely on driver supervision. The Tesla case exemplifies this principle—by failing to restrict ODD activation, Tesla assumed responsibility for enabling misuse despite legally placing supervision obligations on the driver.</w:t>
      </w:r>
      <w:bookmarkStart w:id="69" w:name="fnref29"/>
      <w:bookmarkEnd w:id="69"/>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70" w:name="fnref6_1"/>
      <w:bookmarkEnd w:id="7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71" w:name="fnref13_10"/>
      <w:bookmarkEnd w:id="7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18232135">
      <w:pPr>
        <w:spacing w:before="315" w:after="105" w:line="360" w:lineRule="auto"/>
        <w:ind w:left="-30"/>
        <w:jc w:val="left"/>
      </w:pPr>
      <w:bookmarkStart w:id="72" w:name="bm_4_2_driver_monitoring_and_supe_b589f0"/>
      <w:r>
        <w:rPr>
          <w:rFonts w:ascii="inter" w:hAnsi="inter" w:eastAsia="inter" w:cs="inter"/>
          <w:b/>
          <w:color w:val="000000"/>
          <w:sz w:val="24"/>
        </w:rPr>
        <w:t>4.2 Driver Monitoring and Supervision Standards</w:t>
      </w:r>
      <w:bookmarkEnd w:id="72"/>
    </w:p>
    <w:p w14:paraId="1DF19A65">
      <w:pPr>
        <w:spacing w:after="210" w:line="360" w:lineRule="auto"/>
      </w:pPr>
      <w:r>
        <w:rPr>
          <w:rFonts w:ascii="inter" w:hAnsi="inter" w:eastAsia="inter" w:cs="inter"/>
          <w:color w:val="000000"/>
        </w:rPr>
        <w:t>For Level 2 systems, driver monitoring represents the critical control mechanism preventing accidents attributable to driver disengagement. Studies of driver behavior while using Level 2 automation found that drivers engage in secondary tasks (radio listening, navigation) more frequently when ADAS is active, yet warning frequencies increase over time, suggesting drivers learn to modulate their attention. This adaptation is problematic because it indicates drivers are disengaging despite systems designed to require full supervision.</w:t>
      </w:r>
      <w:bookmarkStart w:id="73" w:name="fnref9_1"/>
      <w:bookmarkEnd w:id="7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6721B50">
      <w:pPr>
        <w:spacing w:after="210" w:line="360" w:lineRule="auto"/>
      </w:pPr>
      <w:r>
        <w:rPr>
          <w:rFonts w:ascii="inter" w:hAnsi="inter" w:eastAsia="inter" w:cs="inter"/>
          <w:color w:val="000000"/>
        </w:rPr>
        <w:t>The U.S. NHTSA explicitly requires Level 2 drivers to keep their hands on the steering wheel and eyes on the road. However, enforcement mechanisms differ significantly across manufacturers. Cadillac systems monitor eyes-on-road through forward-facing cameras; Tesla systems detect steering wheel hand position; Nissan and Volvo verify hand tension. None of these approaches directly measures cognitive engagement or ensures the driver will respond adequately in an emergency. A driver with hands on the wheel, eyes forward, and attention elsewhere will fail to intervene when needed.</w:t>
      </w:r>
      <w:bookmarkStart w:id="74" w:name="fnref11_1"/>
      <w:bookmarkEnd w:id="74"/>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75" w:name="fnref30"/>
      <w:bookmarkEnd w:id="75"/>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76" w:name="fnref31"/>
      <w:bookmarkEnd w:id="76"/>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bookmarkStart w:id="77" w:name="fnref9_2"/>
      <w:bookmarkEnd w:id="7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75B4515">
      <w:pPr>
        <w:spacing w:after="210" w:line="360" w:lineRule="auto"/>
      </w:pPr>
      <w:r>
        <w:rPr>
          <w:rFonts w:ascii="inter" w:hAnsi="inter" w:eastAsia="inter" w:cs="inter"/>
          <w:color w:val="000000"/>
        </w:rPr>
        <w:t>The European Union's UN Regulation 171 for Driver Control Assistance Systems addresses this gap by requiring both physical engagement monitoring (steering input) and direct driver state monitoring using eye-tracking or head posture assessment. The regulation mandates context-based warning strategies that vary by traffic complexity and time-to-collision, preventing alert fatigue while maintaining driver engagement. This represents the state-of-the-art in driver supervision, establishing a legal benchmark against which manufacturers' systems will be assessed in future litigation.</w:t>
      </w:r>
      <w:bookmarkStart w:id="78" w:name="fnref32"/>
      <w:bookmarkEnd w:id="78"/>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07E2A3A6">
      <w:pPr>
        <w:spacing w:before="315" w:after="105" w:line="360" w:lineRule="auto"/>
        <w:ind w:left="-30"/>
        <w:jc w:val="left"/>
      </w:pPr>
      <w:bookmarkStart w:id="79" w:name="bm_4_3_takeover_readiness_and_res_b50444"/>
      <w:r>
        <w:rPr>
          <w:rFonts w:ascii="inter" w:hAnsi="inter" w:eastAsia="inter" w:cs="inter"/>
          <w:b/>
          <w:color w:val="000000"/>
          <w:sz w:val="24"/>
        </w:rPr>
        <w:t>4.3 Takeover Readiness and Response Time</w:t>
      </w:r>
      <w:bookmarkEnd w:id="79"/>
    </w:p>
    <w:p w14:paraId="42AE03D1">
      <w:pPr>
        <w:spacing w:after="210" w:line="360" w:lineRule="auto"/>
      </w:pPr>
      <w:r>
        <w:rPr>
          <w:rFonts w:ascii="inter" w:hAnsi="inter" w:eastAsia="inter" w:cs="inter"/>
          <w:color w:val="000000"/>
        </w:rPr>
        <w:t>A critical responsibility boundary for Level 3 systems involves takeover requests—the moment when the automated driving system notifies the driver that it has reached its ODD boundary and cannot continue autonomous operation. Research on takeover performance found that drivers require 4-7 seconds of advance notice to safely resume control, with performance degrading significantly when notice is shorter. A driver receiving only 2-3 seconds of warning before a critical situation develops will experience a "takeover readiness" failure through no fault of their own.</w:t>
      </w:r>
      <w:bookmarkStart w:id="80" w:name="fnref10_1"/>
      <w:bookmarkEnd w:id="80"/>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81" w:name="fnref11_2"/>
      <w:bookmarkEnd w:id="81"/>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77D613B5">
      <w:pPr>
        <w:spacing w:after="210" w:line="360" w:lineRule="auto"/>
      </w:pPr>
      <w:r>
        <w:rPr>
          <w:rFonts w:ascii="inter" w:hAnsi="inter" w:eastAsia="inter" w:cs="inter"/>
          <w:color w:val="000000"/>
        </w:rPr>
        <w:t xml:space="preserve">The </w:t>
      </w:r>
      <w:r>
        <w:rPr>
          <w:rFonts w:ascii="inter" w:hAnsi="inter" w:eastAsia="inter" w:cs="inter"/>
          <w:i/>
          <w:color w:val="000000"/>
        </w:rPr>
        <w:t>Benavides</w:t>
      </w:r>
      <w:r>
        <w:rPr>
          <w:rFonts w:ascii="inter" w:hAnsi="inter" w:eastAsia="inter" w:cs="inter"/>
          <w:color w:val="000000"/>
        </w:rPr>
        <w:t xml:space="preserve"> verdict implies that manufacturing responsibility includes providing adequate handover time. While the case involved Level 2 Autopilot (not a formal takeover situation), the jury essentially found Tesla liable for failing to ensure McGee could intervene safely when the system reached its capability boundary. Manufacturers must now design Level 3 and 4 systems to provide minimum takeover notice periods (typically 5+ seconds) and to monitor whether the driver is actually ready to take control based on head position, gaze direction, and cognitive engagement metrics.</w:t>
      </w:r>
      <w:bookmarkStart w:id="82" w:name="fnref8_1"/>
      <w:bookmarkEnd w:id="8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83" w:name="fnref10_2"/>
      <w:bookmarkEnd w:id="83"/>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34BFC8C8">
      <w:pPr>
        <w:spacing w:before="315" w:after="105" w:line="360" w:lineRule="auto"/>
        <w:ind w:left="-30"/>
        <w:jc w:val="left"/>
      </w:pPr>
      <w:bookmarkStart w:id="84" w:name="bm_4_4_the_odd_enforcement_dilemma"/>
      <w:r>
        <w:rPr>
          <w:rFonts w:ascii="inter" w:hAnsi="inter" w:eastAsia="inter" w:cs="inter"/>
          <w:b/>
          <w:color w:val="000000"/>
          <w:sz w:val="24"/>
        </w:rPr>
        <w:t>4.4 The ODD Enforcement Dilemma</w:t>
      </w:r>
      <w:bookmarkEnd w:id="84"/>
    </w:p>
    <w:p w14:paraId="193CFBC2">
      <w:pPr>
        <w:spacing w:after="210" w:line="360" w:lineRule="auto"/>
      </w:pPr>
      <w:r>
        <w:rPr>
          <w:rFonts w:ascii="inter" w:hAnsi="inter" w:eastAsia="inter" w:cs="inter"/>
          <w:color w:val="000000"/>
        </w:rPr>
        <w:t>A fundamental responsibility boundary exists at ODD enforcement. Manufacturers face a critical design choice: Should they physically prevent drivers from activating ADAS outside the ODD (hard lockout), or should they rely on warnings and driver self-discipline (soft warning)? The Tesla verdict suggests courts will hold manufacturers liable if they choose soft warnings when hard lockouts are technologically feasible. Tesla knew Autopilot was designed for "controlled-access highways" yet the system allowed activation on rural two-lane roads. The jury found this design choice unreasonably risky.</w:t>
      </w:r>
      <w:bookmarkStart w:id="85" w:name="fnref6_2"/>
      <w:bookmarkEnd w:id="8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86" w:name="fnref13_11"/>
      <w:bookmarkEnd w:id="86"/>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64634DE6">
      <w:pPr>
        <w:spacing w:after="210" w:line="360" w:lineRule="auto"/>
      </w:pPr>
      <w:r>
        <w:rPr>
          <w:rFonts w:ascii="inter" w:hAnsi="inter" w:eastAsia="inter" w:cs="inter"/>
          <w:color w:val="000000"/>
        </w:rPr>
        <w:t>This creates a legal standard: For Level 2 systems, manufacturers should implement hard ODD boundary enforcement when technically feasible, especially when geographic ODD boundaries (highways vs. local roads) can be determined using GPS and mapping data. Failing to restrict ODD activation when restriction is feasible creates presumptive evidence of design defect.</w:t>
      </w:r>
      <w:bookmarkStart w:id="87" w:name="fnref13_12"/>
      <w:bookmarkEnd w:id="87"/>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4F8F46B0">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6CF5F3C7">
      <w:pPr>
        <w:spacing w:before="315" w:after="105" w:line="360" w:lineRule="auto"/>
        <w:ind w:left="-30"/>
        <w:jc w:val="left"/>
      </w:pPr>
      <w:bookmarkStart w:id="88" w:name="part_5_common_failure_modes_and_l_d5c4fd"/>
      <w:r>
        <w:rPr>
          <w:rFonts w:ascii="inter" w:hAnsi="inter" w:eastAsia="inter" w:cs="inter"/>
          <w:b/>
          <w:color w:val="000000"/>
          <w:sz w:val="24"/>
        </w:rPr>
        <w:t>Part 5: Common Failure Modes and Liability Triggers</w:t>
      </w:r>
      <w:bookmarkEnd w:id="88"/>
    </w:p>
    <w:p w14:paraId="51CF20AF">
      <w:pPr>
        <w:spacing w:after="0" w:line="360" w:lineRule="auto"/>
        <w:jc w:val="center"/>
      </w:pPr>
      <w:r>
        <w:rPr>
          <w:rFonts w:ascii="inter" w:hAnsi="inter" w:eastAsia="inter" w:cs="inter"/>
          <w:color w:val="000000"/>
        </w:rPr>
        <w:drawing>
          <wp:inline distT="0" distB="0" distL="0" distR="0">
            <wp:extent cx="6038850" cy="4025900"/>
            <wp:effectExtent l="0" t="0" r="0" b="0"/>
            <wp:docPr id="3" name="image-aaac367a328519302cb9f3943a639b2c437a9c0b.png" descr="Common ADAS Failure Modes and Liability Risk Assessment"/>
            <wp:cNvGraphicFramePr/>
            <a:graphic xmlns:a="http://schemas.openxmlformats.org/drawingml/2006/main">
              <a:graphicData uri="http://schemas.openxmlformats.org/drawingml/2006/picture">
                <pic:pic xmlns:pic="http://schemas.openxmlformats.org/drawingml/2006/picture">
                  <pic:nvPicPr>
                    <pic:cNvPr id="3" name="image-aaac367a328519302cb9f3943a639b2c437a9c0b.png" descr="Common ADAS Failure Modes and Liability Risk Assessment"/>
                    <pic:cNvPicPr/>
                  </pic:nvPicPr>
                  <pic:blipFill>
                    <a:blip r:embed="rId7" cstate="print"/>
                    <a:srcRect/>
                    <a:stretch>
                      <a:fillRect/>
                    </a:stretch>
                  </pic:blipFill>
                  <pic:spPr>
                    <a:xfrm>
                      <a:off x="0" y="0"/>
                      <a:ext cx="6038850" cy="4025900"/>
                    </a:xfrm>
                    <a:prstGeom prst="rect">
                      <a:avLst/>
                    </a:prstGeom>
                  </pic:spPr>
                </pic:pic>
              </a:graphicData>
            </a:graphic>
          </wp:inline>
        </w:drawing>
      </w:r>
    </w:p>
    <w:p w14:paraId="0B8D1CBB">
      <w:pPr>
        <w:spacing w:after="210" w:line="360" w:lineRule="auto"/>
      </w:pPr>
      <w:r>
        <w:rPr>
          <w:rFonts w:ascii="inter" w:hAnsi="inter" w:eastAsia="inter" w:cs="inter"/>
          <w:color w:val="000000"/>
        </w:rPr>
        <w:t>Common ADAS Failure Modes and Liability Risk Assessment</w:t>
      </w:r>
    </w:p>
    <w:p w14:paraId="2B228E94">
      <w:pPr>
        <w:spacing w:before="315" w:after="105" w:line="360" w:lineRule="auto"/>
        <w:ind w:left="-30"/>
        <w:jc w:val="left"/>
      </w:pPr>
      <w:bookmarkStart w:id="89" w:name="bm_5_1_sensor_misinterpretation_a_841c62"/>
      <w:r>
        <w:rPr>
          <w:rFonts w:ascii="inter" w:hAnsi="inter" w:eastAsia="inter" w:cs="inter"/>
          <w:b/>
          <w:color w:val="000000"/>
          <w:sz w:val="24"/>
        </w:rPr>
        <w:t>5.1 Sensor Misinterpretation and Algorithmic Failure</w:t>
      </w:r>
      <w:bookmarkEnd w:id="89"/>
    </w:p>
    <w:p w14:paraId="07C7450D">
      <w:pPr>
        <w:spacing w:after="210" w:line="360" w:lineRule="auto"/>
      </w:pPr>
      <w:r>
        <w:rPr>
          <w:rFonts w:ascii="inter" w:hAnsi="inter" w:eastAsia="inter" w:cs="inter"/>
          <w:color w:val="000000"/>
        </w:rPr>
        <w:t>Sensor misinterpretation represents the most difficult failure mode to allocate liability for because it occurs without physical sensor malfunction. The system correctly detects and analyzes available data but reaches a dangerous conclusion. For example, ADAS lane-keeping systems may mistake tar-filled pavement cracks for lane markings and attempt to center the vehicle on the crack rather than the true lane boundary. Similarly, traffic sign recognition algorithms struggle with construction zone speed limit changes, lacking the semantic understanding that construction signs temporarily supersede permanent signs.</w:t>
      </w:r>
      <w:bookmarkStart w:id="90" w:name="fnref3_2"/>
      <w:bookmarkEnd w:id="9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375F6165">
      <w:pPr>
        <w:spacing w:after="210" w:line="360" w:lineRule="auto"/>
      </w:pPr>
      <w:r>
        <w:rPr>
          <w:rFonts w:ascii="inter" w:hAnsi="inter" w:eastAsia="inter" w:cs="inter"/>
          <w:color w:val="000000"/>
        </w:rPr>
        <w:t>These algorithmic failures are design defects because they reflect the system's inherent inability to interpret ambiguous environments reliably. Unlike sensor obstruction (where the system has incomplete data), algorithmic misinterpretation occurs when the system has complete data but draws the wrong conclusion. Manufacturers bear nearly 100% liability for such failures because drivers cannot detect or prevent algorithmic errors—the system appears to function normally while reaching wrong conclusions.</w:t>
      </w:r>
      <w:bookmarkStart w:id="91" w:name="fnref33"/>
      <w:bookmarkEnd w:id="91"/>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92" w:name="fnref3_3"/>
      <w:bookmarkEnd w:id="92"/>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77509AAB">
      <w:pPr>
        <w:spacing w:before="315" w:after="105" w:line="360" w:lineRule="auto"/>
        <w:ind w:left="-30"/>
        <w:jc w:val="left"/>
      </w:pPr>
      <w:bookmarkStart w:id="93" w:name="bm_5_2_mode_confusion_and_hmi_defects"/>
      <w:r>
        <w:rPr>
          <w:rFonts w:ascii="inter" w:hAnsi="inter" w:eastAsia="inter" w:cs="inter"/>
          <w:b/>
          <w:color w:val="000000"/>
          <w:sz w:val="24"/>
        </w:rPr>
        <w:t>5.2 Mode Confusion and HMI Defects</w:t>
      </w:r>
      <w:bookmarkEnd w:id="93"/>
    </w:p>
    <w:p w14:paraId="12FDB140">
      <w:pPr>
        <w:spacing w:after="210" w:line="360" w:lineRule="auto"/>
      </w:pPr>
      <w:r>
        <w:rPr>
          <w:rFonts w:ascii="inter" w:hAnsi="inter" w:eastAsia="inter" w:cs="inter"/>
          <w:color w:val="000000"/>
        </w:rPr>
        <w:t>Mode confusion occurs when drivers become uncertain about which entity (human or system) controls vehicle motion. This failure is entirely within manufacturer responsibility because mode confusion reflects inadequate HMI design rather than driver error or negligence. The Tesla verdict implicitly addressed mode confusion: McGee believed Autopilot would "protect him and prevent a serious crash if he made a mistake," suggesting he misunderstood the mode—he thought Autopilot was providing active collision prevention when it was merely maintaining lane position and distance, both subject to driver override.</w:t>
      </w:r>
      <w:bookmarkStart w:id="94" w:name="fnref6_3"/>
      <w:bookmarkEnd w:id="9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95" w:name="fnref7_2"/>
      <w:bookmarkEnd w:id="95"/>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145E2EFE">
      <w:pPr>
        <w:spacing w:after="210" w:line="360" w:lineRule="auto"/>
      </w:pPr>
      <w:r>
        <w:rPr>
          <w:rFonts w:ascii="inter" w:hAnsi="inter" w:eastAsia="inter" w:cs="inter"/>
          <w:color w:val="000000"/>
        </w:rPr>
        <w:t>Manufacturers can largely prevent mode confusion through redundant HMI signals. Euro NCAP's assessment protocol requires visual, auditory, and haptic signals when system status changes, with optical warnings within 15 seconds if steering input is released and acoustic warnings within 30 seconds. Systems implementing these multi-modal warnings substantially reduce mode confusion liability because drivers receive unambiguous status communication regardless of which sensory channel they attend to.</w:t>
      </w:r>
      <w:bookmarkStart w:id="96" w:name="fnref8_2"/>
      <w:bookmarkEnd w:id="9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AAFDDBE">
      <w:pPr>
        <w:spacing w:before="315" w:after="105" w:line="360" w:lineRule="auto"/>
        <w:ind w:left="-30"/>
        <w:jc w:val="left"/>
      </w:pPr>
      <w:bookmarkStart w:id="97" w:name="bm_5_3_overreliance_and_complacency"/>
      <w:r>
        <w:rPr>
          <w:rFonts w:ascii="inter" w:hAnsi="inter" w:eastAsia="inter" w:cs="inter"/>
          <w:b/>
          <w:color w:val="000000"/>
          <w:sz w:val="24"/>
        </w:rPr>
        <w:t>5.3 Overreliance and Complacency</w:t>
      </w:r>
      <w:bookmarkEnd w:id="97"/>
    </w:p>
    <w:p w14:paraId="5A385640">
      <w:pPr>
        <w:spacing w:after="210" w:line="360" w:lineRule="auto"/>
      </w:pPr>
      <w:r>
        <w:rPr>
          <w:rFonts w:ascii="inter" w:hAnsi="inter" w:eastAsia="inter" w:cs="inter"/>
          <w:color w:val="000000"/>
        </w:rPr>
        <w:t>Overreliance occurs when drivers become so confident in ADAS capability that they disengage from active supervision despite the legal requirement to maintain vigilance. Extensive HCI research demonstrates that well-functioning automated systems inevitably lead to reduced driver vigilance—drivers conserve cognitive resources when the task appears safe. Manufacturers cannot entirely prevent overreliance; however, they can mitigate it through design and communication choices.</w:t>
      </w:r>
      <w:bookmarkStart w:id="98" w:name="fnref34"/>
      <w:bookmarkEnd w:id="98"/>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99" w:name="fnref9_3"/>
      <w:bookmarkEnd w:id="99"/>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00" w:name="fnref31_1"/>
      <w:bookmarkEnd w:id="100"/>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bookmarkStart w:id="101" w:name="fnref35"/>
      <w:bookmarkEnd w:id="101"/>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3B7869BB">
      <w:pPr>
        <w:spacing w:after="210" w:line="360" w:lineRule="auto"/>
      </w:pPr>
      <w:r>
        <w:rPr>
          <w:rFonts w:ascii="inter" w:hAnsi="inter" w:eastAsia="inter" w:cs="inter"/>
          <w:color w:val="000000"/>
        </w:rPr>
        <w:t>The Tesla case illustrates this dynamic: McGee "thought Autopilot would protect him and prevent a serious crash if he made a mistake," reflecting marketing-induced overreliance. Tesla's messaging that Autopilot drives "safer than humans" created false confidence that contradicted the system's actual capabilities. The jury found Tesla 33% liable partly for this mismatch between marketed capability and actual performance. This verdict establishes that manufacturers bear responsibility for marketing claims' effects on driver behavior, not just for technical system performance.</w:t>
      </w:r>
      <w:bookmarkStart w:id="102" w:name="fnref13_13"/>
      <w:bookmarkEnd w:id="102"/>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103" w:name="fnref14_8"/>
      <w:bookmarkEnd w:id="10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104" w:name="fnref6_4"/>
      <w:bookmarkEnd w:id="10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70998C8">
      <w:pPr>
        <w:spacing w:before="315" w:after="105" w:line="360" w:lineRule="auto"/>
        <w:ind w:left="-30"/>
        <w:jc w:val="left"/>
      </w:pPr>
      <w:bookmarkStart w:id="105" w:name="bm_5_4_post_repair_adas_calibration"/>
      <w:r>
        <w:rPr>
          <w:rFonts w:ascii="inter" w:hAnsi="inter" w:eastAsia="inter" w:cs="inter"/>
          <w:b/>
          <w:color w:val="000000"/>
          <w:sz w:val="24"/>
        </w:rPr>
        <w:t>5.4 Post-Repair ADAS Calibration</w:t>
      </w:r>
      <w:bookmarkEnd w:id="105"/>
    </w:p>
    <w:p w14:paraId="6C47BA35">
      <w:pPr>
        <w:spacing w:after="210" w:line="360" w:lineRule="auto"/>
      </w:pPr>
      <w:r>
        <w:rPr>
          <w:rFonts w:ascii="inter" w:hAnsi="inter" w:eastAsia="inter" w:cs="inter"/>
          <w:color w:val="000000"/>
        </w:rPr>
        <w:t>A growing liability exposure involves ADAS calibration after vehicle repairs. A 1-millimeter misalignment of forward-facing cameras translates into multi-foot positioning errors at distance, causing chronic lane-tracking errors. Repair shops bear responsibility for proper recalibration per OEM procedures; however, manufacturers bear responsibility for designing systems that either (1) resist calibration drift through robust design, or (2) provide reliable in-vehicle diagnostics warning drivers when calibration falls outside acceptable tolerances.</w:t>
      </w:r>
      <w:bookmarkStart w:id="106" w:name="fnref36"/>
      <w:bookmarkEnd w:id="106"/>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bookmarkStart w:id="107" w:name="fnref37"/>
      <w:bookmarkEnd w:id="107"/>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bookmarkStart w:id="108" w:name="fnref3_4"/>
      <w:bookmarkEnd w:id="10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78BE3128">
      <w:pPr>
        <w:spacing w:after="210" w:line="360" w:lineRule="auto"/>
      </w:pPr>
      <w:r>
        <w:rPr>
          <w:rFonts w:ascii="inter" w:hAnsi="inter" w:eastAsia="inter" w:cs="inter"/>
          <w:color w:val="000000"/>
        </w:rPr>
        <w:t>Emerging NHTSA standards require documented ADAS calibration proof before insurance claim approval, effectively making proper recalibration a shared responsibility between repair shops and manufacturers. Manufacturers who design systems incapable of detecting calibration drift face liability if such drift causes accidents.</w:t>
      </w:r>
      <w:bookmarkStart w:id="109" w:name="fnref36_1"/>
      <w:bookmarkEnd w:id="109"/>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p>
    <w:p w14:paraId="51EB58CE">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7D60DD42">
      <w:pPr>
        <w:spacing w:before="315" w:after="105" w:line="360" w:lineRule="auto"/>
        <w:ind w:left="-30"/>
        <w:jc w:val="left"/>
      </w:pPr>
      <w:bookmarkStart w:id="110" w:name="part_6_regulatory_frameworks_and_361a88"/>
      <w:r>
        <w:rPr>
          <w:rFonts w:ascii="inter" w:hAnsi="inter" w:eastAsia="inter" w:cs="inter"/>
          <w:b/>
          <w:color w:val="000000"/>
          <w:sz w:val="24"/>
        </w:rPr>
        <w:t>Part 6: Regulatory Frameworks and Liability Standards</w:t>
      </w:r>
      <w:bookmarkEnd w:id="110"/>
    </w:p>
    <w:p w14:paraId="2CA0BA53">
      <w:pPr>
        <w:spacing w:before="315" w:after="105" w:line="360" w:lineRule="auto"/>
        <w:ind w:left="-30"/>
        <w:jc w:val="left"/>
      </w:pPr>
      <w:bookmarkStart w:id="111" w:name="bm_6_1_nhtsa_and_federal_standard_482798"/>
      <w:r>
        <w:rPr>
          <w:rFonts w:ascii="inter" w:hAnsi="inter" w:eastAsia="inter" w:cs="inter"/>
          <w:b/>
          <w:color w:val="000000"/>
          <w:sz w:val="24"/>
        </w:rPr>
        <w:t>6.1 NHTSA and Federal Standards (United States)</w:t>
      </w:r>
      <w:bookmarkEnd w:id="111"/>
    </w:p>
    <w:p w14:paraId="335F8032">
      <w:pPr>
        <w:spacing w:after="210" w:line="360" w:lineRule="auto"/>
      </w:pPr>
      <w:r>
        <w:rPr>
          <w:rFonts w:ascii="inter" w:hAnsi="inter" w:eastAsia="inter" w:cs="inter"/>
          <w:color w:val="000000"/>
        </w:rPr>
        <w:t>NHTSA regulates ADAS through FMVSS and the New Car Assessment Program (NCAP), but explicitly declines to specify designs, instead establishing performance baselines. NHTSA's recent RFC for NCAP proposes five additional ADAS technologies for assessment: blind spot detection, driver drowsiness detection, intelligent speed assistance, and moving-off information systems. This expanding NCAP protocol creates de facto liability standards—manufacturers whose systems fail NCAP testing face stronger evidence of design defect in subsequent litigation.</w:t>
      </w:r>
      <w:bookmarkStart w:id="112" w:name="fnref18_1"/>
      <w:bookmarkEnd w:id="112"/>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14F7067A">
      <w:pPr>
        <w:spacing w:after="210" w:line="360" w:lineRule="auto"/>
      </w:pPr>
      <w:r>
        <w:rPr>
          <w:rFonts w:ascii="inter" w:hAnsi="inter" w:eastAsia="inter" w:cs="inter"/>
          <w:color w:val="000000"/>
        </w:rPr>
        <w:t>NHTSA has asserted explicit authority over ADAS technology, preempting state regulations while leaving open the possibility that state negligence and product liability law apply to ADAS accidents. This bifurcation means manufacturers must comply with federal FMVSS standards to sell vehicles in the United States, but compliance does not shield them from state tort liability claims alleging the system was unreasonably dangerous despite meeting FMVSS minimums.</w:t>
      </w:r>
      <w:bookmarkStart w:id="113" w:name="fnref19_2"/>
      <w:bookmarkEnd w:id="113"/>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084053CB">
      <w:pPr>
        <w:spacing w:before="315" w:after="105" w:line="360" w:lineRule="auto"/>
        <w:ind w:left="-30"/>
        <w:jc w:val="left"/>
      </w:pPr>
      <w:bookmarkStart w:id="114" w:name="bm_6_2_un_regulations_and_interna_195be1"/>
      <w:r>
        <w:rPr>
          <w:rFonts w:ascii="inter" w:hAnsi="inter" w:eastAsia="inter" w:cs="inter"/>
          <w:b/>
          <w:color w:val="000000"/>
          <w:sz w:val="24"/>
        </w:rPr>
        <w:t>6.2 UN Regulations and International Standards</w:t>
      </w:r>
      <w:bookmarkEnd w:id="114"/>
    </w:p>
    <w:p w14:paraId="784F2AEB">
      <w:pPr>
        <w:spacing w:after="210" w:line="360" w:lineRule="auto"/>
      </w:pPr>
      <w:r>
        <w:rPr>
          <w:rFonts w:ascii="inter" w:hAnsi="inter" w:eastAsia="inter" w:cs="inter"/>
          <w:color w:val="000000"/>
        </w:rPr>
        <w:t>UN Regulation 157 (ALKS) established the first binding international standards for Level 3 automation, requiring driver monitoring systems, automatic deceleration if drivers fail to respond, cybersecurity standards, and data recording systems ("black boxes"). UN R171 for Driver Control Assistance Systems sets performance requirements for Level 2 systems, mandating both physical and direct driver state monitoring, context-based warning strategies, and specific intervention performance metrics.</w:t>
      </w:r>
      <w:bookmarkStart w:id="115" w:name="fnref22_1"/>
      <w:bookmarkEnd w:id="115"/>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116" w:name="fnref23_1"/>
      <w:bookmarkEnd w:id="116"/>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117" w:name="fnref24_1"/>
      <w:bookmarkEnd w:id="117"/>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118" w:name="fnref32_1"/>
      <w:bookmarkEnd w:id="118"/>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171E0E86">
      <w:pPr>
        <w:spacing w:after="210" w:line="360" w:lineRule="auto"/>
      </w:pPr>
      <w:r>
        <w:rPr>
          <w:rFonts w:ascii="inter" w:hAnsi="inter" w:eastAsia="inter" w:cs="inter"/>
          <w:color w:val="000000"/>
        </w:rPr>
        <w:t>These regulations establish legal baselines for manufacturer responsibility. Compliance with UN R157 and R171 creates defensible positions in European litigation; non-compliance creates presumptive evidence of design defect. However, regulation compliance does not eliminate liability—courts view regulatory standards as establishing minimum baselines, not complete safety assurance.</w:t>
      </w:r>
      <w:bookmarkStart w:id="119" w:name="fnref25_2"/>
      <w:bookmarkEnd w:id="119"/>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259ED696">
      <w:pPr>
        <w:spacing w:before="315" w:after="105" w:line="360" w:lineRule="auto"/>
        <w:ind w:left="-30"/>
        <w:jc w:val="left"/>
      </w:pPr>
      <w:bookmarkStart w:id="120" w:name="bm_6_3_the_eu_product_liability_d_6fbfbb"/>
      <w:r>
        <w:rPr>
          <w:rFonts w:ascii="inter" w:hAnsi="inter" w:eastAsia="inter" w:cs="inter"/>
          <w:b/>
          <w:color w:val="000000"/>
          <w:sz w:val="24"/>
        </w:rPr>
        <w:t>6.3 The EU Product Liability Directive Framework</w:t>
      </w:r>
      <w:bookmarkEnd w:id="120"/>
    </w:p>
    <w:p w14:paraId="1F9D65FC">
      <w:pPr>
        <w:spacing w:after="210" w:line="360" w:lineRule="auto"/>
      </w:pPr>
      <w:r>
        <w:rPr>
          <w:rFonts w:ascii="inter" w:hAnsi="inter" w:eastAsia="inter" w:cs="inter"/>
          <w:color w:val="000000"/>
        </w:rPr>
        <w:t>The EU's 2024 Product Liability Directive fundamentally restructures ADAS manufacturer liability by expanding strict liability to cover software, AI, and post-sale software updates. The Directive presumes defectiveness if the manufacturer fails to disclose evidence, violates mandatory safety requirements, or the system exhibits "obvious malfunction." For ADAS manufacturers, this presumption is particularly onerous because identifying latent software defects requires sophisticated technical analysis.</w:t>
      </w:r>
      <w:bookmarkStart w:id="121" w:name="fnref25_3"/>
      <w:bookmarkEnd w:id="121"/>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18257AE3">
      <w:pPr>
        <w:spacing w:after="210" w:line="360" w:lineRule="auto"/>
      </w:pPr>
      <w:r>
        <w:rPr>
          <w:rFonts w:ascii="inter" w:hAnsi="inter" w:eastAsia="inter" w:cs="inter"/>
          <w:color w:val="000000"/>
        </w:rPr>
        <w:t>The Directive also addresses cybersecurity explicitly, treating known vulnerabilities left unremedied as product defects. This is significant because ADAS systems increasingly receive over-the-air updates that modify behavior; a manufacturer that fails to patch known security vulnerabilities faces strict liability even if the vulnerability has never caused an accident in the field. This creates an affirmative obligation to continuously monitor, detect, and remediate cybersecurity risks throughout the product's lifespan.</w:t>
      </w:r>
      <w:bookmarkStart w:id="122" w:name="fnref25_4"/>
      <w:bookmarkEnd w:id="122"/>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1FC2FDCE">
      <w:pPr>
        <w:spacing w:before="315" w:after="105" w:line="360" w:lineRule="auto"/>
        <w:ind w:left="-30"/>
        <w:jc w:val="left"/>
      </w:pPr>
      <w:bookmarkStart w:id="123" w:name="bm_6_4_singapore_s_emerging_framework"/>
      <w:r>
        <w:rPr>
          <w:rFonts w:ascii="inter" w:hAnsi="inter" w:eastAsia="inter" w:cs="inter"/>
          <w:b/>
          <w:color w:val="000000"/>
          <w:sz w:val="24"/>
        </w:rPr>
        <w:t>6.4 Singapore's Emerging Framework</w:t>
      </w:r>
      <w:bookmarkEnd w:id="123"/>
    </w:p>
    <w:p w14:paraId="6A44E4C8">
      <w:pPr>
        <w:spacing w:after="210" w:line="360" w:lineRule="auto"/>
      </w:pPr>
      <w:r>
        <w:rPr>
          <w:rFonts w:ascii="inter" w:hAnsi="inter" w:eastAsia="inter" w:cs="inter"/>
          <w:color w:val="000000"/>
        </w:rPr>
        <w:t>Singapore has chosen a measured, staged approach to AV regulation, utilizing interim provisions in the Road Traffic Act to govern AV trials while declining to establish comprehensive liability frameworks pending further technology maturation. For conventional motor vehicles and current ADAS systems, Singapore applies a fault-based negligence framework where the party most responsible for the accident is held liable, typically covered by motor insurance.</w:t>
      </w:r>
      <w:bookmarkStart w:id="124" w:name="fnref38"/>
      <w:bookmarkEnd w:id="124"/>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bookmarkStart w:id="125" w:name="fnref16_1"/>
      <w:bookmarkEnd w:id="125"/>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126" w:name="fnref39"/>
      <w:bookmarkEnd w:id="126"/>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p>
    <w:p w14:paraId="50346BFE">
      <w:pPr>
        <w:spacing w:after="210" w:line="360" w:lineRule="auto"/>
      </w:pPr>
      <w:r>
        <w:rPr>
          <w:rFonts w:ascii="inter" w:hAnsi="inter" w:eastAsia="inter" w:cs="inter"/>
          <w:color w:val="000000"/>
        </w:rPr>
        <w:t>Singapore law does not yet recognize product liability as a strict liability regime; instead, common law negligence and contract principles govern manufacturer responsibility. This creates a higher burden on plaintiffs who must prove manufacturers breached a duty of care, whereas European jurisdictions increasingly presume defectiveness in complex product cases. However, Singapore's Law Reform Committee has recommended that the permanent AV regulatory framework incorporate targeted modifications to the existing negligence system, potentially importing desirable product liability features like presumptions of manufacturer responsibility when system failures occur.</w:t>
      </w:r>
      <w:bookmarkStart w:id="127" w:name="fnref40"/>
      <w:bookmarkEnd w:id="127"/>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bookmarkStart w:id="128" w:name="fnref16_2"/>
      <w:bookmarkEnd w:id="128"/>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011C2F03">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600ED766">
      <w:pPr>
        <w:spacing w:before="315" w:after="105" w:line="360" w:lineRule="auto"/>
        <w:ind w:left="-30"/>
        <w:jc w:val="left"/>
      </w:pPr>
      <w:bookmarkStart w:id="129" w:name="part_7_regulatory_recommendations_6f8bad"/>
      <w:r>
        <w:rPr>
          <w:rFonts w:ascii="inter" w:hAnsi="inter" w:eastAsia="inter" w:cs="inter"/>
          <w:b/>
          <w:color w:val="000000"/>
          <w:sz w:val="24"/>
        </w:rPr>
        <w:t>Part 7: Regulatory Recommendations and Best Practices</w:t>
      </w:r>
      <w:bookmarkEnd w:id="129"/>
    </w:p>
    <w:p w14:paraId="576D3B03">
      <w:pPr>
        <w:spacing w:before="315" w:after="105" w:line="360" w:lineRule="auto"/>
        <w:ind w:left="-30"/>
        <w:jc w:val="left"/>
      </w:pPr>
      <w:bookmarkStart w:id="130" w:name="bm_7_1_manufacturer_design_standards"/>
      <w:r>
        <w:rPr>
          <w:rFonts w:ascii="inter" w:hAnsi="inter" w:eastAsia="inter" w:cs="inter"/>
          <w:b/>
          <w:color w:val="000000"/>
          <w:sz w:val="24"/>
        </w:rPr>
        <w:t>7.1 Manufacturer Design Standards</w:t>
      </w:r>
      <w:bookmarkEnd w:id="130"/>
    </w:p>
    <w:p w14:paraId="46805665">
      <w:pPr>
        <w:spacing w:after="210" w:line="360" w:lineRule="auto"/>
      </w:pPr>
      <w:r>
        <w:rPr>
          <w:rFonts w:ascii="inter" w:hAnsi="inter" w:eastAsia="inter" w:cs="inter"/>
          <w:color w:val="000000"/>
        </w:rPr>
        <w:t>Manufacturers should implement the following design principles to minimize liability exposure while improving actual safety:</w:t>
      </w:r>
    </w:p>
    <w:p w14:paraId="254824B4">
      <w:pPr>
        <w:spacing w:after="210" w:line="360" w:lineRule="auto"/>
      </w:pPr>
      <w:r>
        <w:rPr>
          <w:rFonts w:ascii="inter" w:hAnsi="inter" w:eastAsia="inter" w:cs="inter"/>
          <w:b/>
          <w:color w:val="000000"/>
        </w:rPr>
        <w:t>1. Hard ODD Boundary Enforcement</w:t>
      </w:r>
      <w:r>
        <w:rPr>
          <w:rFonts w:ascii="inter" w:hAnsi="inter" w:eastAsia="inter" w:cs="inter"/>
          <w:color w:val="000000"/>
        </w:rPr>
        <w:t>: Implement technical restrictions preventing ADAS activation outside the ODD when restriction is feasible. Geographic ODD boundaries (highway vs. local roads) should be enforced via GPS and high-definition mapping. Weather-based ODD boundaries (dry vs. wet conditions) should use weather sensor fusion. When hard enforcement is infeasible, implement progressive degradation of system capabilities at ODD boundaries rather than abrupt discontinuation, signaled by clear HMI feedback.</w:t>
      </w:r>
      <w:bookmarkStart w:id="131" w:name="fnref13_14"/>
      <w:bookmarkEnd w:id="13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0D5A5728">
      <w:pPr>
        <w:spacing w:after="210" w:line="360" w:lineRule="auto"/>
      </w:pPr>
      <w:r>
        <w:rPr>
          <w:rFonts w:ascii="inter" w:hAnsi="inter" w:eastAsia="inter" w:cs="inter"/>
          <w:b/>
          <w:color w:val="000000"/>
        </w:rPr>
        <w:t>2. Multi-Modal Driver State Monitoring</w:t>
      </w:r>
      <w:r>
        <w:rPr>
          <w:rFonts w:ascii="inter" w:hAnsi="inter" w:eastAsia="inter" w:cs="inter"/>
          <w:color w:val="000000"/>
        </w:rPr>
        <w:t>: Level 2 systems should monitor both physical engagement (steering input, pedal input) and direct driver state (eye gaze, head posture) using Euro NCAP assessment standards as a minimum baseline. When driver disengagement is detected, systems should implement graded warnings (subtle auditory alert → acoustic warning → haptic steering intervention → automatic deceleration) before vehicle control is transferred.</w:t>
      </w:r>
      <w:bookmarkStart w:id="132" w:name="fnref41"/>
      <w:bookmarkEnd w:id="132"/>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bookmarkStart w:id="133" w:name="fnref8_3"/>
      <w:bookmarkEnd w:id="13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3D8BC16B">
      <w:pPr>
        <w:spacing w:after="210" w:line="360" w:lineRule="auto"/>
      </w:pPr>
      <w:r>
        <w:rPr>
          <w:rFonts w:ascii="inter" w:hAnsi="inter" w:eastAsia="inter" w:cs="inter"/>
          <w:b/>
          <w:color w:val="000000"/>
        </w:rPr>
        <w:t>3. Transparent Mode Communication</w:t>
      </w:r>
      <w:r>
        <w:rPr>
          <w:rFonts w:ascii="inter" w:hAnsi="inter" w:eastAsia="inter" w:cs="inter"/>
          <w:color w:val="000000"/>
        </w:rPr>
        <w:t>: HMI design should eliminate mode confusion through redundant status signals. System transitions should trigger simultaneous visual, auditory, and haptic cues, ensuring drivers receive unambiguous feedback through at least one sensory channel. Dashboard displays should continuously indicate which automation functions are active, their operational status (available, restricted, unavailable), and which functions are currently engaged.</w:t>
      </w:r>
      <w:bookmarkStart w:id="134" w:name="fnref8_4"/>
      <w:bookmarkEnd w:id="13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154AC446">
      <w:pPr>
        <w:spacing w:after="210" w:line="360" w:lineRule="auto"/>
      </w:pPr>
      <w:r>
        <w:rPr>
          <w:rFonts w:ascii="inter" w:hAnsi="inter" w:eastAsia="inter" w:cs="inter"/>
          <w:b/>
          <w:color w:val="000000"/>
        </w:rPr>
        <w:t>4. ODD Management Automation</w:t>
      </w:r>
      <w:r>
        <w:rPr>
          <w:rFonts w:ascii="inter" w:hAnsi="inter" w:eastAsia="inter" w:cs="inter"/>
          <w:color w:val="000000"/>
        </w:rPr>
        <w:t>: Level 2 systems should automatically monitor and report ODD status to the driver. If conditions approach ODD boundaries, systems should provide graduated warnings and restrict capabilities before reaching absolute boundaries. Yellow warning states (system functioning but with reduced capability) should precede red warning states (system unavailable).</w:t>
      </w:r>
      <w:bookmarkStart w:id="135" w:name="fnref1_2"/>
      <w:bookmarkEnd w:id="135"/>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201DB3E8">
      <w:pPr>
        <w:spacing w:after="210" w:line="360" w:lineRule="auto"/>
      </w:pPr>
      <w:r>
        <w:rPr>
          <w:rFonts w:ascii="inter" w:hAnsi="inter" w:eastAsia="inter" w:cs="inter"/>
          <w:b/>
          <w:color w:val="000000"/>
        </w:rPr>
        <w:t>5. Cybersecurity and Update Protocols</w:t>
      </w:r>
      <w:r>
        <w:rPr>
          <w:rFonts w:ascii="inter" w:hAnsi="inter" w:eastAsia="inter" w:cs="inter"/>
          <w:color w:val="000000"/>
        </w:rPr>
        <w:t>: Following EU Product Liability Directive standards, manufacturers should implement continuous vulnerability monitoring, rapid patch deployment mechanisms, and mandatory user notification when security-critical updates are available. Systems should prevent operation if security-critical updates are pending, creating enforcement mechanisms that align with legal requirements.</w:t>
      </w:r>
      <w:bookmarkStart w:id="136" w:name="fnref25_5"/>
      <w:bookmarkEnd w:id="136"/>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0A3B69D0">
      <w:pPr>
        <w:spacing w:before="315" w:after="105" w:line="360" w:lineRule="auto"/>
        <w:ind w:left="-30"/>
        <w:jc w:val="left"/>
      </w:pPr>
      <w:bookmarkStart w:id="137" w:name="bm_7_2_driver_and_operator_accoun_33d593"/>
      <w:r>
        <w:rPr>
          <w:rFonts w:ascii="inter" w:hAnsi="inter" w:eastAsia="inter" w:cs="inter"/>
          <w:b/>
          <w:color w:val="000000"/>
          <w:sz w:val="24"/>
        </w:rPr>
        <w:t>7.2 Driver and Operator Accountability Standards</w:t>
      </w:r>
      <w:bookmarkEnd w:id="137"/>
    </w:p>
    <w:p w14:paraId="42BD55BA">
      <w:pPr>
        <w:spacing w:after="210" w:line="360" w:lineRule="auto"/>
      </w:pPr>
      <w:r>
        <w:rPr>
          <w:rFonts w:ascii="inter" w:hAnsi="inter" w:eastAsia="inter" w:cs="inter"/>
          <w:color w:val="000000"/>
        </w:rPr>
        <w:t>Regulators should establish clear driver responsibilities and enforce compliance through technology design:</w:t>
      </w:r>
    </w:p>
    <w:p w14:paraId="7C573A86">
      <w:pPr>
        <w:spacing w:after="210" w:line="360" w:lineRule="auto"/>
      </w:pPr>
      <w:r>
        <w:rPr>
          <w:rFonts w:ascii="inter" w:hAnsi="inter" w:eastAsia="inter" w:cs="inter"/>
          <w:b/>
          <w:color w:val="000000"/>
        </w:rPr>
        <w:t>1. Mandatory Supervision Training</w:t>
      </w:r>
      <w:r>
        <w:rPr>
          <w:rFonts w:ascii="inter" w:hAnsi="inter" w:eastAsia="inter" w:cs="inter"/>
          <w:color w:val="000000"/>
        </w:rPr>
        <w:t>: Before using Level 2 systems, drivers should complete certification training demonstrating understanding of system limitations, ODD boundaries, required supervision level, and situations requiring manual takeover. Certification should be renewed periodically, with system updates triggering refresher training.</w:t>
      </w:r>
      <w:bookmarkStart w:id="138" w:name="fnref15_2"/>
      <w:bookmarkEnd w:id="138"/>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22466CA5">
      <w:pPr>
        <w:spacing w:after="210" w:line="360" w:lineRule="auto"/>
      </w:pPr>
      <w:r>
        <w:rPr>
          <w:rFonts w:ascii="inter" w:hAnsi="inter" w:eastAsia="inter" w:cs="inter"/>
          <w:b/>
          <w:color w:val="000000"/>
        </w:rPr>
        <w:t>2. Dynamic Monitoring Enforcement</w:t>
      </w:r>
      <w:r>
        <w:rPr>
          <w:rFonts w:ascii="inter" w:hAnsi="inter" w:eastAsia="inter" w:cs="inter"/>
          <w:color w:val="000000"/>
        </w:rPr>
        <w:t>: ADAS systems should automatically enforce minimum supervision standards through driver monitoring systems that verify eyes-on-road and hands-on-wheel. If driver disengagement is detected, systems should proceed through escalating interventions (visual warning → acoustic warning → haptic feedback → automatic deceleration) before control transfer.</w:t>
      </w:r>
      <w:bookmarkStart w:id="139" w:name="fnref30_1"/>
      <w:bookmarkEnd w:id="139"/>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140" w:name="fnref41_1"/>
      <w:bookmarkEnd w:id="140"/>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15526063">
      <w:pPr>
        <w:spacing w:after="210" w:line="360" w:lineRule="auto"/>
      </w:pPr>
      <w:r>
        <w:rPr>
          <w:rFonts w:ascii="inter" w:hAnsi="inter" w:eastAsia="inter" w:cs="inter"/>
          <w:b/>
          <w:color w:val="000000"/>
        </w:rPr>
        <w:t>3. ODD Activation Restrictions</w:t>
      </w:r>
      <w:r>
        <w:rPr>
          <w:rFonts w:ascii="inter" w:hAnsi="inter" w:eastAsia="inter" w:cs="inter"/>
          <w:color w:val="000000"/>
        </w:rPr>
        <w:t>: Drivers should be unable to activate Level 2 systems outside ODD conditions. Systems should verify that navigation data, weather conditions, and road classification are compatible with system design before permitting activation.</w:t>
      </w:r>
      <w:bookmarkStart w:id="141" w:name="fnref6_5"/>
      <w:bookmarkEnd w:id="141"/>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42" w:name="fnref13_15"/>
      <w:bookmarkEnd w:id="142"/>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3FAFCD34">
      <w:pPr>
        <w:spacing w:after="210" w:line="360" w:lineRule="auto"/>
      </w:pPr>
      <w:r>
        <w:rPr>
          <w:rFonts w:ascii="inter" w:hAnsi="inter" w:eastAsia="inter" w:cs="inter"/>
          <w:b/>
          <w:color w:val="000000"/>
        </w:rPr>
        <w:t>4. Post-Accident Data Reporting</w:t>
      </w:r>
      <w:r>
        <w:rPr>
          <w:rFonts w:ascii="inter" w:hAnsi="inter" w:eastAsia="inter" w:cs="inter"/>
          <w:color w:val="000000"/>
        </w:rPr>
        <w:t>: Like aircraft accident investigation, ADAS accident investigation should be mandatory, with vehicles equipped with data recording systems ("black boxes") capturing system status, sensor data, and driver actions for the 60 seconds preceding accidents. This data should be accessible to regulators, insurers, and courts to establish actual causation rather than relying on reconstructive testimony.</w:t>
      </w:r>
      <w:bookmarkStart w:id="143" w:name="fnref22_2"/>
      <w:bookmarkEnd w:id="143"/>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144" w:name="fnref23_2"/>
      <w:bookmarkEnd w:id="144"/>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543DEC32">
      <w:pPr>
        <w:spacing w:before="315" w:after="105" w:line="360" w:lineRule="auto"/>
        <w:ind w:left="-30"/>
        <w:jc w:val="left"/>
      </w:pPr>
      <w:bookmarkStart w:id="145" w:name="bm_7_3_insurance_and_liability_re_5fd6e5"/>
      <w:r>
        <w:rPr>
          <w:rFonts w:ascii="inter" w:hAnsi="inter" w:eastAsia="inter" w:cs="inter"/>
          <w:b/>
          <w:color w:val="000000"/>
          <w:sz w:val="24"/>
        </w:rPr>
        <w:t>7.3 Insurance and Liability Regime Recommendations</w:t>
      </w:r>
      <w:bookmarkEnd w:id="145"/>
    </w:p>
    <w:p w14:paraId="7E16703E">
      <w:pPr>
        <w:spacing w:after="210" w:line="360" w:lineRule="auto"/>
      </w:pPr>
      <w:r>
        <w:rPr>
          <w:rFonts w:ascii="inter" w:hAnsi="inter" w:eastAsia="inter" w:cs="inter"/>
          <w:color w:val="000000"/>
        </w:rPr>
        <w:t>Jurisdictions should consider the following liability framework modifications:</w:t>
      </w:r>
    </w:p>
    <w:p w14:paraId="68F74E39">
      <w:pPr>
        <w:spacing w:after="210" w:line="360" w:lineRule="auto"/>
      </w:pPr>
      <w:r>
        <w:rPr>
          <w:rFonts w:ascii="inter" w:hAnsi="inter" w:eastAsia="inter" w:cs="inter"/>
          <w:b/>
          <w:color w:val="000000"/>
        </w:rPr>
        <w:t>1. Apportionment Guidance</w:t>
      </w:r>
      <w:r>
        <w:rPr>
          <w:rFonts w:ascii="inter" w:hAnsi="inter" w:eastAsia="inter" w:cs="inter"/>
          <w:color w:val="000000"/>
        </w:rPr>
        <w:t>: Courts and regulators should establish clear guidelines for apportioning ADAS accident liability across drivers, manufacturers, and software developers based on:</w:t>
      </w:r>
    </w:p>
    <w:p w14:paraId="5D5D0073">
      <w:pPr>
        <w:numPr>
          <w:ilvl w:val="0"/>
          <w:numId w:val="2"/>
        </w:numPr>
        <w:spacing w:before="105" w:after="105" w:line="360" w:lineRule="auto"/>
      </w:pPr>
      <w:r>
        <w:rPr>
          <w:rFonts w:ascii="inter" w:hAnsi="inter" w:eastAsia="inter" w:cs="inter"/>
          <w:color w:val="000000"/>
          <w:sz w:val="21"/>
        </w:rPr>
        <w:t>Whether system operated within ODD (manufacturer liability higher if violated)</w:t>
      </w:r>
    </w:p>
    <w:p w14:paraId="4E84A8B4">
      <w:pPr>
        <w:numPr>
          <w:ilvl w:val="0"/>
          <w:numId w:val="2"/>
        </w:numPr>
        <w:spacing w:before="105" w:after="105" w:line="360" w:lineRule="auto"/>
      </w:pPr>
      <w:r>
        <w:rPr>
          <w:rFonts w:ascii="inter" w:hAnsi="inter" w:eastAsia="inter" w:cs="inter"/>
          <w:color w:val="000000"/>
          <w:sz w:val="21"/>
        </w:rPr>
        <w:t>Whether driver maintained required supervision (driver liability higher if not)</w:t>
      </w:r>
    </w:p>
    <w:p w14:paraId="68A36BF5">
      <w:pPr>
        <w:numPr>
          <w:ilvl w:val="0"/>
          <w:numId w:val="2"/>
        </w:numPr>
        <w:spacing w:before="105" w:after="105" w:line="360" w:lineRule="auto"/>
      </w:pPr>
      <w:r>
        <w:rPr>
          <w:rFonts w:ascii="inter" w:hAnsi="inter" w:eastAsia="inter" w:cs="inter"/>
          <w:color w:val="000000"/>
          <w:sz w:val="21"/>
        </w:rPr>
        <w:t>Whether manufacturer's design enabled misuse (manufacturer liability higher if design permitted non-ODD activation)</w:t>
      </w:r>
    </w:p>
    <w:p w14:paraId="2EE5EDFF">
      <w:pPr>
        <w:numPr>
          <w:ilvl w:val="0"/>
          <w:numId w:val="2"/>
        </w:numPr>
        <w:spacing w:before="105" w:after="105" w:line="360" w:lineRule="auto"/>
      </w:pPr>
      <w:r>
        <w:rPr>
          <w:rFonts w:ascii="inter" w:hAnsi="inter" w:eastAsia="inter" w:cs="inter"/>
          <w:color w:val="000000"/>
          <w:sz w:val="21"/>
        </w:rPr>
        <w:t>Whether marketing claims misrepresented capability (manufacturer liability higher if overstated)</w:t>
      </w:r>
      <w:bookmarkStart w:id="146" w:name="fnref13_16"/>
      <w:bookmarkEnd w:id="146"/>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347B2FCA">
      <w:pPr>
        <w:spacing w:after="210" w:line="360" w:lineRule="auto"/>
      </w:pPr>
      <w:r>
        <w:rPr>
          <w:rFonts w:ascii="inter" w:hAnsi="inter" w:eastAsia="inter" w:cs="inter"/>
          <w:b/>
          <w:color w:val="000000"/>
        </w:rPr>
        <w:t>2. Mandatory ADAS Insurance Coverage</w:t>
      </w:r>
      <w:r>
        <w:rPr>
          <w:rFonts w:ascii="inter" w:hAnsi="inter" w:eastAsia="inter" w:cs="inter"/>
          <w:color w:val="000000"/>
        </w:rPr>
        <w:t>: Liability policies should explicitly cover ADAS-related accidents with specific allocation provisions for system failures versus driver negligence. Insurers should not be permitted to deny coverage based solely on system involvement; instead, causation analysis should determine whether the ADAS failure contributed to the accident or merely coincided with driver error.</w:t>
      </w:r>
      <w:bookmarkStart w:id="147" w:name="fnref42"/>
      <w:bookmarkEnd w:id="147"/>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p>
    <w:p w14:paraId="71ECA861">
      <w:pPr>
        <w:spacing w:after="210" w:line="360" w:lineRule="auto"/>
      </w:pPr>
      <w:r>
        <w:rPr>
          <w:rFonts w:ascii="inter" w:hAnsi="inter" w:eastAsia="inter" w:cs="inter"/>
          <w:b/>
          <w:color w:val="000000"/>
        </w:rPr>
        <w:t>3. No-Fault Insurance Pilot Programs</w:t>
      </w:r>
      <w:r>
        <w:rPr>
          <w:rFonts w:ascii="inter" w:hAnsi="inter" w:eastAsia="inter" w:cs="inter"/>
          <w:color w:val="000000"/>
        </w:rPr>
        <w:t>: Jurisdictions should consider pilot no-fault insurance schemes for ADAS accidents, where compensation is provided regardless of fault attribution. These schemes could be funded through manufacturer surcharges on ADAS-equipped vehicles, reducing litigation costs and ensuring faster victim compensation.</w:t>
      </w:r>
      <w:bookmarkStart w:id="148" w:name="fnref43"/>
      <w:bookmarkEnd w:id="148"/>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p>
    <w:p w14:paraId="52AB8270">
      <w:pPr>
        <w:spacing w:after="210" w:line="360" w:lineRule="auto"/>
      </w:pPr>
      <w:r>
        <w:rPr>
          <w:rFonts w:ascii="inter" w:hAnsi="inter" w:eastAsia="inter" w:cs="inter"/>
          <w:b/>
          <w:color w:val="000000"/>
        </w:rPr>
        <w:t>4. Repair Shop Liability Standards</w:t>
      </w:r>
      <w:r>
        <w:rPr>
          <w:rFonts w:ascii="inter" w:hAnsi="inter" w:eastAsia="inter" w:cs="inter"/>
          <w:color w:val="000000"/>
        </w:rPr>
        <w:t>: Regulation should establish clear standards for post-repair ADAS calibration, with repair shops bearing liability only for deviations from OEM calibration procedures and manufacturers bearing liability for system designs that permit wide calibration tolerance without adequate in-vehicle diagnostics.</w:t>
      </w:r>
      <w:bookmarkStart w:id="149" w:name="fnref36_2"/>
      <w:bookmarkEnd w:id="149"/>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bookmarkStart w:id="150" w:name="fnref37_1"/>
      <w:bookmarkEnd w:id="150"/>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498436BF">
      <w:pPr>
        <w:spacing w:before="315" w:after="105" w:line="360" w:lineRule="auto"/>
        <w:ind w:left="-30"/>
        <w:jc w:val="left"/>
      </w:pPr>
      <w:bookmarkStart w:id="151" w:name="bm_7_4_information_disclosure_and_eea84d"/>
      <w:r>
        <w:rPr>
          <w:rFonts w:ascii="inter" w:hAnsi="inter" w:eastAsia="inter" w:cs="inter"/>
          <w:b/>
          <w:color w:val="000000"/>
          <w:sz w:val="24"/>
        </w:rPr>
        <w:t>7.4 Information Disclosure and Transparency Standards</w:t>
      </w:r>
      <w:bookmarkEnd w:id="151"/>
    </w:p>
    <w:p w14:paraId="2118AFCB">
      <w:pPr>
        <w:spacing w:after="210" w:line="360" w:lineRule="auto"/>
      </w:pPr>
      <w:r>
        <w:rPr>
          <w:rFonts w:ascii="inter" w:hAnsi="inter" w:eastAsia="inter" w:cs="inter"/>
          <w:color w:val="000000"/>
        </w:rPr>
        <w:t>Manufacturers should provide drivers with transparent, standardized information about ADAS capabilities and limitations:</w:t>
      </w:r>
    </w:p>
    <w:p w14:paraId="436F1771">
      <w:pPr>
        <w:spacing w:after="210" w:line="360" w:lineRule="auto"/>
      </w:pPr>
      <w:r>
        <w:rPr>
          <w:rFonts w:ascii="inter" w:hAnsi="inter" w:eastAsia="inter" w:cs="inter"/>
          <w:b/>
          <w:color w:val="000000"/>
        </w:rPr>
        <w:t>1. Standardized Capability Disclosure</w:t>
      </w:r>
      <w:r>
        <w:rPr>
          <w:rFonts w:ascii="inter" w:hAnsi="inter" w:eastAsia="inter" w:cs="inter"/>
          <w:color w:val="000000"/>
        </w:rPr>
        <w:t>: All manufacturers should use a standardized format for disclosing ADAS capabilities, ODD boundaries, and supervision requirements, similar to nutrition labels on food products. This standardization prevents consumer confusion from different naming conventions for functionally identical features.</w:t>
      </w:r>
      <w:bookmarkStart w:id="152" w:name="fnref3_5"/>
      <w:bookmarkEnd w:id="152"/>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39926583">
      <w:pPr>
        <w:spacing w:after="210" w:line="360" w:lineRule="auto"/>
      </w:pPr>
      <w:r>
        <w:rPr>
          <w:rFonts w:ascii="inter" w:hAnsi="inter" w:eastAsia="inter" w:cs="inter"/>
          <w:b/>
          <w:color w:val="000000"/>
        </w:rPr>
        <w:t>2. Limitation Communication</w:t>
      </w:r>
      <w:r>
        <w:rPr>
          <w:rFonts w:ascii="inter" w:hAnsi="inter" w:eastAsia="inter" w:cs="inter"/>
          <w:color w:val="000000"/>
        </w:rPr>
        <w:t>: Owner's manuals should explicitly list common scenarios where ADAS fails or provides unreliable performance, including heavy rain, fog, construction zones, and other ODD boundary conditions. These communications should be reinforced through in-vehicle displays when drivers attempt to activate ADAS under marginal conditions.</w:t>
      </w:r>
      <w:bookmarkStart w:id="153" w:name="fnref3_6"/>
      <w:bookmarkEnd w:id="153"/>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F849BE2">
      <w:pPr>
        <w:spacing w:after="210" w:line="360" w:lineRule="auto"/>
      </w:pPr>
      <w:r>
        <w:rPr>
          <w:rFonts w:ascii="inter" w:hAnsi="inter" w:eastAsia="inter" w:cs="inter"/>
          <w:b/>
          <w:color w:val="000000"/>
        </w:rPr>
        <w:t>3. Periodic Capability Validation</w:t>
      </w:r>
      <w:r>
        <w:rPr>
          <w:rFonts w:ascii="inter" w:hAnsi="inter" w:eastAsia="inter" w:cs="inter"/>
          <w:color w:val="000000"/>
        </w:rPr>
        <w:t>: Manufacturers should periodically (e.g., annually at service appointments) validate that ADAS systems remain within performance specifications through diagnostic checks and, where indicated, recalibration or software updates.</w:t>
      </w:r>
      <w:bookmarkStart w:id="154" w:name="fnref44"/>
      <w:bookmarkEnd w:id="154"/>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p>
    <w:p w14:paraId="449980F9">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1084EE9A">
      <w:pPr>
        <w:spacing w:before="315" w:after="105" w:line="360" w:lineRule="auto"/>
        <w:ind w:left="-30"/>
        <w:jc w:val="left"/>
      </w:pPr>
      <w:bookmarkStart w:id="155" w:name="part_8_conclusion_and_synthesis"/>
      <w:r>
        <w:rPr>
          <w:rFonts w:ascii="inter" w:hAnsi="inter" w:eastAsia="inter" w:cs="inter"/>
          <w:b/>
          <w:color w:val="000000"/>
          <w:sz w:val="24"/>
        </w:rPr>
        <w:t>Part 8: Conclusion and Synthesis</w:t>
      </w:r>
      <w:bookmarkEnd w:id="155"/>
    </w:p>
    <w:p w14:paraId="57747A0D">
      <w:pPr>
        <w:spacing w:after="210" w:line="360" w:lineRule="auto"/>
      </w:pPr>
      <w:r>
        <w:rPr>
          <w:rFonts w:ascii="inter" w:hAnsi="inter" w:eastAsia="inter" w:cs="inter"/>
          <w:color w:val="000000"/>
        </w:rPr>
        <w:t>ADAS liability allocation represents a fundamental departure from conventional automotive liability law. Traditional vehicle accidents fall nearly entirely within driver negligence frameworks—drivers bear responsibility for vehicle operation, and manufacturers are liable only for defective components. ADAS disrupts this allocation because automation obscures the boundary between driver action and vehicle function, creating scenarios where driver negligence and manufacturer design failure jointly contribute to accidents.</w:t>
      </w:r>
    </w:p>
    <w:p w14:paraId="73937ED9">
      <w:pPr>
        <w:spacing w:after="210" w:line="360" w:lineRule="auto"/>
      </w:pPr>
      <w:r>
        <w:rPr>
          <w:rFonts w:ascii="inter" w:hAnsi="inter" w:eastAsia="inter" w:cs="inter"/>
          <w:color w:val="000000"/>
        </w:rPr>
        <w:t>The emerging legal standard allocates liability based on control responsibility within the ODD: manufacturers bear primary responsibility for system performance within ODD and for preventing activation outside ODD; drivers bear primary responsibility for recognizing when ODD conditions are no longer present and for maintaining required supervision. However, this allocation is not absolute—it varies with specific facts and circumstances.</w:t>
      </w:r>
    </w:p>
    <w:p w14:paraId="61BE47CB">
      <w:pPr>
        <w:spacing w:after="210" w:line="360" w:lineRule="auto"/>
      </w:pPr>
      <w:r>
        <w:rPr>
          <w:rFonts w:ascii="inter" w:hAnsi="inter" w:eastAsia="inter" w:cs="inter"/>
          <w:color w:val="000000"/>
        </w:rPr>
        <w:t xml:space="preserve">The 2025 </w:t>
      </w:r>
      <w:r>
        <w:rPr>
          <w:rFonts w:ascii="inter" w:hAnsi="inter" w:eastAsia="inter" w:cs="inter"/>
          <w:i/>
          <w:color w:val="000000"/>
        </w:rPr>
        <w:t>Benavides v. Tesla</w:t>
      </w:r>
      <w:r>
        <w:rPr>
          <w:rFonts w:ascii="inter" w:hAnsi="inter" w:eastAsia="inter" w:cs="inter"/>
          <w:color w:val="000000"/>
        </w:rPr>
        <w:t xml:space="preserve"> verdict establishes that juries will apportion fault even to clearly negligent drivers if manufacturers contribute through design choices, marketing misrepresentations, or inadequate supervision safeguards. This signals that future litigation will focus not on binary fault determination but on comparative responsibility, with manufacturers facing 25-40% liability in Level 2 ADAS cases when multiple risk factors are present.</w:t>
      </w:r>
    </w:p>
    <w:p w14:paraId="79F5F49F">
      <w:pPr>
        <w:spacing w:after="210" w:line="360" w:lineRule="auto"/>
      </w:pPr>
      <w:r>
        <w:rPr>
          <w:rFonts w:ascii="inter" w:hAnsi="inter" w:eastAsia="inter" w:cs="inter"/>
          <w:color w:val="000000"/>
        </w:rPr>
        <w:t>Regulatory frameworks are rapidly converging on common standards. UN R157 and R171 establish international minimums for driver monitoring and system performance. The EU Product Liability Directive imposes strict liability for software defects and cybersecurity vulnerabilities. NHTSA's expanding NCAP protocols create de facto performance baselines. These converging standards suggest that manufacturers adopting best-practice design, monitoring, and disclosure standards will substantially reduce liability exposure while improving actual safety outcomes.</w:t>
      </w:r>
    </w:p>
    <w:p w14:paraId="20BD1C89">
      <w:pPr>
        <w:spacing w:after="210" w:line="360" w:lineRule="auto"/>
      </w:pPr>
      <w:r>
        <w:rPr>
          <w:rFonts w:ascii="inter" w:hAnsi="inter" w:eastAsia="inter" w:cs="inter"/>
          <w:color w:val="000000"/>
        </w:rPr>
        <w:t>For jurisdictions like Singapore that are developing comprehensive AV regulatory frameworks, the optimal approach is to retain the existing fault-based negligence system while incorporating targeted modifications that create presumptions of manufacturer responsibility when:</w:t>
      </w:r>
    </w:p>
    <w:p w14:paraId="71A7A336">
      <w:pPr>
        <w:numPr>
          <w:ilvl w:val="0"/>
          <w:numId w:val="3"/>
        </w:numPr>
        <w:spacing w:before="105" w:after="105" w:line="360" w:lineRule="auto"/>
      </w:pPr>
      <w:r>
        <w:rPr>
          <w:rFonts w:ascii="inter" w:hAnsi="inter" w:eastAsia="inter" w:cs="inter"/>
          <w:color w:val="000000"/>
          <w:sz w:val="21"/>
        </w:rPr>
        <w:t>ADAS system failures occur outside specified design parameters</w:t>
      </w:r>
    </w:p>
    <w:p w14:paraId="31E3B465">
      <w:pPr>
        <w:numPr>
          <w:ilvl w:val="0"/>
          <w:numId w:val="3"/>
        </w:numPr>
        <w:spacing w:before="105" w:after="105" w:line="360" w:lineRule="auto"/>
      </w:pPr>
      <w:r>
        <w:rPr>
          <w:rFonts w:ascii="inter" w:hAnsi="inter" w:eastAsia="inter" w:cs="inter"/>
          <w:color w:val="000000"/>
          <w:sz w:val="21"/>
        </w:rPr>
        <w:t>Manufacturers fail to implement hard ODD boundary enforcement when technologically feasible</w:t>
      </w:r>
    </w:p>
    <w:p w14:paraId="23C21CD7">
      <w:pPr>
        <w:numPr>
          <w:ilvl w:val="0"/>
          <w:numId w:val="3"/>
        </w:numPr>
        <w:spacing w:before="105" w:after="105" w:line="360" w:lineRule="auto"/>
      </w:pPr>
      <w:r>
        <w:rPr>
          <w:rFonts w:ascii="inter" w:hAnsi="inter" w:eastAsia="inter" w:cs="inter"/>
          <w:color w:val="000000"/>
          <w:sz w:val="21"/>
        </w:rPr>
        <w:t>Marketing claims misrepresent system capabilities</w:t>
      </w:r>
    </w:p>
    <w:p w14:paraId="5377191B">
      <w:pPr>
        <w:numPr>
          <w:ilvl w:val="0"/>
          <w:numId w:val="3"/>
        </w:numPr>
        <w:spacing w:before="105" w:after="105" w:line="360" w:lineRule="auto"/>
      </w:pPr>
      <w:r>
        <w:rPr>
          <w:rFonts w:ascii="inter" w:hAnsi="inter" w:eastAsia="inter" w:cs="inter"/>
          <w:color w:val="000000"/>
          <w:sz w:val="21"/>
        </w:rPr>
        <w:t>Systems fail to implement adequate driver state monitoring per international standards</w:t>
      </w:r>
    </w:p>
    <w:p w14:paraId="4A18ADE4">
      <w:pPr>
        <w:spacing w:after="210" w:line="360" w:lineRule="auto"/>
      </w:pPr>
      <w:r>
        <w:rPr>
          <w:rFonts w:ascii="inter" w:hAnsi="inter" w:eastAsia="inter" w:cs="inter"/>
          <w:color w:val="000000"/>
        </w:rPr>
        <w:t>This balanced approach preserves innovation incentives while establishing clear manufacturer responsibility for design, implementation, and disclosure standards. It recognizes that ADAS technology provides genuine safety benefits—forward collision avoidance systems reduce crashes by 29%, and lane-keeping assistance reduces crashes by 19%—while acknowledging that shared human-machine responsibility requires carefully structured legal frameworks to allocate liability proportionally based on each party's contribution to accident causation.</w:t>
      </w:r>
    </w:p>
    <w:p w14:paraId="4C6A6E88">
      <w:pPr>
        <w:spacing w:after="210" w:line="360" w:lineRule="auto"/>
      </w:pPr>
      <w:r>
        <w:rPr>
          <w:rFonts w:ascii="inter" w:hAnsi="inter" w:eastAsia="inter" w:cs="inter"/>
          <w:color w:val="000000"/>
        </w:rPr>
        <w:t>The transition from human-controlled to partially automated vehicles represents a multi-decade evolution. ADAS accident liability law will similarly evolve through accumulated case precedent, regulatory standard-setting, and legislative action. The frameworks outlined in this report provide a coherent foundation for this evolution while protecting victims' compensation rights and maintaining innovation incentives for manufacturers.</w:t>
      </w:r>
    </w:p>
    <w:p w14:paraId="56C5DF7D">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57A65119">
      <w:pPr>
        <w:spacing w:after="210" w:line="360" w:lineRule="auto"/>
      </w:pPr>
      <w:r>
        <w:rPr>
          <w:rFonts w:ascii="inter" w:hAnsi="inter" w:eastAsia="inter" w:cs="inter"/>
          <w:color w:val="000000"/>
        </w:rPr>
        <w:t xml:space="preserve">NI (2024). What is ADAS? Advanced Driver Assistance Basics. Retrieved from </w:t>
      </w:r>
      <w:r>
        <w:fldChar w:fldCharType="begin"/>
      </w:r>
      <w:r>
        <w:instrText xml:space="preserve"> HYPERLINK "https://www.ni.com/en/solutions/transportation/adas-and-autonomous-driving-testing/what-is-adas.html" \h </w:instrText>
      </w:r>
      <w:r>
        <w:fldChar w:fldCharType="separate"/>
      </w:r>
      <w:r>
        <w:rPr>
          <w:rFonts w:ascii="inter" w:hAnsi="inter" w:eastAsia="inter" w:cs="inter"/>
          <w:color w:val="000000"/>
          <w:u w:val="single"/>
        </w:rPr>
        <w:t>https://www.ni.com/en/solutions/transportation/adas-and-autonomous-driving-testing/what-is-adas.html</w:t>
      </w:r>
      <w:r>
        <w:rPr>
          <w:rFonts w:ascii="inter" w:hAnsi="inter" w:eastAsia="inter" w:cs="inter"/>
          <w:color w:val="000000"/>
          <w:u w:val="single"/>
        </w:rPr>
        <w:fldChar w:fldCharType="end"/>
      </w:r>
      <w:bookmarkStart w:id="156" w:name="fnref1_3"/>
      <w:bookmarkEnd w:id="15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0DF0B24">
      <w:pPr>
        <w:spacing w:after="210" w:line="360" w:lineRule="auto"/>
      </w:pPr>
      <w:r>
        <w:rPr>
          <w:rFonts w:ascii="inter" w:hAnsi="inter" w:eastAsia="inter" w:cs="inter"/>
          <w:color w:val="000000"/>
        </w:rPr>
        <w:t xml:space="preserve">MIT (2020). Operational Design Domain Framework for Automated Driving Systems. Retrieved from </w:t>
      </w:r>
      <w:r>
        <w:fldChar w:fldCharType="begin"/>
      </w:r>
      <w:r>
        <w:instrText xml:space="preserve"> HYPERLINK "https://dspace.mit.edu/handle/1721.1/129156" \h </w:instrText>
      </w:r>
      <w:r>
        <w:fldChar w:fldCharType="separate"/>
      </w:r>
      <w:r>
        <w:rPr>
          <w:rFonts w:ascii="inter" w:hAnsi="inter" w:eastAsia="inter" w:cs="inter"/>
          <w:color w:val="000000"/>
          <w:u w:val="single"/>
        </w:rPr>
        <w:t>https://dspace.mit.edu/handle/1721.1/129156</w:t>
      </w:r>
      <w:r>
        <w:rPr>
          <w:rFonts w:ascii="inter" w:hAnsi="inter" w:eastAsia="inter" w:cs="inter"/>
          <w:color w:val="000000"/>
          <w:u w:val="single"/>
        </w:rPr>
        <w:fldChar w:fldCharType="end"/>
      </w:r>
      <w:bookmarkStart w:id="157" w:name="fnref4_2"/>
      <w:bookmarkEnd w:id="15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00DAB219">
      <w:pPr>
        <w:spacing w:after="210" w:line="360" w:lineRule="auto"/>
      </w:pPr>
      <w:r>
        <w:rPr>
          <w:rFonts w:ascii="inter" w:hAnsi="inter" w:eastAsia="inter" w:cs="inter"/>
          <w:color w:val="000000"/>
        </w:rPr>
        <w:t xml:space="preserve">Dorleco (2025). Human-Machine Interaction in ADAS. Retrieved from </w:t>
      </w:r>
      <w:r>
        <w:fldChar w:fldCharType="begin"/>
      </w:r>
      <w:r>
        <w:instrText xml:space="preserve"> HYPERLINK "https://dorleco.com/human-machine-interaction-in-adas/" \h </w:instrText>
      </w:r>
      <w:r>
        <w:fldChar w:fldCharType="separate"/>
      </w:r>
      <w:r>
        <w:rPr>
          <w:rFonts w:ascii="inter" w:hAnsi="inter" w:eastAsia="inter" w:cs="inter"/>
          <w:color w:val="000000"/>
          <w:u w:val="single"/>
        </w:rPr>
        <w:t>https://dorleco.com/human-machine-interaction-in-adas/</w:t>
      </w:r>
      <w:r>
        <w:rPr>
          <w:rFonts w:ascii="inter" w:hAnsi="inter" w:eastAsia="inter" w:cs="inter"/>
          <w:color w:val="000000"/>
          <w:u w:val="single"/>
        </w:rPr>
        <w:fldChar w:fldCharType="end"/>
      </w:r>
      <w:bookmarkStart w:id="158" w:name="fnref45"/>
      <w:bookmarkEnd w:id="158"/>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p>
    <w:p w14:paraId="50E58B8D">
      <w:pPr>
        <w:spacing w:after="210" w:line="360" w:lineRule="auto"/>
      </w:pPr>
      <w:r>
        <w:rPr>
          <w:rFonts w:ascii="inter" w:hAnsi="inter" w:eastAsia="inter" w:cs="inter"/>
          <w:color w:val="000000"/>
        </w:rPr>
        <w:t xml:space="preserve">Wikipedia. Advanced Driver-Assistance System. Retrieved from </w:t>
      </w:r>
      <w:r>
        <w:fldChar w:fldCharType="begin"/>
      </w:r>
      <w:r>
        <w:instrText xml:space="preserve"> HYPERLINK "https://en.wikipedia.org/wiki/Advanced_driver-assistance_system" \h </w:instrText>
      </w:r>
      <w:r>
        <w:fldChar w:fldCharType="separate"/>
      </w:r>
      <w:r>
        <w:rPr>
          <w:rFonts w:ascii="inter" w:hAnsi="inter" w:eastAsia="inter" w:cs="inter"/>
          <w:color w:val="000000"/>
          <w:u w:val="single"/>
        </w:rPr>
        <w:t>https://en.wikipedia.org/wiki/Advanced_driver-assistance_system</w:t>
      </w:r>
      <w:r>
        <w:rPr>
          <w:rFonts w:ascii="inter" w:hAnsi="inter" w:eastAsia="inter" w:cs="inter"/>
          <w:color w:val="000000"/>
          <w:u w:val="single"/>
        </w:rPr>
        <w:fldChar w:fldCharType="end"/>
      </w:r>
      <w:bookmarkStart w:id="159" w:name="fnref2_1"/>
      <w:bookmarkEnd w:id="15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BED7548">
      <w:pPr>
        <w:spacing w:after="210" w:line="360" w:lineRule="auto"/>
      </w:pPr>
      <w:r>
        <w:rPr>
          <w:rFonts w:ascii="inter" w:hAnsi="inter" w:eastAsia="inter" w:cs="inter"/>
          <w:color w:val="000000"/>
        </w:rPr>
        <w:t xml:space="preserve">ANSI (2025). SAE Levels of Driving Automation - J-3016-2021. Retrieved from </w:t>
      </w:r>
      <w:r>
        <w:fldChar w:fldCharType="begin"/>
      </w:r>
      <w:r>
        <w:instrText xml:space="preserve"> HYPERLINK "https://blog.ansi.org/ansi/sae-levels-driving-automation-j-3016-2021/" \h </w:instrText>
      </w:r>
      <w:r>
        <w:fldChar w:fldCharType="separate"/>
      </w:r>
      <w:r>
        <w:rPr>
          <w:rFonts w:ascii="inter" w:hAnsi="inter" w:eastAsia="inter" w:cs="inter"/>
          <w:color w:val="000000"/>
          <w:u w:val="single"/>
        </w:rPr>
        <w:t>https://blog.ansi.org/ansi/sae-levels-driving-automation-j-3016-2021/</w:t>
      </w:r>
      <w:r>
        <w:rPr>
          <w:rFonts w:ascii="inter" w:hAnsi="inter" w:eastAsia="inter" w:cs="inter"/>
          <w:color w:val="000000"/>
          <w:u w:val="single"/>
        </w:rPr>
        <w:fldChar w:fldCharType="end"/>
      </w:r>
      <w:bookmarkStart w:id="160" w:name="fnref28_1"/>
      <w:bookmarkEnd w:id="160"/>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7DE7B5B2">
      <w:pPr>
        <w:spacing w:after="210" w:line="360" w:lineRule="auto"/>
      </w:pPr>
      <w:r>
        <w:fldChar w:fldCharType="begin"/>
      </w:r>
      <w:r>
        <w:instrText xml:space="preserve"> HYPERLINK "http://auto-sens.com" \h </w:instrText>
      </w:r>
      <w:r>
        <w:fldChar w:fldCharType="separate"/>
      </w:r>
      <w:r>
        <w:rPr>
          <w:rFonts w:ascii="inter" w:hAnsi="inter" w:eastAsia="inter" w:cs="inter"/>
          <w:color w:val="000000"/>
          <w:u w:val="single"/>
        </w:rPr>
        <w:t>auto-sens.com</w:t>
      </w:r>
      <w:r>
        <w:rPr>
          <w:rFonts w:ascii="inter" w:hAnsi="inter" w:eastAsia="inter" w:cs="inter"/>
          <w:color w:val="000000"/>
          <w:u w:val="single"/>
        </w:rPr>
        <w:fldChar w:fldCharType="end"/>
      </w:r>
      <w:r>
        <w:rPr>
          <w:rFonts w:ascii="inter" w:hAnsi="inter" w:eastAsia="inter" w:cs="inter"/>
          <w:color w:val="000000"/>
        </w:rPr>
        <w:t xml:space="preserve"> (2025). Exploring the Human Factor in ADAS. Retrieved from </w:t>
      </w:r>
      <w:r>
        <w:fldChar w:fldCharType="begin"/>
      </w:r>
      <w:r>
        <w:instrText xml:space="preserve"> HYPERLINK "https://auto-sens.com/blog/exploring-the-human-factor-in-adas/" \h </w:instrText>
      </w:r>
      <w:r>
        <w:fldChar w:fldCharType="separate"/>
      </w:r>
      <w:r>
        <w:rPr>
          <w:rFonts w:ascii="inter" w:hAnsi="inter" w:eastAsia="inter" w:cs="inter"/>
          <w:color w:val="000000"/>
          <w:u w:val="single"/>
        </w:rPr>
        <w:t>https://auto-sens.com/blog/exploring-the-human-factor-in-adas/</w:t>
      </w:r>
      <w:r>
        <w:rPr>
          <w:rFonts w:ascii="inter" w:hAnsi="inter" w:eastAsia="inter" w:cs="inter"/>
          <w:color w:val="000000"/>
          <w:u w:val="single"/>
        </w:rPr>
        <w:fldChar w:fldCharType="end"/>
      </w:r>
      <w:bookmarkStart w:id="161" w:name="fnref34_1"/>
      <w:bookmarkEnd w:id="161"/>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p>
    <w:p w14:paraId="6E7D6E33">
      <w:pPr>
        <w:spacing w:after="210" w:line="360" w:lineRule="auto"/>
      </w:pPr>
      <w:r>
        <w:rPr>
          <w:rFonts w:ascii="inter" w:hAnsi="inter" w:eastAsia="inter" w:cs="inter"/>
          <w:color w:val="000000"/>
        </w:rPr>
        <w:t xml:space="preserve">Dewesoft (2023). What is ADAS. Retrieved from </w:t>
      </w:r>
      <w:r>
        <w:fldChar w:fldCharType="begin"/>
      </w:r>
      <w:r>
        <w:instrText xml:space="preserve"> HYPERLINK "https://dewesoft.com/blog/what-is-adas" \h </w:instrText>
      </w:r>
      <w:r>
        <w:fldChar w:fldCharType="separate"/>
      </w:r>
      <w:r>
        <w:rPr>
          <w:rFonts w:ascii="inter" w:hAnsi="inter" w:eastAsia="inter" w:cs="inter"/>
          <w:color w:val="000000"/>
          <w:u w:val="single"/>
        </w:rPr>
        <w:t>https://dewesoft.com/blog/what-is-adas</w:t>
      </w:r>
      <w:r>
        <w:rPr>
          <w:rFonts w:ascii="inter" w:hAnsi="inter" w:eastAsia="inter" w:cs="inter"/>
          <w:color w:val="000000"/>
          <w:u w:val="single"/>
        </w:rPr>
        <w:fldChar w:fldCharType="end"/>
      </w:r>
      <w:bookmarkStart w:id="162" w:name="fnref46"/>
      <w:bookmarkEnd w:id="162"/>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p>
    <w:p w14:paraId="5D4FDF12">
      <w:pPr>
        <w:spacing w:after="210" w:line="360" w:lineRule="auto"/>
      </w:pPr>
      <w:r>
        <w:rPr>
          <w:rFonts w:ascii="inter" w:hAnsi="inter" w:eastAsia="inter" w:cs="inter"/>
          <w:color w:val="000000"/>
        </w:rPr>
        <w:t xml:space="preserve">Claytex (2023). Understanding Operational Design Domain. Retrieved from </w:t>
      </w:r>
      <w:r>
        <w:fldChar w:fldCharType="begin"/>
      </w:r>
      <w:r>
        <w:instrText xml:space="preserve"> HYPERLINK "https://www.claytex.com/tech-blog/understanding-operational-design-domain-to-create-informed-safety-in-autonomous-vehicles" \h </w:instrText>
      </w:r>
      <w:r>
        <w:fldChar w:fldCharType="separate"/>
      </w:r>
      <w:r>
        <w:rPr>
          <w:rFonts w:ascii="inter" w:hAnsi="inter" w:eastAsia="inter" w:cs="inter"/>
          <w:color w:val="000000"/>
          <w:u w:val="single"/>
        </w:rPr>
        <w:t>https://www.claytex.com/tech-blog/understanding-operational-design-domain-to-create-informed-safety-in-autonomous-vehicles</w:t>
      </w:r>
      <w:r>
        <w:rPr>
          <w:rFonts w:ascii="inter" w:hAnsi="inter" w:eastAsia="inter" w:cs="inter"/>
          <w:color w:val="000000"/>
          <w:u w:val="single"/>
        </w:rPr>
        <w:fldChar w:fldCharType="end"/>
      </w:r>
      <w:bookmarkStart w:id="163" w:name="fnref5_1"/>
      <w:bookmarkEnd w:id="163"/>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55F72718">
      <w:pPr>
        <w:spacing w:after="210" w:line="360" w:lineRule="auto"/>
      </w:pPr>
      <w:r>
        <w:rPr>
          <w:rFonts w:ascii="inter" w:hAnsi="inter" w:eastAsia="inter" w:cs="inter"/>
          <w:color w:val="000000"/>
        </w:rPr>
        <w:t xml:space="preserve">Swedish Driving Study (ESOV). System Limitation Experiences by Swedish Drivers Using ACC and LKA. Retrieved from </w:t>
      </w:r>
      <w:r>
        <w:fldChar w:fldCharType="begin"/>
      </w:r>
      <w:r>
        <w:instrText xml:space="preserve"> HYPERLINK "https://index.mirasmart.com/27esv/PDFfiles/Session%208%20Oral.pdf" \h </w:instrText>
      </w:r>
      <w:r>
        <w:fldChar w:fldCharType="separate"/>
      </w:r>
      <w:r>
        <w:rPr>
          <w:rFonts w:ascii="inter" w:hAnsi="inter" w:eastAsia="inter" w:cs="inter"/>
          <w:color w:val="000000"/>
          <w:u w:val="single"/>
        </w:rPr>
        <w:t>https://index.mirasmart.com/27esv/PDFfiles/Session 8 Oral.pdf</w:t>
      </w:r>
      <w:r>
        <w:rPr>
          <w:rFonts w:ascii="inter" w:hAnsi="inter" w:eastAsia="inter" w:cs="inter"/>
          <w:color w:val="000000"/>
          <w:u w:val="single"/>
        </w:rPr>
        <w:fldChar w:fldCharType="end"/>
      </w:r>
      <w:bookmarkStart w:id="164" w:name="fnref47"/>
      <w:bookmarkEnd w:id="164"/>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p>
    <w:p w14:paraId="2AF736DA">
      <w:pPr>
        <w:spacing w:after="210" w:line="360" w:lineRule="auto"/>
      </w:pPr>
      <w:r>
        <w:rPr>
          <w:rFonts w:ascii="inter" w:hAnsi="inter" w:eastAsia="inter" w:cs="inter"/>
          <w:color w:val="000000"/>
        </w:rPr>
        <w:t xml:space="preserve">UNECE (2011). Design Principles for Advanced Driver Assistance Systems. Retrieved from </w:t>
      </w:r>
      <w:r>
        <w:fldChar w:fldCharType="begin"/>
      </w:r>
      <w:r>
        <w:instrText xml:space="preserve"> HYPERLINK "https://www.unece.org/fileadmin/DAM/trans/doc/2011/wp29/ITS-19-07e.pdf" \h </w:instrText>
      </w:r>
      <w:r>
        <w:fldChar w:fldCharType="separate"/>
      </w:r>
      <w:r>
        <w:rPr>
          <w:rFonts w:ascii="inter" w:hAnsi="inter" w:eastAsia="inter" w:cs="inter"/>
          <w:color w:val="000000"/>
          <w:u w:val="single"/>
        </w:rPr>
        <w:t>https://www.unece.org/fileadmin/DAM/trans/doc/2011/wp29/ITS-19-07e.pdf</w:t>
      </w:r>
      <w:r>
        <w:rPr>
          <w:rFonts w:ascii="inter" w:hAnsi="inter" w:eastAsia="inter" w:cs="inter"/>
          <w:color w:val="000000"/>
          <w:u w:val="single"/>
        </w:rPr>
        <w:fldChar w:fldCharType="end"/>
      </w:r>
      <w:bookmarkStart w:id="165" w:name="fnref48"/>
      <w:bookmarkEnd w:id="165"/>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p>
    <w:p w14:paraId="5DBFB26C">
      <w:pPr>
        <w:spacing w:after="210" w:line="360" w:lineRule="auto"/>
      </w:pPr>
      <w:r>
        <w:rPr>
          <w:rFonts w:ascii="inter" w:hAnsi="inter" w:eastAsia="inter" w:cs="inter"/>
          <w:color w:val="000000"/>
        </w:rPr>
        <w:t xml:space="preserve">Oxford Academic (2022). Autonomous Vehicles and Liability Law. Retrieved from </w:t>
      </w:r>
      <w:r>
        <w:fldChar w:fldCharType="begin"/>
      </w:r>
      <w:r>
        <w:instrText xml:space="preserve"> HYPERLINK "https://academic.oup.com/ajcl/article/70/Supplement_1/i39/6655619" \h </w:instrText>
      </w:r>
      <w:r>
        <w:fldChar w:fldCharType="separate"/>
      </w:r>
      <w:r>
        <w:rPr>
          <w:rFonts w:ascii="inter" w:hAnsi="inter" w:eastAsia="inter" w:cs="inter"/>
          <w:color w:val="000000"/>
          <w:u w:val="single"/>
        </w:rPr>
        <w:t>https://academic.oup.com/ajcl/article/70/Supplement_1/i39/6655619</w:t>
      </w:r>
      <w:r>
        <w:rPr>
          <w:rFonts w:ascii="inter" w:hAnsi="inter" w:eastAsia="inter" w:cs="inter"/>
          <w:color w:val="000000"/>
          <w:u w:val="single"/>
        </w:rPr>
        <w:fldChar w:fldCharType="end"/>
      </w:r>
      <w:bookmarkStart w:id="166" w:name="fnref12_2"/>
      <w:bookmarkEnd w:id="166"/>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38516F70">
      <w:pPr>
        <w:spacing w:after="210" w:line="360" w:lineRule="auto"/>
      </w:pPr>
      <w:r>
        <w:rPr>
          <w:rFonts w:ascii="inter" w:hAnsi="inter" w:eastAsia="inter" w:cs="inter"/>
          <w:color w:val="000000"/>
        </w:rPr>
        <w:t xml:space="preserve">Dewesoft (2023). ADAS Standards and ADAS Safety Protocols. Retrieved from </w:t>
      </w:r>
      <w:r>
        <w:fldChar w:fldCharType="begin"/>
      </w:r>
      <w:r>
        <w:instrText xml:space="preserve"> HYPERLINK "https://dewesoft.com/blog/adas-standards-and-adas-safety-protocols" \h </w:instrText>
      </w:r>
      <w:r>
        <w:fldChar w:fldCharType="separate"/>
      </w:r>
      <w:r>
        <w:rPr>
          <w:rFonts w:ascii="inter" w:hAnsi="inter" w:eastAsia="inter" w:cs="inter"/>
          <w:color w:val="000000"/>
          <w:u w:val="single"/>
        </w:rPr>
        <w:t>https://dewesoft.com/blog/adas-standards-and-adas-safety-protocols</w:t>
      </w:r>
      <w:r>
        <w:rPr>
          <w:rFonts w:ascii="inter" w:hAnsi="inter" w:eastAsia="inter" w:cs="inter"/>
          <w:color w:val="000000"/>
          <w:u w:val="single"/>
        </w:rPr>
        <w:fldChar w:fldCharType="end"/>
      </w:r>
      <w:bookmarkStart w:id="167" w:name="fnref20_1"/>
      <w:bookmarkEnd w:id="167"/>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0AE4835C">
      <w:pPr>
        <w:spacing w:after="210" w:line="360" w:lineRule="auto"/>
      </w:pPr>
      <w:r>
        <w:rPr>
          <w:rFonts w:ascii="inter" w:hAnsi="inter" w:eastAsia="inter" w:cs="inter"/>
          <w:color w:val="000000"/>
        </w:rPr>
        <w:t xml:space="preserve">ACEA (2009). Code of Practice for the Design and Evaluation of ADAS. Retrieved from </w:t>
      </w:r>
      <w:r>
        <w:fldChar w:fldCharType="begin"/>
      </w:r>
      <w:r>
        <w:instrText xml:space="preserve"> HYPERLINK "https://www.acea.auto/files/20090831_Code_of_Practice_ADAS.pdf" \h </w:instrText>
      </w:r>
      <w:r>
        <w:fldChar w:fldCharType="separate"/>
      </w:r>
      <w:r>
        <w:rPr>
          <w:rFonts w:ascii="inter" w:hAnsi="inter" w:eastAsia="inter" w:cs="inter"/>
          <w:color w:val="000000"/>
          <w:u w:val="single"/>
        </w:rPr>
        <w:t>https://www.acea.auto/files/20090831_Code_of_Practice_ADAS.pdf</w:t>
      </w:r>
      <w:r>
        <w:rPr>
          <w:rFonts w:ascii="inter" w:hAnsi="inter" w:eastAsia="inter" w:cs="inter"/>
          <w:color w:val="000000"/>
          <w:u w:val="single"/>
        </w:rPr>
        <w:fldChar w:fldCharType="end"/>
      </w:r>
      <w:bookmarkStart w:id="168" w:name="fnref49"/>
      <w:bookmarkEnd w:id="168"/>
      <w:r>
        <w:fldChar w:fldCharType="begin"/>
      </w:r>
      <w:r>
        <w:instrText xml:space="preserve"> HYPERLINK \l "fn49" \h </w:instrText>
      </w:r>
      <w:r>
        <w:fldChar w:fldCharType="separate"/>
      </w:r>
      <w:r>
        <w:rPr>
          <w:rFonts w:ascii="inter" w:hAnsi="inter" w:eastAsia="inter" w:cs="inter"/>
          <w:color w:val="000000"/>
          <w:u w:val="single"/>
          <w:vertAlign w:val="superscript"/>
        </w:rPr>
        <w:t>[49]</w:t>
      </w:r>
      <w:r>
        <w:rPr>
          <w:rFonts w:ascii="inter" w:hAnsi="inter" w:eastAsia="inter" w:cs="inter"/>
          <w:color w:val="000000"/>
          <w:u w:val="single"/>
          <w:vertAlign w:val="superscript"/>
        </w:rPr>
        <w:fldChar w:fldCharType="end"/>
      </w:r>
    </w:p>
    <w:p w14:paraId="6EAC08F4">
      <w:pPr>
        <w:spacing w:after="210" w:line="360" w:lineRule="auto"/>
      </w:pPr>
      <w:r>
        <w:rPr>
          <w:rFonts w:ascii="inter" w:hAnsi="inter" w:eastAsia="inter" w:cs="inter"/>
          <w:color w:val="000000"/>
        </w:rPr>
        <w:t xml:space="preserve">WSHB Law (2025). Navigating Liability in the Age of Autonomous Vehicles. Retrieved from </w:t>
      </w:r>
      <w:r>
        <w:fldChar w:fldCharType="begin"/>
      </w:r>
      <w:r>
        <w:instrText xml:space="preserve"> HYPERLINK "https://www.wshblaw.com/publication-navigating-liability-in-the-age-of-autonomous-vehicles" \h </w:instrText>
      </w:r>
      <w:r>
        <w:fldChar w:fldCharType="separate"/>
      </w:r>
      <w:r>
        <w:rPr>
          <w:rFonts w:ascii="inter" w:hAnsi="inter" w:eastAsia="inter" w:cs="inter"/>
          <w:color w:val="000000"/>
          <w:u w:val="single"/>
        </w:rPr>
        <w:t>https://www.wshblaw.com/publication-navigating-liability-in-the-age-of-autonomous-vehicles</w:t>
      </w:r>
      <w:r>
        <w:rPr>
          <w:rFonts w:ascii="inter" w:hAnsi="inter" w:eastAsia="inter" w:cs="inter"/>
          <w:color w:val="000000"/>
          <w:u w:val="single"/>
        </w:rPr>
        <w:fldChar w:fldCharType="end"/>
      </w:r>
      <w:bookmarkStart w:id="169" w:name="fnref50"/>
      <w:bookmarkEnd w:id="169"/>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p>
    <w:p w14:paraId="6A7B47E0">
      <w:pPr>
        <w:spacing w:after="210" w:line="360" w:lineRule="auto"/>
      </w:pPr>
      <w:r>
        <w:rPr>
          <w:rFonts w:ascii="inter" w:hAnsi="inter" w:eastAsia="inter" w:cs="inter"/>
          <w:color w:val="000000"/>
        </w:rPr>
        <w:t xml:space="preserve">LinkedIn (2023). A Simple Guide to Navigating Global Standards for ADAS Verification. Retrieved from </w:t>
      </w:r>
      <w:r>
        <w:fldChar w:fldCharType="begin"/>
      </w:r>
      <w:r>
        <w:instrText xml:space="preserve"> HYPERLINK "https://www.linkedin.com/pulse/simple-guide-navigating-global-standards-adas-animesh-sarkar" \h </w:instrText>
      </w:r>
      <w:r>
        <w:fldChar w:fldCharType="separate"/>
      </w:r>
      <w:r>
        <w:rPr>
          <w:rFonts w:ascii="inter" w:hAnsi="inter" w:eastAsia="inter" w:cs="inter"/>
          <w:color w:val="000000"/>
          <w:u w:val="single"/>
        </w:rPr>
        <w:t>https://www.linkedin.com/pulse/simple-guide-navigating-global-standards-adas-animesh-sarkar</w:t>
      </w:r>
      <w:r>
        <w:rPr>
          <w:rFonts w:ascii="inter" w:hAnsi="inter" w:eastAsia="inter" w:cs="inter"/>
          <w:color w:val="000000"/>
          <w:u w:val="single"/>
        </w:rPr>
        <w:fldChar w:fldCharType="end"/>
      </w:r>
      <w:bookmarkStart w:id="170" w:name="fnref21_1"/>
      <w:bookmarkEnd w:id="170"/>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1EF1E072">
      <w:pPr>
        <w:spacing w:after="210" w:line="360" w:lineRule="auto"/>
      </w:pPr>
      <w:r>
        <w:rPr>
          <w:rFonts w:ascii="inter" w:hAnsi="inter" w:eastAsia="inter" w:cs="inter"/>
          <w:color w:val="000000"/>
        </w:rPr>
        <w:t xml:space="preserve">Brookings (2024). Setting the Standard of Liability for Self-Driving Cars. Retrieved from </w:t>
      </w:r>
      <w:r>
        <w:fldChar w:fldCharType="begin"/>
      </w:r>
      <w:r>
        <w:instrText xml:space="preserve"> HYPERLINK "https://www.brookings.edu/articles/setting-the-standard-of-liability-for-self-driving-cars/" \h </w:instrText>
      </w:r>
      <w:r>
        <w:fldChar w:fldCharType="separate"/>
      </w:r>
      <w:r>
        <w:rPr>
          <w:rFonts w:ascii="inter" w:hAnsi="inter" w:eastAsia="inter" w:cs="inter"/>
          <w:color w:val="000000"/>
          <w:u w:val="single"/>
        </w:rPr>
        <w:t>https://www.brookings.edu/articles/setting-the-standard-of-liability-for-self-driving-cars/</w:t>
      </w:r>
      <w:r>
        <w:rPr>
          <w:rFonts w:ascii="inter" w:hAnsi="inter" w:eastAsia="inter" w:cs="inter"/>
          <w:color w:val="000000"/>
          <w:u w:val="single"/>
        </w:rPr>
        <w:fldChar w:fldCharType="end"/>
      </w:r>
      <w:bookmarkStart w:id="171" w:name="fnref29_1"/>
      <w:bookmarkEnd w:id="171"/>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p>
    <w:p w14:paraId="4AC45487">
      <w:pPr>
        <w:spacing w:after="210" w:line="360" w:lineRule="auto"/>
      </w:pPr>
      <w:r>
        <w:rPr>
          <w:rFonts w:ascii="inter" w:hAnsi="inter" w:eastAsia="inter" w:cs="inter"/>
          <w:color w:val="000000"/>
        </w:rPr>
        <w:t xml:space="preserve">NHTSA (2022). NCAP-ADAS-RFC-03-03-2022-web.pdf. Retrieved from </w:t>
      </w:r>
      <w:r>
        <w:fldChar w:fldCharType="begin"/>
      </w:r>
      <w:r>
        <w:instrText xml:space="preserve"> HYPERLINK "https://www.nhtsa.gov/sites/nhtsa.gov/files/2022-03/NCAP-ADAS-RFC-03-03-2022-web.pdf" \h </w:instrText>
      </w:r>
      <w:r>
        <w:fldChar w:fldCharType="separate"/>
      </w:r>
      <w:r>
        <w:rPr>
          <w:rFonts w:ascii="inter" w:hAnsi="inter" w:eastAsia="inter" w:cs="inter"/>
          <w:color w:val="000000"/>
          <w:u w:val="single"/>
        </w:rPr>
        <w:t>https://www.nhtsa.gov/sites/nhtsa.gov/files/2022-03/NCAP-ADAS-RFC-03-03-2022-web.pdf</w:t>
      </w:r>
      <w:r>
        <w:rPr>
          <w:rFonts w:ascii="inter" w:hAnsi="inter" w:eastAsia="inter" w:cs="inter"/>
          <w:color w:val="000000"/>
          <w:u w:val="single"/>
        </w:rPr>
        <w:fldChar w:fldCharType="end"/>
      </w:r>
      <w:bookmarkStart w:id="172" w:name="fnref18_2"/>
      <w:bookmarkEnd w:id="172"/>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59159024">
      <w:pPr>
        <w:spacing w:after="210" w:line="360" w:lineRule="auto"/>
      </w:pPr>
      <w:r>
        <w:rPr>
          <w:rFonts w:ascii="inter" w:hAnsi="inter" w:eastAsia="inter" w:cs="inter"/>
          <w:color w:val="000000"/>
        </w:rPr>
        <w:t xml:space="preserve">SHB Law (2020). Evolving Product Liability in Highly Automated Vehicles. Retrieved from </w:t>
      </w:r>
      <w:r>
        <w:fldChar w:fldCharType="begin"/>
      </w:r>
      <w:r>
        <w:instrText xml:space="preserve"> HYPERLINK "https://www.shb.com/-/media/files/professionals/l/lawhgrant/cdjul20-reprintshookglaw.pdf" \h </w:instrText>
      </w:r>
      <w:r>
        <w:fldChar w:fldCharType="separate"/>
      </w:r>
      <w:r>
        <w:rPr>
          <w:rFonts w:ascii="inter" w:hAnsi="inter" w:eastAsia="inter" w:cs="inter"/>
          <w:color w:val="000000"/>
          <w:u w:val="single"/>
        </w:rPr>
        <w:t>https://www.shb.com/-/media/files/professionals/l/lawhgrant/cdjul20-reprintshookglaw.pdf</w:t>
      </w:r>
      <w:r>
        <w:rPr>
          <w:rFonts w:ascii="inter" w:hAnsi="inter" w:eastAsia="inter" w:cs="inter"/>
          <w:color w:val="000000"/>
          <w:u w:val="single"/>
        </w:rPr>
        <w:fldChar w:fldCharType="end"/>
      </w:r>
      <w:bookmarkStart w:id="173" w:name="fnref19_3"/>
      <w:bookmarkEnd w:id="173"/>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6656C767">
      <w:pPr>
        <w:spacing w:after="210" w:line="360" w:lineRule="auto"/>
      </w:pPr>
      <w:r>
        <w:rPr>
          <w:rFonts w:ascii="inter" w:hAnsi="inter" w:eastAsia="inter" w:cs="inter"/>
          <w:color w:val="000000"/>
        </w:rPr>
        <w:t xml:space="preserve">Drew Napier (2020). Autonomous Vehicles in Singapore – Laws and Liability. Retrieved from </w:t>
      </w:r>
      <w:r>
        <w:fldChar w:fldCharType="begin"/>
      </w:r>
      <w:r>
        <w:instrText xml:space="preserve"> HYPERLINK "https://www.drewnapier.com/DrewNapier/media/DrewNapier/Autonomous-vehicles-in-Singapore-laws-and-liability.pdf" \h </w:instrText>
      </w:r>
      <w:r>
        <w:fldChar w:fldCharType="separate"/>
      </w:r>
      <w:r>
        <w:rPr>
          <w:rFonts w:ascii="inter" w:hAnsi="inter" w:eastAsia="inter" w:cs="inter"/>
          <w:color w:val="000000"/>
          <w:u w:val="single"/>
        </w:rPr>
        <w:t>https://www.drewnapier.com/DrewNapier/media/DrewNapier/Autonomous-vehicles-in-Singapore-laws-and-liability.pdf</w:t>
      </w:r>
      <w:r>
        <w:rPr>
          <w:rFonts w:ascii="inter" w:hAnsi="inter" w:eastAsia="inter" w:cs="inter"/>
          <w:color w:val="000000"/>
          <w:u w:val="single"/>
        </w:rPr>
        <w:fldChar w:fldCharType="end"/>
      </w:r>
      <w:bookmarkStart w:id="174" w:name="fnref40_1"/>
      <w:bookmarkEnd w:id="174"/>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p>
    <w:p w14:paraId="0EC0EC52">
      <w:pPr>
        <w:spacing w:after="210" w:line="360" w:lineRule="auto"/>
      </w:pPr>
      <w:r>
        <w:rPr>
          <w:rFonts w:ascii="inter" w:hAnsi="inter" w:eastAsia="inter" w:cs="inter"/>
          <w:color w:val="000000"/>
        </w:rPr>
        <w:t xml:space="preserve">Reddit (2025). Tesla Must Pay $329 Million in Damages After Fatal Autopilot Crash. Retrieved from </w:t>
      </w:r>
      <w:r>
        <w:fldChar w:fldCharType="begin"/>
      </w:r>
      <w:r>
        <w:instrText xml:space="preserve"> HYPERLINK "https://www.reddit.com/r/SelfDrivingCars/comments/1mf4et4/tesla-must-pay-329-million-in-damages-after-fatal/" \h </w:instrText>
      </w:r>
      <w:r>
        <w:fldChar w:fldCharType="separate"/>
      </w:r>
      <w:r>
        <w:rPr>
          <w:rFonts w:ascii="inter" w:hAnsi="inter" w:eastAsia="inter" w:cs="inter"/>
          <w:color w:val="000000"/>
          <w:u w:val="single"/>
        </w:rPr>
        <w:t>https://www.reddit.com/r/SelfDrivingCars/comments/1mf4et4/tesla-must-pay-329-million-in-damages-after-fatal/</w:t>
      </w:r>
      <w:r>
        <w:rPr>
          <w:rFonts w:ascii="inter" w:hAnsi="inter" w:eastAsia="inter" w:cs="inter"/>
          <w:color w:val="000000"/>
          <w:u w:val="single"/>
        </w:rPr>
        <w:fldChar w:fldCharType="end"/>
      </w:r>
      <w:bookmarkStart w:id="175" w:name="fnref6_6"/>
      <w:bookmarkEnd w:id="17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D4F03E2">
      <w:pPr>
        <w:spacing w:after="210" w:line="360" w:lineRule="auto"/>
      </w:pPr>
      <w:r>
        <w:rPr>
          <w:rFonts w:ascii="inter" w:hAnsi="inter" w:eastAsia="inter" w:cs="inter"/>
          <w:color w:val="000000"/>
        </w:rPr>
        <w:t xml:space="preserve">Anzalone Law (2025). Jury Finds Tesla Autopilot Defective in Landmark $329 Million Verdict. Retrieved from </w:t>
      </w:r>
      <w:r>
        <w:fldChar w:fldCharType="begin"/>
      </w:r>
      <w:r>
        <w:instrText xml:space="preserve"> HYPERLINK "https://www.anzalonelaw.com/jury-finds-tesla-autopilot-defective-in-landmark-329-million-verdict-what-it-means-for-future-cases/" \h </w:instrText>
      </w:r>
      <w:r>
        <w:fldChar w:fldCharType="separate"/>
      </w:r>
      <w:r>
        <w:rPr>
          <w:rFonts w:ascii="inter" w:hAnsi="inter" w:eastAsia="inter" w:cs="inter"/>
          <w:color w:val="000000"/>
          <w:u w:val="single"/>
        </w:rPr>
        <w:t>https://www.anzalonelaw.com/jury-finds-tesla-autopilot-defective-in-landmark-329-million-verdict-what-it-means-for-future-cases/</w:t>
      </w:r>
      <w:r>
        <w:rPr>
          <w:rFonts w:ascii="inter" w:hAnsi="inter" w:eastAsia="inter" w:cs="inter"/>
          <w:color w:val="000000"/>
          <w:u w:val="single"/>
        </w:rPr>
        <w:fldChar w:fldCharType="end"/>
      </w:r>
      <w:bookmarkStart w:id="176" w:name="fnref13_17"/>
      <w:bookmarkEnd w:id="176"/>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2E73F8D2">
      <w:pPr>
        <w:spacing w:after="210" w:line="360" w:lineRule="auto"/>
      </w:pPr>
      <w:r>
        <w:rPr>
          <w:rFonts w:ascii="inter" w:hAnsi="inter" w:eastAsia="inter" w:cs="inter"/>
          <w:color w:val="000000"/>
        </w:rPr>
        <w:t xml:space="preserve">CNBC (2025). Tesla Held Partially Liable for 2019 Fatal Autopilot Crash. Retrieved from </w:t>
      </w:r>
      <w:r>
        <w:fldChar w:fldCharType="begin"/>
      </w:r>
      <w:r>
        <w:instrText xml:space="preserve"> HYPERLINK "https://www.cnbc.com/2025/08/01/tesla-must-pay-329-million-in-damages-in-fatal-autopilot-case.html" \h </w:instrText>
      </w:r>
      <w:r>
        <w:fldChar w:fldCharType="separate"/>
      </w:r>
      <w:r>
        <w:rPr>
          <w:rFonts w:ascii="inter" w:hAnsi="inter" w:eastAsia="inter" w:cs="inter"/>
          <w:color w:val="000000"/>
          <w:u w:val="single"/>
        </w:rPr>
        <w:t>https://www.cnbc.com/2025/08/01/tesla-must-pay-329-million-in-damages-in-fatal-autopilot-case.html</w:t>
      </w:r>
      <w:r>
        <w:rPr>
          <w:rFonts w:ascii="inter" w:hAnsi="inter" w:eastAsia="inter" w:cs="inter"/>
          <w:color w:val="000000"/>
          <w:u w:val="single"/>
        </w:rPr>
        <w:fldChar w:fldCharType="end"/>
      </w:r>
      <w:bookmarkStart w:id="177" w:name="fnref14_9"/>
      <w:bookmarkEnd w:id="177"/>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7B09949F">
      <w:pPr>
        <w:spacing w:after="210" w:line="360" w:lineRule="auto"/>
      </w:pPr>
      <w:r>
        <w:rPr>
          <w:rFonts w:ascii="inter" w:hAnsi="inter" w:eastAsia="inter" w:cs="inter"/>
          <w:color w:val="000000"/>
        </w:rPr>
        <w:t xml:space="preserve">IADC Law (2024). Overview Advanced Driver Assistance Systems. Retrieved from </w:t>
      </w:r>
      <w:r>
        <w:fldChar w:fldCharType="begin"/>
      </w:r>
      <w:r>
        <w:instrText xml:space="preserve"> HYPERLINK "https://www.iadclaw.org/assets/1/6/8.1_-_Driver_Assistance_Safety_Technology.pdf" \h </w:instrText>
      </w:r>
      <w:r>
        <w:fldChar w:fldCharType="separate"/>
      </w:r>
      <w:r>
        <w:rPr>
          <w:rFonts w:ascii="inter" w:hAnsi="inter" w:eastAsia="inter" w:cs="inter"/>
          <w:color w:val="000000"/>
          <w:u w:val="single"/>
        </w:rPr>
        <w:t>https://www.iadclaw.org/assets/1/6/8.1_-_Driver_Assistance_Safety_Technology.pdf</w:t>
      </w:r>
      <w:r>
        <w:rPr>
          <w:rFonts w:ascii="inter" w:hAnsi="inter" w:eastAsia="inter" w:cs="inter"/>
          <w:color w:val="000000"/>
          <w:u w:val="single"/>
        </w:rPr>
        <w:fldChar w:fldCharType="end"/>
      </w:r>
      <w:bookmarkStart w:id="178" w:name="fnref26_1"/>
      <w:bookmarkEnd w:id="178"/>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549BC136">
      <w:pPr>
        <w:spacing w:after="210" w:line="360" w:lineRule="auto"/>
      </w:pPr>
      <w:r>
        <w:rPr>
          <w:rFonts w:ascii="inter" w:hAnsi="inter" w:eastAsia="inter" w:cs="inter"/>
          <w:color w:val="000000"/>
        </w:rPr>
        <w:t xml:space="preserve">Lowe Trial Lawyers (2025). Tesla Wrongful Death Settlement. Retrieved from </w:t>
      </w:r>
      <w:r>
        <w:fldChar w:fldCharType="begin"/>
      </w:r>
      <w:r>
        <w:instrText xml:space="preserve"> HYPERLINK "https://lowetriallawyers.com/landmark-tesla-wrongful-death-settlement-things-to-know/" \h </w:instrText>
      </w:r>
      <w:r>
        <w:fldChar w:fldCharType="separate"/>
      </w:r>
      <w:r>
        <w:rPr>
          <w:rFonts w:ascii="inter" w:hAnsi="inter" w:eastAsia="inter" w:cs="inter"/>
          <w:color w:val="000000"/>
          <w:u w:val="single"/>
        </w:rPr>
        <w:t>https://lowetriallawyers.com/landmark-tesla-wrongful-death-settlement-things-to-know/</w:t>
      </w:r>
      <w:r>
        <w:rPr>
          <w:rFonts w:ascii="inter" w:hAnsi="inter" w:eastAsia="inter" w:cs="inter"/>
          <w:color w:val="000000"/>
          <w:u w:val="single"/>
        </w:rPr>
        <w:fldChar w:fldCharType="end"/>
      </w:r>
      <w:bookmarkStart w:id="179" w:name="fnref27_1"/>
      <w:bookmarkEnd w:id="179"/>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4BA240F1">
      <w:pPr>
        <w:spacing w:after="210" w:line="360" w:lineRule="auto"/>
      </w:pPr>
      <w:r>
        <w:rPr>
          <w:rFonts w:ascii="inter" w:hAnsi="inter" w:eastAsia="inter" w:cs="inter"/>
          <w:color w:val="000000"/>
        </w:rPr>
        <w:t xml:space="preserve">WSHB Law (2025). Benavides v. Tesla: Defense-Side Perspective. Retrieved from </w:t>
      </w:r>
      <w:r>
        <w:fldChar w:fldCharType="begin"/>
      </w:r>
      <w:r>
        <w:instrText xml:space="preserve"> HYPERLINK "https://www.wshblaw.com/publication-benavides-v-tesla-a-defense-side-perspective-on-floridas-landmark-autopilot-verdict" \h </w:instrText>
      </w:r>
      <w:r>
        <w:fldChar w:fldCharType="separate"/>
      </w:r>
      <w:r>
        <w:rPr>
          <w:rFonts w:ascii="inter" w:hAnsi="inter" w:eastAsia="inter" w:cs="inter"/>
          <w:color w:val="000000"/>
          <w:u w:val="single"/>
        </w:rPr>
        <w:t>https://www.wshblaw.com/publication-benavides-v-tesla-a-defense-side-perspective-on-floridas-landmark-autopilot-verdict</w:t>
      </w:r>
      <w:r>
        <w:rPr>
          <w:rFonts w:ascii="inter" w:hAnsi="inter" w:eastAsia="inter" w:cs="inter"/>
          <w:color w:val="000000"/>
          <w:u w:val="single"/>
        </w:rPr>
        <w:fldChar w:fldCharType="end"/>
      </w:r>
      <w:bookmarkStart w:id="180" w:name="fnref51"/>
      <w:bookmarkEnd w:id="180"/>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p>
    <w:p w14:paraId="549A733F">
      <w:pPr>
        <w:spacing w:after="210" w:line="360" w:lineRule="auto"/>
      </w:pPr>
      <w:r>
        <w:rPr>
          <w:rFonts w:ascii="inter" w:hAnsi="inter" w:eastAsia="inter" w:cs="inter"/>
          <w:color w:val="000000"/>
        </w:rPr>
        <w:t xml:space="preserve">NIH (2023). Driver Behavior While Using Level 2 Vehicle Automation. Retrieved from </w:t>
      </w:r>
      <w:r>
        <w:fldChar w:fldCharType="begin"/>
      </w:r>
      <w:r>
        <w:instrText xml:space="preserve"> HYPERLINK "https://pmc.ncbi.nlm.nih.gov/articles/PMC10733274/" \h </w:instrText>
      </w:r>
      <w:r>
        <w:fldChar w:fldCharType="separate"/>
      </w:r>
      <w:r>
        <w:rPr>
          <w:rFonts w:ascii="inter" w:hAnsi="inter" w:eastAsia="inter" w:cs="inter"/>
          <w:color w:val="000000"/>
          <w:u w:val="single"/>
        </w:rPr>
        <w:t>https://pmc.ncbi.nlm.nih.gov/articles/PMC10733274/</w:t>
      </w:r>
      <w:r>
        <w:rPr>
          <w:rFonts w:ascii="inter" w:hAnsi="inter" w:eastAsia="inter" w:cs="inter"/>
          <w:color w:val="000000"/>
          <w:u w:val="single"/>
        </w:rPr>
        <w:fldChar w:fldCharType="end"/>
      </w:r>
      <w:bookmarkStart w:id="181" w:name="fnref9_4"/>
      <w:bookmarkEnd w:id="181"/>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095B9078">
      <w:pPr>
        <w:spacing w:after="210" w:line="360" w:lineRule="auto"/>
      </w:pPr>
      <w:r>
        <w:rPr>
          <w:rFonts w:ascii="inter" w:hAnsi="inter" w:eastAsia="inter" w:cs="inter"/>
          <w:color w:val="000000"/>
        </w:rPr>
        <w:t xml:space="preserve">AAA Foundation (2023). Measuring and Predicting Drivers' Takeover Readiness. Retrieved from </w:t>
      </w:r>
      <w:r>
        <w:fldChar w:fldCharType="begin"/>
      </w:r>
      <w:r>
        <w:instrText xml:space="preserve"> HYPERLINK "https://aaafoundation.org/wp-content/uploads/2023/09/202309-AAAFTS-Predicting-Readiness-and-Supporting-Takeover-Transitions.pdf" \h </w:instrText>
      </w:r>
      <w:r>
        <w:fldChar w:fldCharType="separate"/>
      </w:r>
      <w:r>
        <w:rPr>
          <w:rFonts w:ascii="inter" w:hAnsi="inter" w:eastAsia="inter" w:cs="inter"/>
          <w:color w:val="000000"/>
          <w:u w:val="single"/>
        </w:rPr>
        <w:t>https://aaafoundation.org/wp-content/uploads/2023/09/202309-AAAFTS-Predicting-Readiness-and-Supporting-Takeover-Transitions.pdf</w:t>
      </w:r>
      <w:r>
        <w:rPr>
          <w:rFonts w:ascii="inter" w:hAnsi="inter" w:eastAsia="inter" w:cs="inter"/>
          <w:color w:val="000000"/>
          <w:u w:val="single"/>
        </w:rPr>
        <w:fldChar w:fldCharType="end"/>
      </w:r>
      <w:bookmarkStart w:id="182" w:name="fnref10_3"/>
      <w:bookmarkEnd w:id="18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07718E59">
      <w:pPr>
        <w:spacing w:after="210" w:line="360" w:lineRule="auto"/>
      </w:pPr>
      <w:r>
        <w:rPr>
          <w:rFonts w:ascii="inter" w:hAnsi="inter" w:eastAsia="inter" w:cs="inter"/>
          <w:color w:val="000000"/>
        </w:rPr>
        <w:t xml:space="preserve">Uni Obuda (2016). Handover Process of Autonomous Vehicles. Retrieved from </w:t>
      </w:r>
      <w:r>
        <w:fldChar w:fldCharType="begin"/>
      </w:r>
      <w:r>
        <w:instrText xml:space="preserve"> HYPERLINK "https://acta.uni-obuda.hu/Drexler_Takacs_Nagy_Haidegger_96.pdf" \h </w:instrText>
      </w:r>
      <w:r>
        <w:fldChar w:fldCharType="separate"/>
      </w:r>
      <w:r>
        <w:rPr>
          <w:rFonts w:ascii="inter" w:hAnsi="inter" w:eastAsia="inter" w:cs="inter"/>
          <w:color w:val="000000"/>
          <w:u w:val="single"/>
        </w:rPr>
        <w:t>https://acta.uni-obuda.hu/Drexler_Takacs_Nagy_Haidegger_96.pdf</w:t>
      </w:r>
      <w:r>
        <w:rPr>
          <w:rFonts w:ascii="inter" w:hAnsi="inter" w:eastAsia="inter" w:cs="inter"/>
          <w:color w:val="000000"/>
          <w:u w:val="single"/>
        </w:rPr>
        <w:fldChar w:fldCharType="end"/>
      </w:r>
      <w:bookmarkStart w:id="183" w:name="fnref11_3"/>
      <w:bookmarkEnd w:id="183"/>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3FBB69FB">
      <w:pPr>
        <w:spacing w:after="210" w:line="360" w:lineRule="auto"/>
      </w:pPr>
      <w:r>
        <w:rPr>
          <w:rFonts w:ascii="inter" w:hAnsi="inter" w:eastAsia="inter" w:cs="inter"/>
          <w:color w:val="000000"/>
        </w:rPr>
        <w:t xml:space="preserve">UNECE. Driver Attentiveness to the Driving Task During ADAS Use. Retrieved from </w:t>
      </w:r>
      <w:r>
        <w:fldChar w:fldCharType="begin"/>
      </w:r>
      <w:r>
        <w:instrText xml:space="preserve"> HYPERLINK "https://wiki.unece.org/download/attachments/208536527/ADAS%2022b-04%20(ETSC)%20ADAS%20user%20attentiveness%20report%20final.pdf" \h </w:instrText>
      </w:r>
      <w:r>
        <w:fldChar w:fldCharType="separate"/>
      </w:r>
      <w:r>
        <w:rPr>
          <w:rFonts w:ascii="inter" w:hAnsi="inter" w:eastAsia="inter" w:cs="inter"/>
          <w:color w:val="000000"/>
          <w:u w:val="single"/>
        </w:rPr>
        <w:t>https://wiki.unece.org/download/attachments/208536527/ADAS 22b-04 (ETSC) ADAS user attentiveness report final.pdf</w:t>
      </w:r>
      <w:r>
        <w:rPr>
          <w:rFonts w:ascii="inter" w:hAnsi="inter" w:eastAsia="inter" w:cs="inter"/>
          <w:color w:val="000000"/>
          <w:u w:val="single"/>
        </w:rPr>
        <w:fldChar w:fldCharType="end"/>
      </w:r>
      <w:bookmarkStart w:id="184" w:name="fnref30_2"/>
      <w:bookmarkEnd w:id="184"/>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766B8D6F">
      <w:pPr>
        <w:spacing w:after="210" w:line="360" w:lineRule="auto"/>
      </w:pPr>
      <w:r>
        <w:rPr>
          <w:rFonts w:ascii="inter" w:hAnsi="inter" w:eastAsia="inter" w:cs="inter"/>
          <w:color w:val="000000"/>
        </w:rPr>
        <w:t xml:space="preserve">Chalmers (2017). Analysis of Drivers' Reaction to Automation Failures. Retrieved from </w:t>
      </w:r>
      <w:r>
        <w:fldChar w:fldCharType="begin"/>
      </w:r>
      <w:r>
        <w:instrText xml:space="preserve"> HYPERLINK "https://publications.lib.chalmers.se/records/fulltext/254961/254961.pdf" \h </w:instrText>
      </w:r>
      <w:r>
        <w:fldChar w:fldCharType="separate"/>
      </w:r>
      <w:r>
        <w:rPr>
          <w:rFonts w:ascii="inter" w:hAnsi="inter" w:eastAsia="inter" w:cs="inter"/>
          <w:color w:val="000000"/>
          <w:u w:val="single"/>
        </w:rPr>
        <w:t>https://publications.lib.chalmers.se/records/fulltext/254961/254961.pdf</w:t>
      </w:r>
      <w:r>
        <w:rPr>
          <w:rFonts w:ascii="inter" w:hAnsi="inter" w:eastAsia="inter" w:cs="inter"/>
          <w:color w:val="000000"/>
          <w:u w:val="single"/>
        </w:rPr>
        <w:fldChar w:fldCharType="end"/>
      </w:r>
      <w:bookmarkStart w:id="185" w:name="fnref52"/>
      <w:bookmarkEnd w:id="185"/>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p>
    <w:p w14:paraId="63066872">
      <w:pPr>
        <w:spacing w:after="210" w:line="360" w:lineRule="auto"/>
      </w:pPr>
      <w:r>
        <w:rPr>
          <w:rFonts w:ascii="inter" w:hAnsi="inter" w:eastAsia="inter" w:cs="inter"/>
          <w:color w:val="000000"/>
        </w:rPr>
        <w:t xml:space="preserve">UNECE. ADAS 34-02 Master Document. Retrieved from </w:t>
      </w:r>
      <w:r>
        <w:fldChar w:fldCharType="begin"/>
      </w:r>
      <w:r>
        <w:instrText xml:space="preserve"> HYPERLINK "https://wiki.unece.org/download/attachments/255656457/ADAS%2034-02%20(Secretary)%20Master%20document" \h </w:instrText>
      </w:r>
      <w:r>
        <w:fldChar w:fldCharType="separate"/>
      </w:r>
      <w:r>
        <w:rPr>
          <w:rFonts w:ascii="inter" w:hAnsi="inter" w:eastAsia="inter" w:cs="inter"/>
          <w:color w:val="000000"/>
          <w:u w:val="single"/>
        </w:rPr>
        <w:t>https://wiki.unece.org/download/attachments/255656457/ADAS 34-02 (Secretary) Master document</w:t>
      </w:r>
      <w:r>
        <w:rPr>
          <w:rFonts w:ascii="inter" w:hAnsi="inter" w:eastAsia="inter" w:cs="inter"/>
          <w:color w:val="000000"/>
          <w:u w:val="single"/>
        </w:rPr>
        <w:fldChar w:fldCharType="end"/>
      </w:r>
      <w:bookmarkStart w:id="186" w:name="fnref53"/>
      <w:bookmarkEnd w:id="186"/>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p>
    <w:p w14:paraId="7F957EB8">
      <w:pPr>
        <w:spacing w:after="210" w:line="360" w:lineRule="auto"/>
      </w:pPr>
      <w:r>
        <w:rPr>
          <w:rFonts w:ascii="inter" w:hAnsi="inter" w:eastAsia="inter" w:cs="inter"/>
          <w:color w:val="000000"/>
        </w:rPr>
        <w:t xml:space="preserve">University of Twente (2023). Handover from AI to Humans in L3 Automated Vehicles. Retrieved from </w:t>
      </w:r>
      <w:r>
        <w:fldChar w:fldCharType="begin"/>
      </w:r>
      <w:r>
        <w:instrText xml:space="preserve"> HYPERLINK "http://essay.utwente.nl/96233/1/DOGAN_MA_BMS.pdf" \h </w:instrText>
      </w:r>
      <w:r>
        <w:fldChar w:fldCharType="separate"/>
      </w:r>
      <w:r>
        <w:rPr>
          <w:rFonts w:ascii="inter" w:hAnsi="inter" w:eastAsia="inter" w:cs="inter"/>
          <w:color w:val="000000"/>
          <w:u w:val="single"/>
        </w:rPr>
        <w:t>http://essay.utwente.nl/96233/1/DOGAN_MA_BMS.pdf</w:t>
      </w:r>
      <w:r>
        <w:rPr>
          <w:rFonts w:ascii="inter" w:hAnsi="inter" w:eastAsia="inter" w:cs="inter"/>
          <w:color w:val="000000"/>
          <w:u w:val="single"/>
        </w:rPr>
        <w:fldChar w:fldCharType="end"/>
      </w:r>
      <w:bookmarkStart w:id="187" w:name="fnref31_2"/>
      <w:bookmarkEnd w:id="187"/>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164C2256">
      <w:pPr>
        <w:spacing w:after="210" w:line="360" w:lineRule="auto"/>
      </w:pPr>
      <w:r>
        <w:rPr>
          <w:rFonts w:ascii="inter" w:hAnsi="inter" w:eastAsia="inter" w:cs="inter"/>
          <w:color w:val="000000"/>
        </w:rPr>
        <w:t xml:space="preserve">Taylor &amp; Francis (2019). How to Keep Drivers Engaged While Supervising Driving Automation. Retrieved from </w:t>
      </w:r>
      <w:r>
        <w:fldChar w:fldCharType="begin"/>
      </w:r>
      <w:r>
        <w:instrText xml:space="preserve"> HYPERLINK "https://www.tandfonline.com/doi/full/10.1080/1463922X.2018.1528484" \h </w:instrText>
      </w:r>
      <w:r>
        <w:fldChar w:fldCharType="separate"/>
      </w:r>
      <w:r>
        <w:rPr>
          <w:rFonts w:ascii="inter" w:hAnsi="inter" w:eastAsia="inter" w:cs="inter"/>
          <w:color w:val="000000"/>
          <w:u w:val="single"/>
        </w:rPr>
        <w:t>https://www.tandfonline.com/doi/full/10.1080/1463922X.2018.1528484</w:t>
      </w:r>
      <w:r>
        <w:rPr>
          <w:rFonts w:ascii="inter" w:hAnsi="inter" w:eastAsia="inter" w:cs="inter"/>
          <w:color w:val="000000"/>
          <w:u w:val="single"/>
        </w:rPr>
        <w:fldChar w:fldCharType="end"/>
      </w:r>
      <w:bookmarkStart w:id="188" w:name="fnref54"/>
      <w:bookmarkEnd w:id="188"/>
      <w:r>
        <w:fldChar w:fldCharType="begin"/>
      </w:r>
      <w:r>
        <w:instrText xml:space="preserve"> HYPERLINK \l "fn54" \h </w:instrText>
      </w:r>
      <w:r>
        <w:fldChar w:fldCharType="separate"/>
      </w:r>
      <w:r>
        <w:rPr>
          <w:rFonts w:ascii="inter" w:hAnsi="inter" w:eastAsia="inter" w:cs="inter"/>
          <w:color w:val="000000"/>
          <w:u w:val="single"/>
          <w:vertAlign w:val="superscript"/>
        </w:rPr>
        <w:t>[54]</w:t>
      </w:r>
      <w:r>
        <w:rPr>
          <w:rFonts w:ascii="inter" w:hAnsi="inter" w:eastAsia="inter" w:cs="inter"/>
          <w:color w:val="000000"/>
          <w:u w:val="single"/>
          <w:vertAlign w:val="superscript"/>
        </w:rPr>
        <w:fldChar w:fldCharType="end"/>
      </w:r>
    </w:p>
    <w:p w14:paraId="3915E2E1">
      <w:pPr>
        <w:spacing w:after="210" w:line="360" w:lineRule="auto"/>
      </w:pPr>
      <w:r>
        <w:rPr>
          <w:rFonts w:ascii="inter" w:hAnsi="inter" w:eastAsia="inter" w:cs="inter"/>
          <w:color w:val="000000"/>
        </w:rPr>
        <w:t xml:space="preserve">Auto2xtech (2024). Level 3 Autonomous Driving: New UNECE Regulation R157. Retrieved from </w:t>
      </w:r>
      <w:r>
        <w:fldChar w:fldCharType="begin"/>
      </w:r>
      <w:r>
        <w:instrText xml:space="preserve"> HYPERLINK "https://auto2xtech.com/regulation-level-3-autonomous-driving-2021/" \h </w:instrText>
      </w:r>
      <w:r>
        <w:fldChar w:fldCharType="separate"/>
      </w:r>
      <w:r>
        <w:rPr>
          <w:rFonts w:ascii="inter" w:hAnsi="inter" w:eastAsia="inter" w:cs="inter"/>
          <w:color w:val="000000"/>
          <w:u w:val="single"/>
        </w:rPr>
        <w:t>https://auto2xtech.com/regulation-level-3-autonomous-driving-2021/</w:t>
      </w:r>
      <w:r>
        <w:rPr>
          <w:rFonts w:ascii="inter" w:hAnsi="inter" w:eastAsia="inter" w:cs="inter"/>
          <w:color w:val="000000"/>
          <w:u w:val="single"/>
        </w:rPr>
        <w:fldChar w:fldCharType="end"/>
      </w:r>
      <w:bookmarkStart w:id="189" w:name="fnref22_3"/>
      <w:bookmarkEnd w:id="18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670952DB">
      <w:pPr>
        <w:spacing w:after="210" w:line="360" w:lineRule="auto"/>
      </w:pPr>
      <w:r>
        <w:rPr>
          <w:rFonts w:ascii="inter" w:hAnsi="inter" w:eastAsia="inter" w:cs="inter"/>
          <w:color w:val="000000"/>
        </w:rPr>
        <w:t xml:space="preserve">Reed Smith (2025). The New EU Product Liability Directive. Retrieved from </w:t>
      </w:r>
      <w:r>
        <w:fldChar w:fldCharType="begin"/>
      </w:r>
      <w:r>
        <w:instrText xml:space="preserve"> HYPERLINK "https://www.reedsmith.com/articles/the-new-eu-product-liability-key-implications-autonomous-vehicle/" \h </w:instrText>
      </w:r>
      <w:r>
        <w:fldChar w:fldCharType="separate"/>
      </w:r>
      <w:r>
        <w:rPr>
          <w:rFonts w:ascii="inter" w:hAnsi="inter" w:eastAsia="inter" w:cs="inter"/>
          <w:color w:val="000000"/>
          <w:u w:val="single"/>
        </w:rPr>
        <w:t>https://www.reedsmith.com/articles/the-new-eu-product-liability-key-implications-autonomous-vehicle/</w:t>
      </w:r>
      <w:r>
        <w:rPr>
          <w:rFonts w:ascii="inter" w:hAnsi="inter" w:eastAsia="inter" w:cs="inter"/>
          <w:color w:val="000000"/>
          <w:u w:val="single"/>
        </w:rPr>
        <w:fldChar w:fldCharType="end"/>
      </w:r>
      <w:bookmarkStart w:id="190" w:name="fnref25_6"/>
      <w:bookmarkEnd w:id="190"/>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0B6EA73C">
      <w:pPr>
        <w:spacing w:after="210" w:line="360" w:lineRule="auto"/>
      </w:pPr>
      <w:r>
        <w:rPr>
          <w:rFonts w:ascii="inter" w:hAnsi="inter" w:eastAsia="inter" w:cs="inter"/>
          <w:color w:val="000000"/>
        </w:rPr>
        <w:t xml:space="preserve">UNECE (2023). UN Regulation Extends Automated Driving. Retrieved from </w:t>
      </w:r>
      <w:r>
        <w:fldChar w:fldCharType="begin"/>
      </w:r>
      <w:r>
        <w:instrText xml:space="preserve"> HYPERLINK "https://unece.org/media/press/368227" \h </w:instrText>
      </w:r>
      <w:r>
        <w:fldChar w:fldCharType="separate"/>
      </w:r>
      <w:r>
        <w:rPr>
          <w:rFonts w:ascii="inter" w:hAnsi="inter" w:eastAsia="inter" w:cs="inter"/>
          <w:color w:val="000000"/>
          <w:u w:val="single"/>
        </w:rPr>
        <w:t>https://unece.org/media/press/368227</w:t>
      </w:r>
      <w:r>
        <w:rPr>
          <w:rFonts w:ascii="inter" w:hAnsi="inter" w:eastAsia="inter" w:cs="inter"/>
          <w:color w:val="000000"/>
          <w:u w:val="single"/>
        </w:rPr>
        <w:fldChar w:fldCharType="end"/>
      </w:r>
      <w:bookmarkStart w:id="191" w:name="fnref23_3"/>
      <w:bookmarkEnd w:id="191"/>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40044131">
      <w:pPr>
        <w:spacing w:after="210" w:line="360" w:lineRule="auto"/>
      </w:pPr>
      <w:r>
        <w:rPr>
          <w:rFonts w:ascii="inter" w:hAnsi="inter" w:eastAsia="inter" w:cs="inter"/>
          <w:color w:val="000000"/>
        </w:rPr>
        <w:t xml:space="preserve">CMS Law (2023). Automated Systems in Vehicles and Drivers' Liability. Retrieved from </w:t>
      </w:r>
      <w:r>
        <w:fldChar w:fldCharType="begin"/>
      </w:r>
      <w:r>
        <w:instrText xml:space="preserve"> HYPERLINK "https://cms.law/en/swe/news/automated-systems-in-vehicles-and-drivers-liability" \h </w:instrText>
      </w:r>
      <w:r>
        <w:fldChar w:fldCharType="separate"/>
      </w:r>
      <w:r>
        <w:rPr>
          <w:rFonts w:ascii="inter" w:hAnsi="inter" w:eastAsia="inter" w:cs="inter"/>
          <w:color w:val="000000"/>
          <w:u w:val="single"/>
        </w:rPr>
        <w:t>https://cms.law/en/swe/news/automated-systems-in-vehicles-and-drivers-liability</w:t>
      </w:r>
      <w:r>
        <w:rPr>
          <w:rFonts w:ascii="inter" w:hAnsi="inter" w:eastAsia="inter" w:cs="inter"/>
          <w:color w:val="000000"/>
          <w:u w:val="single"/>
        </w:rPr>
        <w:fldChar w:fldCharType="end"/>
      </w:r>
      <w:bookmarkStart w:id="192" w:name="fnref15_3"/>
      <w:bookmarkEnd w:id="19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3CC95B31">
      <w:pPr>
        <w:spacing w:after="210" w:line="360" w:lineRule="auto"/>
      </w:pPr>
      <w:r>
        <w:rPr>
          <w:rFonts w:ascii="inter" w:hAnsi="inter" w:eastAsia="inter" w:cs="inter"/>
          <w:color w:val="000000"/>
        </w:rPr>
        <w:t xml:space="preserve">ADAS Find (2025). ADAS Regulations Are Evolving in 2025. Retrieved from </w:t>
      </w:r>
      <w:r>
        <w:fldChar w:fldCharType="begin"/>
      </w:r>
      <w:r>
        <w:instrText xml:space="preserve"> HYPERLINK "https://www.adasfind.com/post8" \h </w:instrText>
      </w:r>
      <w:r>
        <w:fldChar w:fldCharType="separate"/>
      </w:r>
      <w:r>
        <w:rPr>
          <w:rFonts w:ascii="inter" w:hAnsi="inter" w:eastAsia="inter" w:cs="inter"/>
          <w:color w:val="000000"/>
          <w:u w:val="single"/>
        </w:rPr>
        <w:t>https://www.adasfind.com/post8</w:t>
      </w:r>
      <w:r>
        <w:rPr>
          <w:rFonts w:ascii="inter" w:hAnsi="inter" w:eastAsia="inter" w:cs="inter"/>
          <w:color w:val="000000"/>
          <w:u w:val="single"/>
        </w:rPr>
        <w:fldChar w:fldCharType="end"/>
      </w:r>
      <w:bookmarkStart w:id="193" w:name="fnref44_1"/>
      <w:bookmarkEnd w:id="193"/>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p>
    <w:p w14:paraId="35139735">
      <w:pPr>
        <w:spacing w:after="210" w:line="360" w:lineRule="auto"/>
      </w:pPr>
      <w:r>
        <w:rPr>
          <w:rFonts w:ascii="inter" w:hAnsi="inter" w:eastAsia="inter" w:cs="inter"/>
          <w:color w:val="000000"/>
        </w:rPr>
        <w:t xml:space="preserve">UNECE (2023). R157e.pdf - Automated Lane Keeping Systems. Retrieved from </w:t>
      </w:r>
      <w:r>
        <w:fldChar w:fldCharType="begin"/>
      </w:r>
      <w:r>
        <w:instrText xml:space="preserve"> HYPERLINK "https://unece.org/sites/default/files/2023-12/R157e.pdf" \h </w:instrText>
      </w:r>
      <w:r>
        <w:fldChar w:fldCharType="separate"/>
      </w:r>
      <w:r>
        <w:rPr>
          <w:rFonts w:ascii="inter" w:hAnsi="inter" w:eastAsia="inter" w:cs="inter"/>
          <w:color w:val="000000"/>
          <w:u w:val="single"/>
        </w:rPr>
        <w:t>https://unece.org/sites/default/files/2023-12/R157e.pdf</w:t>
      </w:r>
      <w:r>
        <w:rPr>
          <w:rFonts w:ascii="inter" w:hAnsi="inter" w:eastAsia="inter" w:cs="inter"/>
          <w:color w:val="000000"/>
          <w:u w:val="single"/>
        </w:rPr>
        <w:fldChar w:fldCharType="end"/>
      </w:r>
      <w:bookmarkStart w:id="194" w:name="fnref24_2"/>
      <w:bookmarkEnd w:id="194"/>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5E467847">
      <w:pPr>
        <w:spacing w:after="210" w:line="360" w:lineRule="auto"/>
      </w:pPr>
      <w:r>
        <w:rPr>
          <w:rFonts w:ascii="inter" w:hAnsi="inter" w:eastAsia="inter" w:cs="inter"/>
          <w:color w:val="000000"/>
        </w:rPr>
        <w:t xml:space="preserve">Car News Canada (2025). ADAS Confusion: When Your Car Misreads the Road. Retrieved from </w:t>
      </w:r>
      <w:r>
        <w:fldChar w:fldCharType="begin"/>
      </w:r>
      <w:r>
        <w:instrText xml:space="preserve"> HYPERLINK "https://www.car-news.ca/adas-confusion-when-your-car-misreads-the-road/" \h </w:instrText>
      </w:r>
      <w:r>
        <w:fldChar w:fldCharType="separate"/>
      </w:r>
      <w:r>
        <w:rPr>
          <w:rFonts w:ascii="inter" w:hAnsi="inter" w:eastAsia="inter" w:cs="inter"/>
          <w:color w:val="000000"/>
          <w:u w:val="single"/>
        </w:rPr>
        <w:t>https://www.car-news.ca/adas-confusion-when-your-car-misreads-the-road/</w:t>
      </w:r>
      <w:r>
        <w:rPr>
          <w:rFonts w:ascii="inter" w:hAnsi="inter" w:eastAsia="inter" w:cs="inter"/>
          <w:color w:val="000000"/>
          <w:u w:val="single"/>
        </w:rPr>
        <w:fldChar w:fldCharType="end"/>
      </w:r>
      <w:bookmarkStart w:id="195" w:name="fnref3_7"/>
      <w:bookmarkEnd w:id="19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7C262133">
      <w:pPr>
        <w:spacing w:after="210" w:line="360" w:lineRule="auto"/>
      </w:pPr>
      <w:r>
        <w:rPr>
          <w:rFonts w:ascii="inter" w:hAnsi="inter" w:eastAsia="inter" w:cs="inter"/>
          <w:color w:val="000000"/>
        </w:rPr>
        <w:t xml:space="preserve">LWM Personal Injury Lawyers (2025). Impact of ADAS on Florida Accident Claims. Retrieved from </w:t>
      </w:r>
      <w:r>
        <w:fldChar w:fldCharType="begin"/>
      </w:r>
      <w:r>
        <w:instrText xml:space="preserve"> HYPERLINK "https://www.lwmpersonalinjurylawyers.com/blog/impact-of-advanced-driver-assistance-systems-adas-on-florida-accident-claims/" \h </w:instrText>
      </w:r>
      <w:r>
        <w:fldChar w:fldCharType="separate"/>
      </w:r>
      <w:r>
        <w:rPr>
          <w:rFonts w:ascii="inter" w:hAnsi="inter" w:eastAsia="inter" w:cs="inter"/>
          <w:color w:val="000000"/>
          <w:u w:val="single"/>
        </w:rPr>
        <w:t>https://www.lwmpersonalinjurylawyers.com/blog/impact-of-advanced-driver-assistance-systems-adas-on-florida-accident-claims/</w:t>
      </w:r>
      <w:r>
        <w:rPr>
          <w:rFonts w:ascii="inter" w:hAnsi="inter" w:eastAsia="inter" w:cs="inter"/>
          <w:color w:val="000000"/>
          <w:u w:val="single"/>
        </w:rPr>
        <w:fldChar w:fldCharType="end"/>
      </w:r>
      <w:bookmarkStart w:id="196" w:name="fnref55"/>
      <w:bookmarkEnd w:id="196"/>
      <w:r>
        <w:fldChar w:fldCharType="begin"/>
      </w:r>
      <w:r>
        <w:instrText xml:space="preserve"> HYPERLINK \l "fn55" \h </w:instrText>
      </w:r>
      <w:r>
        <w:fldChar w:fldCharType="separate"/>
      </w:r>
      <w:r>
        <w:rPr>
          <w:rFonts w:ascii="inter" w:hAnsi="inter" w:eastAsia="inter" w:cs="inter"/>
          <w:color w:val="000000"/>
          <w:u w:val="single"/>
          <w:vertAlign w:val="superscript"/>
        </w:rPr>
        <w:t>[55]</w:t>
      </w:r>
      <w:r>
        <w:rPr>
          <w:rFonts w:ascii="inter" w:hAnsi="inter" w:eastAsia="inter" w:cs="inter"/>
          <w:color w:val="000000"/>
          <w:u w:val="single"/>
          <w:vertAlign w:val="superscript"/>
        </w:rPr>
        <w:fldChar w:fldCharType="end"/>
      </w:r>
    </w:p>
    <w:p w14:paraId="29A17217">
      <w:pPr>
        <w:spacing w:after="210" w:line="360" w:lineRule="auto"/>
      </w:pPr>
      <w:r>
        <w:rPr>
          <w:rFonts w:ascii="inter" w:hAnsi="inter" w:eastAsia="inter" w:cs="inter"/>
          <w:color w:val="000000"/>
        </w:rPr>
        <w:t xml:space="preserve">Oxford Academic (2022). Mode Confusion of Human-Machine Interfaces for Automated Vehicles. Retrieved from </w:t>
      </w:r>
      <w:r>
        <w:fldChar w:fldCharType="begin"/>
      </w:r>
      <w:r>
        <w:instrText xml:space="preserve"> HYPERLINK "https://academic.oup.com/jcde/article/9/5/1995/6679564" \h </w:instrText>
      </w:r>
      <w:r>
        <w:fldChar w:fldCharType="separate"/>
      </w:r>
      <w:r>
        <w:rPr>
          <w:rFonts w:ascii="inter" w:hAnsi="inter" w:eastAsia="inter" w:cs="inter"/>
          <w:color w:val="000000"/>
          <w:u w:val="single"/>
        </w:rPr>
        <w:t>https://academic.oup.com/jcde/article/9/5/1995/6679564</w:t>
      </w:r>
      <w:r>
        <w:rPr>
          <w:rFonts w:ascii="inter" w:hAnsi="inter" w:eastAsia="inter" w:cs="inter"/>
          <w:color w:val="000000"/>
          <w:u w:val="single"/>
        </w:rPr>
        <w:fldChar w:fldCharType="end"/>
      </w:r>
      <w:bookmarkStart w:id="197" w:name="fnref7_3"/>
      <w:bookmarkEnd w:id="197"/>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2414CAC5">
      <w:pPr>
        <w:spacing w:after="210" w:line="360" w:lineRule="auto"/>
      </w:pPr>
      <w:r>
        <w:rPr>
          <w:rFonts w:ascii="inter" w:hAnsi="inter" w:eastAsia="inter" w:cs="inter"/>
          <w:color w:val="000000"/>
        </w:rPr>
        <w:t xml:space="preserve">Wevolver (2023). Next-Generation Vehicles Need Safe Human Machine Interfaces. Retrieved from </w:t>
      </w:r>
      <w:r>
        <w:fldChar w:fldCharType="begin"/>
      </w:r>
      <w:r>
        <w:instrText xml:space="preserve"> HYPERLINK "https://www.wevolver.com/article/next-generation-vehicles-need-safe-human-machine-interfaces" \h </w:instrText>
      </w:r>
      <w:r>
        <w:fldChar w:fldCharType="separate"/>
      </w:r>
      <w:r>
        <w:rPr>
          <w:rFonts w:ascii="inter" w:hAnsi="inter" w:eastAsia="inter" w:cs="inter"/>
          <w:color w:val="000000"/>
          <w:u w:val="single"/>
        </w:rPr>
        <w:t>https://www.wevolver.com/article/next-generation-vehicles-need-safe-human-machine-interfaces</w:t>
      </w:r>
      <w:r>
        <w:rPr>
          <w:rFonts w:ascii="inter" w:hAnsi="inter" w:eastAsia="inter" w:cs="inter"/>
          <w:color w:val="000000"/>
          <w:u w:val="single"/>
        </w:rPr>
        <w:fldChar w:fldCharType="end"/>
      </w:r>
      <w:bookmarkStart w:id="198" w:name="fnref33_1"/>
      <w:bookmarkEnd w:id="198"/>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p>
    <w:p w14:paraId="1C2C7C27">
      <w:pPr>
        <w:spacing w:after="210" w:line="360" w:lineRule="auto"/>
      </w:pPr>
      <w:r>
        <w:rPr>
          <w:rFonts w:ascii="inter" w:hAnsi="inter" w:eastAsia="inter" w:cs="inter"/>
          <w:color w:val="000000"/>
        </w:rPr>
        <w:t xml:space="preserve">ScienceDirect (2024). Imperfect ADAS in the Eyes of Users. Retrieved from </w:t>
      </w:r>
      <w:r>
        <w:fldChar w:fldCharType="begin"/>
      </w:r>
      <w:r>
        <w:instrText xml:space="preserve"> HYPERLINK "https://www.sciencedirect.com/science/article/abs/pii/S1369847825004024" \h </w:instrText>
      </w:r>
      <w:r>
        <w:fldChar w:fldCharType="separate"/>
      </w:r>
      <w:r>
        <w:rPr>
          <w:rFonts w:ascii="inter" w:hAnsi="inter" w:eastAsia="inter" w:cs="inter"/>
          <w:color w:val="000000"/>
          <w:u w:val="single"/>
        </w:rPr>
        <w:t>https://www.sciencedirect.com/science/article/abs/pii/S1369847825004024</w:t>
      </w:r>
      <w:r>
        <w:rPr>
          <w:rFonts w:ascii="inter" w:hAnsi="inter" w:eastAsia="inter" w:cs="inter"/>
          <w:color w:val="000000"/>
          <w:u w:val="single"/>
        </w:rPr>
        <w:fldChar w:fldCharType="end"/>
      </w:r>
      <w:bookmarkStart w:id="199" w:name="fnref35_1"/>
      <w:bookmarkEnd w:id="199"/>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747135E1">
      <w:pPr>
        <w:spacing w:after="210" w:line="360" w:lineRule="auto"/>
      </w:pPr>
      <w:r>
        <w:rPr>
          <w:rFonts w:ascii="inter" w:hAnsi="inter" w:eastAsia="inter" w:cs="inter"/>
          <w:color w:val="000000"/>
        </w:rPr>
        <w:t xml:space="preserve">LTA Singapore (2025). Autonomous Vehicles. Retrieved from </w:t>
      </w:r>
      <w:r>
        <w:fldChar w:fldCharType="begin"/>
      </w:r>
      <w:r>
        <w:instrText xml:space="preserve"> HYPERLINK "https://www.lta.gov.sg/content/ltagov/en/industry_innovations/technologies/autonomous_vehicles.html" \h </w:instrText>
      </w:r>
      <w:r>
        <w:fldChar w:fldCharType="separate"/>
      </w:r>
      <w:r>
        <w:rPr>
          <w:rFonts w:ascii="inter" w:hAnsi="inter" w:eastAsia="inter" w:cs="inter"/>
          <w:color w:val="000000"/>
          <w:u w:val="single"/>
        </w:rPr>
        <w:t>https://www.lta.gov.sg/content/ltagov/en/industry_innovations/technologies/autonomous_vehicles.html</w:t>
      </w:r>
      <w:r>
        <w:rPr>
          <w:rFonts w:ascii="inter" w:hAnsi="inter" w:eastAsia="inter" w:cs="inter"/>
          <w:color w:val="000000"/>
          <w:u w:val="single"/>
        </w:rPr>
        <w:fldChar w:fldCharType="end"/>
      </w:r>
      <w:bookmarkStart w:id="200" w:name="fnref38_1"/>
      <w:bookmarkEnd w:id="200"/>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p>
    <w:p w14:paraId="4EE7BA2F">
      <w:pPr>
        <w:spacing w:after="210" w:line="360" w:lineRule="auto"/>
      </w:pPr>
      <w:r>
        <w:rPr>
          <w:rFonts w:ascii="inter" w:hAnsi="inter" w:eastAsia="inter" w:cs="inter"/>
          <w:color w:val="000000"/>
        </w:rPr>
        <w:t xml:space="preserve">SMU Singapore (2020). Attribution of Civil Liability for Accidents Involving Autonomous Cars. Retrieved from </w:t>
      </w:r>
      <w:r>
        <w:fldChar w:fldCharType="begin"/>
      </w:r>
      <w:r>
        <w:instrText xml:space="preserve"> HYPERLINK "https://ink.library.smu.edu.sg/context/sol_research/article/5327/viewcontent/2020_Report_on_the_Attribution_of_Civil_Liability_f" \h </w:instrText>
      </w:r>
      <w:r>
        <w:fldChar w:fldCharType="separate"/>
      </w:r>
      <w:r>
        <w:rPr>
          <w:rFonts w:ascii="inter" w:hAnsi="inter" w:eastAsia="inter" w:cs="inter"/>
          <w:color w:val="000000"/>
          <w:u w:val="single"/>
        </w:rPr>
        <w:t>https://ink.library.smu.edu.sg/context/sol_research/article/5327/viewcontent/2020_Report_on_the_Attribution_of_Civil_Liability_f</w:t>
      </w:r>
      <w:r>
        <w:rPr>
          <w:rFonts w:ascii="inter" w:hAnsi="inter" w:eastAsia="inter" w:cs="inter"/>
          <w:color w:val="000000"/>
          <w:u w:val="single"/>
        </w:rPr>
        <w:fldChar w:fldCharType="end"/>
      </w:r>
      <w:bookmarkStart w:id="201" w:name="fnref16_3"/>
      <w:bookmarkEnd w:id="201"/>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72A0F039">
      <w:pPr>
        <w:spacing w:after="210" w:line="360" w:lineRule="auto"/>
      </w:pPr>
      <w:r>
        <w:rPr>
          <w:rFonts w:ascii="inter" w:hAnsi="inter" w:eastAsia="inter" w:cs="inter"/>
          <w:color w:val="000000"/>
        </w:rPr>
        <w:t xml:space="preserve">NUS Law Research (2024). Autonomous Vehicles and Insurance Law Principles. Retrieved from </w:t>
      </w:r>
      <w:r>
        <w:fldChar w:fldCharType="begin"/>
      </w:r>
      <w:r>
        <w:instrText xml:space="preserve"> HYPERLINK "https://blog.nus.edu.sg/lawresearch/2024/06/24/autonomous-vehicles-and-insurance-law-principles/" \h </w:instrText>
      </w:r>
      <w:r>
        <w:fldChar w:fldCharType="separate"/>
      </w:r>
      <w:r>
        <w:rPr>
          <w:rFonts w:ascii="inter" w:hAnsi="inter" w:eastAsia="inter" w:cs="inter"/>
          <w:color w:val="000000"/>
          <w:u w:val="single"/>
        </w:rPr>
        <w:t>https://blog.nus.edu.sg/lawresearch/2024/06/24/autonomous-vehicles-and-insurance-law-principles/</w:t>
      </w:r>
      <w:r>
        <w:rPr>
          <w:rFonts w:ascii="inter" w:hAnsi="inter" w:eastAsia="inter" w:cs="inter"/>
          <w:color w:val="000000"/>
          <w:u w:val="single"/>
        </w:rPr>
        <w:fldChar w:fldCharType="end"/>
      </w:r>
      <w:bookmarkStart w:id="202" w:name="fnref39_1"/>
      <w:bookmarkEnd w:id="202"/>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p>
    <w:p w14:paraId="0937FAE6">
      <w:pPr>
        <w:spacing w:after="210" w:line="360" w:lineRule="auto"/>
      </w:pPr>
      <w:r>
        <w:rPr>
          <w:rFonts w:ascii="inter" w:hAnsi="inter" w:eastAsia="inter" w:cs="inter"/>
          <w:color w:val="000000"/>
        </w:rPr>
        <w:t xml:space="preserve">SAL Journal (2024). Autonomous Vehicles and Insurance Law Principles. Retrieved from </w:t>
      </w:r>
      <w:r>
        <w:fldChar w:fldCharType="begin"/>
      </w:r>
      <w:r>
        <w:instrText xml:space="preserve"> HYPERLINK "https://journalsonline.academypublishing.org.sg/Journals/Singapore-Academy-of-Law-Journal/" \h </w:instrText>
      </w:r>
      <w:r>
        <w:fldChar w:fldCharType="separate"/>
      </w:r>
      <w:r>
        <w:rPr>
          <w:rFonts w:ascii="inter" w:hAnsi="inter" w:eastAsia="inter" w:cs="inter"/>
          <w:color w:val="000000"/>
          <w:u w:val="single"/>
        </w:rPr>
        <w:t>https://journalsonline.academypublishing.org.sg/Journals/Singapore-Academy-of-Law-Journal/</w:t>
      </w:r>
      <w:r>
        <w:rPr>
          <w:rFonts w:ascii="inter" w:hAnsi="inter" w:eastAsia="inter" w:cs="inter"/>
          <w:color w:val="000000"/>
          <w:u w:val="single"/>
        </w:rPr>
        <w:fldChar w:fldCharType="end"/>
      </w:r>
      <w:bookmarkStart w:id="203" w:name="fnref56"/>
      <w:bookmarkEnd w:id="203"/>
      <w:r>
        <w:fldChar w:fldCharType="begin"/>
      </w:r>
      <w:r>
        <w:instrText xml:space="preserve"> HYPERLINK \l "fn56" \h </w:instrText>
      </w:r>
      <w:r>
        <w:fldChar w:fldCharType="separate"/>
      </w:r>
      <w:r>
        <w:rPr>
          <w:rFonts w:ascii="inter" w:hAnsi="inter" w:eastAsia="inter" w:cs="inter"/>
          <w:color w:val="000000"/>
          <w:u w:val="single"/>
          <w:vertAlign w:val="superscript"/>
        </w:rPr>
        <w:t>[56]</w:t>
      </w:r>
      <w:r>
        <w:rPr>
          <w:rFonts w:ascii="inter" w:hAnsi="inter" w:eastAsia="inter" w:cs="inter"/>
          <w:color w:val="000000"/>
          <w:u w:val="single"/>
          <w:vertAlign w:val="superscript"/>
        </w:rPr>
        <w:fldChar w:fldCharType="end"/>
      </w:r>
    </w:p>
    <w:p w14:paraId="561219A0">
      <w:pPr>
        <w:spacing w:after="210" w:line="360" w:lineRule="auto"/>
      </w:pPr>
      <w:r>
        <w:rPr>
          <w:rFonts w:ascii="inter" w:hAnsi="inter" w:eastAsia="inter" w:cs="inter"/>
          <w:color w:val="000000"/>
        </w:rPr>
        <w:t xml:space="preserve">Stokes Stemle (2025). ADAS and Car Accident Liability. Retrieved from </w:t>
      </w:r>
      <w:r>
        <w:fldChar w:fldCharType="begin"/>
      </w:r>
      <w:r>
        <w:instrText xml:space="preserve"> HYPERLINK "https://stokesstemle.com/car-accident-lawyer/adas-and-car-accident-liability-what-you-need-to-know/" \h </w:instrText>
      </w:r>
      <w:r>
        <w:fldChar w:fldCharType="separate"/>
      </w:r>
      <w:r>
        <w:rPr>
          <w:rFonts w:ascii="inter" w:hAnsi="inter" w:eastAsia="inter" w:cs="inter"/>
          <w:color w:val="000000"/>
          <w:u w:val="single"/>
        </w:rPr>
        <w:t>https://stokesstemle.com/car-accident-lawyer/adas-and-car-accident-liability-what-you-need-to-know/</w:t>
      </w:r>
      <w:r>
        <w:rPr>
          <w:rFonts w:ascii="inter" w:hAnsi="inter" w:eastAsia="inter" w:cs="inter"/>
          <w:color w:val="000000"/>
          <w:u w:val="single"/>
        </w:rPr>
        <w:fldChar w:fldCharType="end"/>
      </w:r>
      <w:bookmarkStart w:id="204" w:name="fnref42_1"/>
      <w:bookmarkEnd w:id="204"/>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p>
    <w:p w14:paraId="711323E3">
      <w:pPr>
        <w:spacing w:after="210" w:line="360" w:lineRule="auto"/>
      </w:pPr>
      <w:r>
        <w:rPr>
          <w:rFonts w:ascii="inter" w:hAnsi="inter" w:eastAsia="inter" w:cs="inter"/>
          <w:color w:val="000000"/>
        </w:rPr>
        <w:t xml:space="preserve">Sage Journals (2020). Intelligent No-Fault Insurance for Robots. Retrieved from </w:t>
      </w:r>
      <w:r>
        <w:fldChar w:fldCharType="begin"/>
      </w:r>
      <w:r>
        <w:instrText xml:space="preserve"> HYPERLINK "https://journals.sagepub.com/doi/10.3233/FRL-200001" \h </w:instrText>
      </w:r>
      <w:r>
        <w:fldChar w:fldCharType="separate"/>
      </w:r>
      <w:r>
        <w:rPr>
          <w:rFonts w:ascii="inter" w:hAnsi="inter" w:eastAsia="inter" w:cs="inter"/>
          <w:color w:val="000000"/>
          <w:u w:val="single"/>
        </w:rPr>
        <w:t>https://journals.sagepub.com/doi/10.3233/FRL-200001</w:t>
      </w:r>
      <w:r>
        <w:rPr>
          <w:rFonts w:ascii="inter" w:hAnsi="inter" w:eastAsia="inter" w:cs="inter"/>
          <w:color w:val="000000"/>
          <w:u w:val="single"/>
        </w:rPr>
        <w:fldChar w:fldCharType="end"/>
      </w:r>
      <w:bookmarkStart w:id="205" w:name="fnref43_1"/>
      <w:bookmarkEnd w:id="205"/>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p>
    <w:p w14:paraId="6D8C1276">
      <w:pPr>
        <w:spacing w:after="210" w:line="360" w:lineRule="auto"/>
      </w:pPr>
      <w:r>
        <w:rPr>
          <w:rFonts w:ascii="inter" w:hAnsi="inter" w:eastAsia="inter" w:cs="inter"/>
          <w:color w:val="000000"/>
        </w:rPr>
        <w:t xml:space="preserve">Pioneer Publisher (2020). Evaluating the Impact of Autonomous Vehicle Technologies. Retrieved from </w:t>
      </w:r>
      <w:r>
        <w:fldChar w:fldCharType="begin"/>
      </w:r>
      <w:r>
        <w:instrText xml:space="preserve"> HYPERLINK "https://www.pioneerpublisher.com/slj/article/download/721/650/755" \h </w:instrText>
      </w:r>
      <w:r>
        <w:fldChar w:fldCharType="separate"/>
      </w:r>
      <w:r>
        <w:rPr>
          <w:rFonts w:ascii="inter" w:hAnsi="inter" w:eastAsia="inter" w:cs="inter"/>
          <w:color w:val="000000"/>
          <w:u w:val="single"/>
        </w:rPr>
        <w:t>https://www.pioneerpublisher.com/slj/article/download/721/650/755</w:t>
      </w:r>
      <w:r>
        <w:rPr>
          <w:rFonts w:ascii="inter" w:hAnsi="inter" w:eastAsia="inter" w:cs="inter"/>
          <w:color w:val="000000"/>
          <w:u w:val="single"/>
        </w:rPr>
        <w:fldChar w:fldCharType="end"/>
      </w:r>
      <w:bookmarkStart w:id="206" w:name="fnref57"/>
      <w:bookmarkEnd w:id="206"/>
      <w:r>
        <w:fldChar w:fldCharType="begin"/>
      </w:r>
      <w:r>
        <w:instrText xml:space="preserve"> HYPERLINK \l "fn57" \h </w:instrText>
      </w:r>
      <w:r>
        <w:fldChar w:fldCharType="separate"/>
      </w:r>
      <w:r>
        <w:rPr>
          <w:rFonts w:ascii="inter" w:hAnsi="inter" w:eastAsia="inter" w:cs="inter"/>
          <w:color w:val="000000"/>
          <w:u w:val="single"/>
          <w:vertAlign w:val="superscript"/>
        </w:rPr>
        <w:t>[57]</w:t>
      </w:r>
      <w:r>
        <w:rPr>
          <w:rFonts w:ascii="inter" w:hAnsi="inter" w:eastAsia="inter" w:cs="inter"/>
          <w:color w:val="000000"/>
          <w:u w:val="single"/>
          <w:vertAlign w:val="superscript"/>
        </w:rPr>
        <w:fldChar w:fldCharType="end"/>
      </w:r>
    </w:p>
    <w:p w14:paraId="0B6F4805">
      <w:pPr>
        <w:spacing w:after="210" w:line="360" w:lineRule="auto"/>
      </w:pPr>
      <w:r>
        <w:rPr>
          <w:rFonts w:ascii="inter" w:hAnsi="inter" w:eastAsia="inter" w:cs="inter"/>
          <w:color w:val="000000"/>
        </w:rPr>
        <w:t xml:space="preserve">HSF Kramer (2025). Singapore's Autonomous Vehicle Vision Takes Shape. Retrieved from </w:t>
      </w:r>
      <w:r>
        <w:fldChar w:fldCharType="begin"/>
      </w:r>
      <w:r>
        <w:instrText xml:space="preserve"> HYPERLINK "https://www.hsfkramer.com/insights/2025-09/singapores-autonomous-vehicle-vision-takes-shape" \h </w:instrText>
      </w:r>
      <w:r>
        <w:fldChar w:fldCharType="separate"/>
      </w:r>
      <w:r>
        <w:rPr>
          <w:rFonts w:ascii="inter" w:hAnsi="inter" w:eastAsia="inter" w:cs="inter"/>
          <w:color w:val="000000"/>
          <w:u w:val="single"/>
        </w:rPr>
        <w:t>https://www.hsfkramer.com/insights/2025-09/singapores-autonomous-vehicle-vision-takes-shape</w:t>
      </w:r>
      <w:r>
        <w:rPr>
          <w:rFonts w:ascii="inter" w:hAnsi="inter" w:eastAsia="inter" w:cs="inter"/>
          <w:color w:val="000000"/>
          <w:u w:val="single"/>
        </w:rPr>
        <w:fldChar w:fldCharType="end"/>
      </w:r>
      <w:bookmarkStart w:id="207" w:name="fnref58"/>
      <w:bookmarkEnd w:id="207"/>
      <w:r>
        <w:fldChar w:fldCharType="begin"/>
      </w:r>
      <w:r>
        <w:instrText xml:space="preserve"> HYPERLINK \l "fn58" \h </w:instrText>
      </w:r>
      <w:r>
        <w:fldChar w:fldCharType="separate"/>
      </w:r>
      <w:r>
        <w:rPr>
          <w:rFonts w:ascii="inter" w:hAnsi="inter" w:eastAsia="inter" w:cs="inter"/>
          <w:color w:val="000000"/>
          <w:u w:val="single"/>
          <w:vertAlign w:val="superscript"/>
        </w:rPr>
        <w:t>[58]</w:t>
      </w:r>
      <w:r>
        <w:rPr>
          <w:rFonts w:ascii="inter" w:hAnsi="inter" w:eastAsia="inter" w:cs="inter"/>
          <w:color w:val="000000"/>
          <w:u w:val="single"/>
          <w:vertAlign w:val="superscript"/>
        </w:rPr>
        <w:fldChar w:fldCharType="end"/>
      </w:r>
    </w:p>
    <w:p w14:paraId="1D2C10FD">
      <w:pPr>
        <w:spacing w:after="210" w:line="360" w:lineRule="auto"/>
      </w:pPr>
      <w:r>
        <w:rPr>
          <w:rFonts w:ascii="inter" w:hAnsi="inter" w:eastAsia="inter" w:cs="inter"/>
          <w:color w:val="000000"/>
        </w:rPr>
        <w:t xml:space="preserve">SAL Singapore (2025). Quick Guide - Civil Liability for Accidents Involving Autonomous Cars. Retrieved from </w:t>
      </w:r>
      <w:r>
        <w:fldChar w:fldCharType="begin"/>
      </w:r>
      <w:r>
        <w:instrText xml:space="preserve"> HYPERLINK "https://sal.org.sg/wp-content/uploads/2025/03/Autonomous-Cars-Report-Quick-Guide.pdf" \h </w:instrText>
      </w:r>
      <w:r>
        <w:fldChar w:fldCharType="separate"/>
      </w:r>
      <w:r>
        <w:rPr>
          <w:rFonts w:ascii="inter" w:hAnsi="inter" w:eastAsia="inter" w:cs="inter"/>
          <w:color w:val="000000"/>
          <w:u w:val="single"/>
        </w:rPr>
        <w:t>https://sal.org.sg/wp-content/uploads/2025/03/Autonomous-Cars-Report-Quick-Guide.pdf</w:t>
      </w:r>
      <w:r>
        <w:rPr>
          <w:rFonts w:ascii="inter" w:hAnsi="inter" w:eastAsia="inter" w:cs="inter"/>
          <w:color w:val="000000"/>
          <w:u w:val="single"/>
        </w:rPr>
        <w:fldChar w:fldCharType="end"/>
      </w:r>
      <w:bookmarkStart w:id="208" w:name="fnref59"/>
      <w:bookmarkEnd w:id="208"/>
      <w:r>
        <w:fldChar w:fldCharType="begin"/>
      </w:r>
      <w:r>
        <w:instrText xml:space="preserve"> HYPERLINK \l "fn59" \h </w:instrText>
      </w:r>
      <w:r>
        <w:fldChar w:fldCharType="separate"/>
      </w:r>
      <w:r>
        <w:rPr>
          <w:rFonts w:ascii="inter" w:hAnsi="inter" w:eastAsia="inter" w:cs="inter"/>
          <w:color w:val="000000"/>
          <w:u w:val="single"/>
          <w:vertAlign w:val="superscript"/>
        </w:rPr>
        <w:t>[59]</w:t>
      </w:r>
      <w:r>
        <w:rPr>
          <w:rFonts w:ascii="inter" w:hAnsi="inter" w:eastAsia="inter" w:cs="inter"/>
          <w:color w:val="000000"/>
          <w:u w:val="single"/>
          <w:vertAlign w:val="superscript"/>
        </w:rPr>
        <w:fldChar w:fldCharType="end"/>
      </w:r>
    </w:p>
    <w:p w14:paraId="5386F541">
      <w:pPr>
        <w:spacing w:after="210" w:line="360" w:lineRule="auto"/>
      </w:pPr>
      <w:r>
        <w:rPr>
          <w:rFonts w:ascii="inter" w:hAnsi="inter" w:eastAsia="inter" w:cs="inter"/>
          <w:color w:val="000000"/>
        </w:rPr>
        <w:t xml:space="preserve">Semantic Scholar. Product Liability for ADAS. Retrieved from </w:t>
      </w:r>
      <w:r>
        <w:fldChar w:fldCharType="begin"/>
      </w:r>
      <w:r>
        <w:instrText xml:space="preserve"> HYPERLINK "https://pdfs.semanticscholar.org/c4b3/eb087ceb8e2705949d1397cfda367463f78f.pdf" \h </w:instrText>
      </w:r>
      <w:r>
        <w:fldChar w:fldCharType="separate"/>
      </w:r>
      <w:r>
        <w:rPr>
          <w:rFonts w:ascii="inter" w:hAnsi="inter" w:eastAsia="inter" w:cs="inter"/>
          <w:color w:val="000000"/>
          <w:u w:val="single"/>
        </w:rPr>
        <w:t>https://pdfs.semanticscholar.org/c4b3/eb087ceb8e2705949d1397cfda367463f78f.pdf</w:t>
      </w:r>
      <w:r>
        <w:rPr>
          <w:rFonts w:ascii="inter" w:hAnsi="inter" w:eastAsia="inter" w:cs="inter"/>
          <w:color w:val="000000"/>
          <w:u w:val="single"/>
        </w:rPr>
        <w:fldChar w:fldCharType="end"/>
      </w:r>
      <w:bookmarkStart w:id="209" w:name="fnref60"/>
      <w:bookmarkEnd w:id="209"/>
      <w:r>
        <w:fldChar w:fldCharType="begin"/>
      </w:r>
      <w:r>
        <w:instrText xml:space="preserve"> HYPERLINK \l "fn60" \h </w:instrText>
      </w:r>
      <w:r>
        <w:fldChar w:fldCharType="separate"/>
      </w:r>
      <w:r>
        <w:rPr>
          <w:rFonts w:ascii="inter" w:hAnsi="inter" w:eastAsia="inter" w:cs="inter"/>
          <w:color w:val="000000"/>
          <w:u w:val="single"/>
          <w:vertAlign w:val="superscript"/>
        </w:rPr>
        <w:t>[60]</w:t>
      </w:r>
      <w:r>
        <w:rPr>
          <w:rFonts w:ascii="inter" w:hAnsi="inter" w:eastAsia="inter" w:cs="inter"/>
          <w:color w:val="000000"/>
          <w:u w:val="single"/>
          <w:vertAlign w:val="superscript"/>
        </w:rPr>
        <w:fldChar w:fldCharType="end"/>
      </w:r>
    </w:p>
    <w:p w14:paraId="0B14C933">
      <w:pPr>
        <w:spacing w:after="210" w:line="360" w:lineRule="auto"/>
      </w:pPr>
      <w:r>
        <w:rPr>
          <w:rFonts w:ascii="inter" w:hAnsi="inter" w:eastAsia="inter" w:cs="inter"/>
          <w:color w:val="000000"/>
        </w:rPr>
        <w:t xml:space="preserve">Yicai Global (2025). China Solicits Feedback on Draft National Safety Standards for L2. Retrieved from </w:t>
      </w:r>
      <w:r>
        <w:fldChar w:fldCharType="begin"/>
      </w:r>
      <w:r>
        <w:instrText xml:space="preserve"> HYPERLINK "https://www.yicaiglobal.com/news/china-solicits-feedback-on-draft-national-safety-standards-for-l2-driver-assistance-systems" \h </w:instrText>
      </w:r>
      <w:r>
        <w:fldChar w:fldCharType="separate"/>
      </w:r>
      <w:r>
        <w:rPr>
          <w:rFonts w:ascii="inter" w:hAnsi="inter" w:eastAsia="inter" w:cs="inter"/>
          <w:color w:val="000000"/>
          <w:u w:val="single"/>
        </w:rPr>
        <w:t>https://www.yicaiglobal.com/news/china-solicits-feedback-on-draft-national-safety-standards-for-l2-driver-assistance-systems</w:t>
      </w:r>
      <w:r>
        <w:rPr>
          <w:rFonts w:ascii="inter" w:hAnsi="inter" w:eastAsia="inter" w:cs="inter"/>
          <w:color w:val="000000"/>
          <w:u w:val="single"/>
        </w:rPr>
        <w:fldChar w:fldCharType="end"/>
      </w:r>
      <w:bookmarkStart w:id="210" w:name="fnref41_2"/>
      <w:bookmarkEnd w:id="210"/>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3B2ADD1F">
      <w:pPr>
        <w:spacing w:after="210" w:line="360" w:lineRule="auto"/>
      </w:pPr>
      <w:r>
        <w:rPr>
          <w:rFonts w:ascii="inter" w:hAnsi="inter" w:eastAsia="inter" w:cs="inter"/>
          <w:color w:val="000000"/>
        </w:rPr>
        <w:t xml:space="preserve">Euro NCAP (2022). AD Test and Assessment Protocol v2.0. Retrieved from </w:t>
      </w:r>
      <w:r>
        <w:fldChar w:fldCharType="begin"/>
      </w:r>
      <w:r>
        <w:instrText xml:space="preserve"> HYPERLINK "https://www.euroncap.com/media/79863/euro-ncap-ad-test-and-assessment-protocol-v20.pdf" \h </w:instrText>
      </w:r>
      <w:r>
        <w:fldChar w:fldCharType="separate"/>
      </w:r>
      <w:r>
        <w:rPr>
          <w:rFonts w:ascii="inter" w:hAnsi="inter" w:eastAsia="inter" w:cs="inter"/>
          <w:color w:val="000000"/>
          <w:u w:val="single"/>
        </w:rPr>
        <w:t>https://www.euroncap.com/media/79863/euro-ncap-ad-test-and-assessment-protocol-v20.pdf</w:t>
      </w:r>
      <w:r>
        <w:rPr>
          <w:rFonts w:ascii="inter" w:hAnsi="inter" w:eastAsia="inter" w:cs="inter"/>
          <w:color w:val="000000"/>
          <w:u w:val="single"/>
        </w:rPr>
        <w:fldChar w:fldCharType="end"/>
      </w:r>
      <w:bookmarkStart w:id="211" w:name="fnref8_5"/>
      <w:bookmarkEnd w:id="21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28AAB77C">
      <w:pPr>
        <w:spacing w:after="210" w:line="360" w:lineRule="auto"/>
      </w:pPr>
      <w:r>
        <w:rPr>
          <w:rFonts w:ascii="inter" w:hAnsi="inter" w:eastAsia="inter" w:cs="inter"/>
          <w:color w:val="000000"/>
        </w:rPr>
        <w:t xml:space="preserve">Verified Market Research (2025). ADAS Regulations and Standards: Ensuring Safety and Compliance. Retrieved from </w:t>
      </w:r>
      <w:r>
        <w:fldChar w:fldCharType="begin"/>
      </w:r>
      <w:r>
        <w:instrText xml:space="preserve"> HYPERLINK "https://www.verifiedmarketresearch.com/blog/adas-regulations-and-standards/" \h </w:instrText>
      </w:r>
      <w:r>
        <w:fldChar w:fldCharType="separate"/>
      </w:r>
      <w:r>
        <w:rPr>
          <w:rFonts w:ascii="inter" w:hAnsi="inter" w:eastAsia="inter" w:cs="inter"/>
          <w:color w:val="000000"/>
          <w:u w:val="single"/>
        </w:rPr>
        <w:t>https://www.verifiedmarketresearch.com/blog/adas-regulations-and-standards/</w:t>
      </w:r>
      <w:r>
        <w:rPr>
          <w:rFonts w:ascii="inter" w:hAnsi="inter" w:eastAsia="inter" w:cs="inter"/>
          <w:color w:val="000000"/>
          <w:u w:val="single"/>
        </w:rPr>
        <w:fldChar w:fldCharType="end"/>
      </w:r>
      <w:bookmarkStart w:id="212" w:name="fnref61"/>
      <w:bookmarkEnd w:id="212"/>
      <w:r>
        <w:fldChar w:fldCharType="begin"/>
      </w:r>
      <w:r>
        <w:instrText xml:space="preserve"> HYPERLINK \l "fn61" \h </w:instrText>
      </w:r>
      <w:r>
        <w:fldChar w:fldCharType="separate"/>
      </w:r>
      <w:r>
        <w:rPr>
          <w:rFonts w:ascii="inter" w:hAnsi="inter" w:eastAsia="inter" w:cs="inter"/>
          <w:color w:val="000000"/>
          <w:u w:val="single"/>
          <w:vertAlign w:val="superscript"/>
        </w:rPr>
        <w:t>[61]</w:t>
      </w:r>
      <w:r>
        <w:rPr>
          <w:rFonts w:ascii="inter" w:hAnsi="inter" w:eastAsia="inter" w:cs="inter"/>
          <w:color w:val="000000"/>
          <w:u w:val="single"/>
          <w:vertAlign w:val="superscript"/>
        </w:rPr>
        <w:fldChar w:fldCharType="end"/>
      </w:r>
    </w:p>
    <w:p w14:paraId="4BD9FF9F">
      <w:pPr>
        <w:spacing w:after="210" w:line="360" w:lineRule="auto"/>
      </w:pPr>
      <w:r>
        <w:rPr>
          <w:rFonts w:ascii="inter" w:hAnsi="inter" w:eastAsia="inter" w:cs="inter"/>
          <w:color w:val="000000"/>
        </w:rPr>
        <w:t xml:space="preserve">Allianz (2025). Ensuring Vehicle Safety: The Critical Role of ADAS Recalibration. Retrieved from </w:t>
      </w:r>
      <w:r>
        <w:fldChar w:fldCharType="begin"/>
      </w:r>
      <w:r>
        <w:instrText xml:space="preserve"> HYPERLINK "https://www.allianz.co.uk/news-and-insight/insight-and-expertise/ensuring-vehicle-safety-the-critical-role-of-adas-recalibration" \h </w:instrText>
      </w:r>
      <w:r>
        <w:fldChar w:fldCharType="separate"/>
      </w:r>
      <w:r>
        <w:rPr>
          <w:rFonts w:ascii="inter" w:hAnsi="inter" w:eastAsia="inter" w:cs="inter"/>
          <w:color w:val="000000"/>
          <w:u w:val="single"/>
        </w:rPr>
        <w:t>https://www.allianz.co.uk/news-and-insight/insight-and-expertise/ensuring-vehicle-safety-the-critical-role-of-adas-recalibration</w:t>
      </w:r>
      <w:r>
        <w:rPr>
          <w:rFonts w:ascii="inter" w:hAnsi="inter" w:eastAsia="inter" w:cs="inter"/>
          <w:color w:val="000000"/>
          <w:u w:val="single"/>
        </w:rPr>
        <w:fldChar w:fldCharType="end"/>
      </w:r>
      <w:bookmarkStart w:id="213" w:name="fnref36_3"/>
      <w:bookmarkEnd w:id="213"/>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p>
    <w:p w14:paraId="7023D6E6">
      <w:pPr>
        <w:spacing w:after="210" w:line="360" w:lineRule="auto"/>
      </w:pPr>
      <w:r>
        <w:rPr>
          <w:rFonts w:ascii="inter" w:hAnsi="inter" w:eastAsia="inter" w:cs="inter"/>
          <w:color w:val="000000"/>
        </w:rPr>
        <w:t xml:space="preserve">Test &amp; Measure (2025). The Importance of ADAS Calibration for Collision Prevention. Retrieved from </w:t>
      </w:r>
      <w:r>
        <w:fldChar w:fldCharType="begin"/>
      </w:r>
      <w:r>
        <w:instrText xml:space="preserve"> HYPERLINK "https://testandmeasure.ascentialtech.com/wp-content/uploads/2025/07/ADAS-Collision-Prevention-Whitepaper_V3-1.pdf" \h </w:instrText>
      </w:r>
      <w:r>
        <w:fldChar w:fldCharType="separate"/>
      </w:r>
      <w:r>
        <w:rPr>
          <w:rFonts w:ascii="inter" w:hAnsi="inter" w:eastAsia="inter" w:cs="inter"/>
          <w:color w:val="000000"/>
          <w:u w:val="single"/>
        </w:rPr>
        <w:t>https://testandmeasure.ascentialtech.com/wp-content/uploads/2025/07/ADAS-Collision-Prevention-Whitepaper_V3-1.pdf</w:t>
      </w:r>
      <w:r>
        <w:rPr>
          <w:rFonts w:ascii="inter" w:hAnsi="inter" w:eastAsia="inter" w:cs="inter"/>
          <w:color w:val="000000"/>
          <w:u w:val="single"/>
        </w:rPr>
        <w:fldChar w:fldCharType="end"/>
      </w:r>
      <w:bookmarkStart w:id="214" w:name="fnref37_2"/>
      <w:bookmarkEnd w:id="214"/>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50323BDB">
      <w:pPr>
        <w:spacing w:after="210" w:line="360" w:lineRule="auto"/>
      </w:pPr>
      <w:r>
        <w:rPr>
          <w:rFonts w:ascii="inter" w:hAnsi="inter" w:eastAsia="inter" w:cs="inter"/>
          <w:color w:val="000000"/>
        </w:rPr>
        <w:t xml:space="preserve">Applied Intuition (2025). Understanding DCAS and UN R171 Standards. Retrieved from </w:t>
      </w:r>
      <w:r>
        <w:fldChar w:fldCharType="begin"/>
      </w:r>
      <w:r>
        <w:instrText xml:space="preserve"> HYPERLINK "https://www.appliedintuition.com/blog/navigating-dcas-regulations" \h </w:instrText>
      </w:r>
      <w:r>
        <w:fldChar w:fldCharType="separate"/>
      </w:r>
      <w:r>
        <w:rPr>
          <w:rFonts w:ascii="inter" w:hAnsi="inter" w:eastAsia="inter" w:cs="inter"/>
          <w:color w:val="000000"/>
          <w:u w:val="single"/>
        </w:rPr>
        <w:t>https://www.appliedintuition.com/blog/navigating-dcas-regulations</w:t>
      </w:r>
      <w:r>
        <w:rPr>
          <w:rFonts w:ascii="inter" w:hAnsi="inter" w:eastAsia="inter" w:cs="inter"/>
          <w:color w:val="000000"/>
          <w:u w:val="single"/>
        </w:rPr>
        <w:fldChar w:fldCharType="end"/>
      </w:r>
      <w:bookmarkStart w:id="215" w:name="fnref32_2"/>
      <w:bookmarkEnd w:id="215"/>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1B8B8AC3">
      <w:pPr>
        <w:spacing w:line="360" w:lineRule="auto"/>
      </w:pPr>
      <w:r>
        <w:rPr>
          <w:rFonts w:ascii="inter" w:hAnsi="inter" w:eastAsia="inter" w:cs="inter"/>
          <w:color w:val="000000"/>
        </w:rPr>
        <w:t>⁂</w:t>
      </w:r>
    </w:p>
    <w:p w14:paraId="3F7B3B0A">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391F4E3B">
      <w:pPr>
        <w:numPr>
          <w:ilvl w:val="0"/>
          <w:numId w:val="4"/>
        </w:numPr>
        <w:spacing w:after="210" w:line="360" w:lineRule="auto"/>
      </w:pPr>
      <w:bookmarkStart w:id="216" w:name="fn1"/>
      <w:bookmarkEnd w:id="216"/>
      <w:r>
        <w:fldChar w:fldCharType="begin"/>
      </w:r>
      <w:r>
        <w:instrText xml:space="preserve"> HYPERLINK "https://www.ni.com/en/solutions/transportation/adas-and-autonomous-driving-testing/what-is-adas.html" \h </w:instrText>
      </w:r>
      <w:r>
        <w:fldChar w:fldCharType="separate"/>
      </w:r>
      <w:r>
        <w:rPr>
          <w:rFonts w:ascii="inter" w:hAnsi="inter" w:eastAsia="inter" w:cs="inter"/>
          <w:color w:val="000000"/>
          <w:sz w:val="18"/>
          <w:u w:val="single"/>
        </w:rPr>
        <w:t>https://www.ni.com/en/solutions/transportation/adas-and-autonomous-driving-testing/what-is-adas.html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2C8A75">
      <w:pPr>
        <w:numPr>
          <w:ilvl w:val="0"/>
          <w:numId w:val="4"/>
        </w:numPr>
        <w:spacing w:after="210" w:line="360" w:lineRule="auto"/>
      </w:pPr>
      <w:bookmarkStart w:id="217" w:name="fn2"/>
      <w:bookmarkEnd w:id="217"/>
      <w:r>
        <w:fldChar w:fldCharType="begin"/>
      </w:r>
      <w:r>
        <w:instrText xml:space="preserve"> HYPERLINK "https://en.wikipedia.org/wiki/Advanced_driver-assistance_system" \h </w:instrText>
      </w:r>
      <w:r>
        <w:fldChar w:fldCharType="separate"/>
      </w:r>
      <w:r>
        <w:rPr>
          <w:rFonts w:ascii="inter" w:hAnsi="inter" w:eastAsia="inter" w:cs="inter"/>
          <w:color w:val="000000"/>
          <w:sz w:val="18"/>
          <w:u w:val="single"/>
        </w:rPr>
        <w:t>https://en.wikipedia.org/wiki/Advanced_driver-assistance_system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A46029">
      <w:pPr>
        <w:numPr>
          <w:ilvl w:val="0"/>
          <w:numId w:val="4"/>
        </w:numPr>
        <w:spacing w:after="210" w:line="360" w:lineRule="auto"/>
      </w:pPr>
      <w:bookmarkStart w:id="218" w:name="fn3"/>
      <w:bookmarkEnd w:id="218"/>
      <w:r>
        <w:fldChar w:fldCharType="begin"/>
      </w:r>
      <w:r>
        <w:instrText xml:space="preserve"> HYPERLINK "https://www.car-news.ca/adas-confusion-when-your-car-misreads-the-road/" \h </w:instrText>
      </w:r>
      <w:r>
        <w:fldChar w:fldCharType="separate"/>
      </w:r>
      <w:r>
        <w:rPr>
          <w:rFonts w:ascii="inter" w:hAnsi="inter" w:eastAsia="inter" w:cs="inter"/>
          <w:color w:val="000000"/>
          <w:sz w:val="18"/>
          <w:u w:val="single"/>
        </w:rPr>
        <w:t>https://www.car-news.ca/adas-confusion-when-your-car-misreads-the-road/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192B77">
      <w:pPr>
        <w:numPr>
          <w:ilvl w:val="0"/>
          <w:numId w:val="4"/>
        </w:numPr>
        <w:spacing w:after="210" w:line="360" w:lineRule="auto"/>
      </w:pPr>
      <w:bookmarkStart w:id="219" w:name="fn4"/>
      <w:bookmarkEnd w:id="219"/>
      <w:r>
        <w:fldChar w:fldCharType="begin"/>
      </w:r>
      <w:r>
        <w:instrText xml:space="preserve"> HYPERLINK "https://dspace.mit.edu/bitstream/handle/1721.1/129156/1227276783-MIT.pdf?sequence=1" \h </w:instrText>
      </w:r>
      <w:r>
        <w:fldChar w:fldCharType="separate"/>
      </w:r>
      <w:r>
        <w:rPr>
          <w:rFonts w:ascii="inter" w:hAnsi="inter" w:eastAsia="inter" w:cs="inter"/>
          <w:color w:val="000000"/>
          <w:sz w:val="18"/>
          <w:u w:val="single"/>
        </w:rPr>
        <w:t>https://dspace.mit.edu/bitstream/handle/1721.1/129156/1227276783-MIT.pdf?sequence=1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02A60A">
      <w:pPr>
        <w:numPr>
          <w:ilvl w:val="0"/>
          <w:numId w:val="4"/>
        </w:numPr>
        <w:spacing w:after="210" w:line="360" w:lineRule="auto"/>
      </w:pPr>
      <w:bookmarkStart w:id="220" w:name="fn5"/>
      <w:bookmarkEnd w:id="220"/>
      <w:r>
        <w:fldChar w:fldCharType="begin"/>
      </w:r>
      <w:r>
        <w:instrText xml:space="preserve"> HYPERLINK "https://www.claytex.com/tech-blog/understanding-operational-design-domain-to-create-informed-safety-in-autonomous-vehicles-deployment-1-2/" \h </w:instrText>
      </w:r>
      <w:r>
        <w:fldChar w:fldCharType="separate"/>
      </w:r>
      <w:r>
        <w:rPr>
          <w:rFonts w:ascii="inter" w:hAnsi="inter" w:eastAsia="inter" w:cs="inter"/>
          <w:color w:val="000000"/>
          <w:sz w:val="18"/>
          <w:u w:val="single"/>
        </w:rPr>
        <w:t>https://www.claytex.com/tech-blog/understanding-operational-design-domain-to-create-informed-safety-in-autonomous-vehicles-deployment-1-2/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FABA09">
      <w:pPr>
        <w:numPr>
          <w:ilvl w:val="0"/>
          <w:numId w:val="4"/>
        </w:numPr>
        <w:spacing w:after="210" w:line="360" w:lineRule="auto"/>
      </w:pPr>
      <w:bookmarkStart w:id="221" w:name="fn6"/>
      <w:bookmarkEnd w:id="221"/>
      <w:r>
        <w:fldChar w:fldCharType="begin"/>
      </w:r>
      <w:r>
        <w:instrText xml:space="preserve"> HYPERLINK "https://www.reddit.com/r/SelfDrivingCars/comments/1mf4et4/tesla_must_pay_329_million_in_damages_after_fatal/" \h </w:instrText>
      </w:r>
      <w:r>
        <w:fldChar w:fldCharType="separate"/>
      </w:r>
      <w:r>
        <w:rPr>
          <w:rFonts w:ascii="inter" w:hAnsi="inter" w:eastAsia="inter" w:cs="inter"/>
          <w:color w:val="000000"/>
          <w:sz w:val="18"/>
          <w:u w:val="single"/>
        </w:rPr>
        <w:t>https://www.reddit.com/r/SelfDrivingCars/comments/1mf4et4/tesla_must_pay_329_million_in_damages_after_fatal/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D3DF54">
      <w:pPr>
        <w:numPr>
          <w:ilvl w:val="0"/>
          <w:numId w:val="4"/>
        </w:numPr>
        <w:spacing w:after="210" w:line="360" w:lineRule="auto"/>
      </w:pPr>
      <w:bookmarkStart w:id="222" w:name="fn7"/>
      <w:bookmarkEnd w:id="222"/>
      <w:r>
        <w:fldChar w:fldCharType="begin"/>
      </w:r>
      <w:r>
        <w:instrText xml:space="preserve"> HYPERLINK "https://academic.oup.com/jcde/article/9/5/1995/6679564" \h </w:instrText>
      </w:r>
      <w:r>
        <w:fldChar w:fldCharType="separate"/>
      </w:r>
      <w:r>
        <w:rPr>
          <w:rFonts w:ascii="inter" w:hAnsi="inter" w:eastAsia="inter" w:cs="inter"/>
          <w:color w:val="000000"/>
          <w:sz w:val="18"/>
          <w:u w:val="single"/>
        </w:rPr>
        <w:t>https://academic.oup.com/jcde/article/9/5/1995/6679564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A024EB">
      <w:pPr>
        <w:numPr>
          <w:ilvl w:val="0"/>
          <w:numId w:val="4"/>
        </w:numPr>
        <w:spacing w:after="210" w:line="360" w:lineRule="auto"/>
      </w:pPr>
      <w:bookmarkStart w:id="223" w:name="fn8"/>
      <w:bookmarkEnd w:id="223"/>
      <w:r>
        <w:fldChar w:fldCharType="begin"/>
      </w:r>
      <w:r>
        <w:instrText xml:space="preserve"> HYPERLINK "https://www.euroncap.com/media/79863/euro-ncap-ad-test-and-assessment-protocol-v20.pdf" \h </w:instrText>
      </w:r>
      <w:r>
        <w:fldChar w:fldCharType="separate"/>
      </w:r>
      <w:r>
        <w:rPr>
          <w:rFonts w:ascii="inter" w:hAnsi="inter" w:eastAsia="inter" w:cs="inter"/>
          <w:color w:val="000000"/>
          <w:sz w:val="18"/>
          <w:u w:val="single"/>
        </w:rPr>
        <w:t>https://www.euroncap.com/media/79863/euro-ncap-ad-test-and-assessment-protocol-v20.pdf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43DD4F">
      <w:pPr>
        <w:numPr>
          <w:ilvl w:val="0"/>
          <w:numId w:val="4"/>
        </w:numPr>
        <w:spacing w:after="210" w:line="360" w:lineRule="auto"/>
      </w:pPr>
      <w:bookmarkStart w:id="224" w:name="fn9"/>
      <w:bookmarkEnd w:id="224"/>
      <w:r>
        <w:fldChar w:fldCharType="begin"/>
      </w:r>
      <w:r>
        <w:instrText xml:space="preserve"> HYPERLINK "https://pmc.ncbi.nlm.nih.gov/articles/PMC10733274/" \h </w:instrText>
      </w:r>
      <w:r>
        <w:fldChar w:fldCharType="separate"/>
      </w:r>
      <w:r>
        <w:rPr>
          <w:rFonts w:ascii="inter" w:hAnsi="inter" w:eastAsia="inter" w:cs="inter"/>
          <w:color w:val="000000"/>
          <w:sz w:val="18"/>
          <w:u w:val="single"/>
        </w:rPr>
        <w:t>https://pmc.ncbi.nlm.nih.gov/articles/PMC10733274/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169137">
      <w:pPr>
        <w:numPr>
          <w:ilvl w:val="0"/>
          <w:numId w:val="4"/>
        </w:numPr>
        <w:spacing w:after="210" w:line="360" w:lineRule="auto"/>
      </w:pPr>
      <w:bookmarkStart w:id="225" w:name="fn10"/>
      <w:bookmarkEnd w:id="225"/>
      <w:r>
        <w:fldChar w:fldCharType="begin"/>
      </w:r>
      <w:r>
        <w:instrText xml:space="preserve"> HYPERLINK "https://aaafoundation.org/wp-content/uploads/2023/09/202309-AAAFTS-Predicting-Readiness-and-Supporting-Takeover-Transitions.pdf" \h </w:instrText>
      </w:r>
      <w:r>
        <w:fldChar w:fldCharType="separate"/>
      </w:r>
      <w:r>
        <w:rPr>
          <w:rFonts w:ascii="inter" w:hAnsi="inter" w:eastAsia="inter" w:cs="inter"/>
          <w:color w:val="000000"/>
          <w:sz w:val="18"/>
          <w:u w:val="single"/>
        </w:rPr>
        <w:t>https://aaafoundation.org/wp-content/uploads/2023/09/202309-AAAFTS-Predicting-Readiness-and-Supporting-Takeover-Transitions.pdf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E37EB9">
      <w:pPr>
        <w:numPr>
          <w:ilvl w:val="0"/>
          <w:numId w:val="4"/>
        </w:numPr>
        <w:spacing w:after="210" w:line="360" w:lineRule="auto"/>
      </w:pPr>
      <w:bookmarkStart w:id="226" w:name="fn11"/>
      <w:bookmarkEnd w:id="226"/>
      <w:r>
        <w:fldChar w:fldCharType="begin"/>
      </w:r>
      <w:r>
        <w:instrText xml:space="preserve"> HYPERLINK "https://acta.uni-obuda.hu/Drexler_Takacs_Nagy_Haidegger_96.pdf" \h </w:instrText>
      </w:r>
      <w:r>
        <w:fldChar w:fldCharType="separate"/>
      </w:r>
      <w:r>
        <w:rPr>
          <w:rFonts w:ascii="inter" w:hAnsi="inter" w:eastAsia="inter" w:cs="inter"/>
          <w:color w:val="000000"/>
          <w:sz w:val="18"/>
          <w:u w:val="single"/>
        </w:rPr>
        <w:t>https://acta.uni-obuda.hu/Drexler_Takacs_Nagy_Haidegger_96.pdf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3D9298">
      <w:pPr>
        <w:numPr>
          <w:ilvl w:val="0"/>
          <w:numId w:val="4"/>
        </w:numPr>
        <w:spacing w:after="210" w:line="360" w:lineRule="auto"/>
      </w:pPr>
      <w:bookmarkStart w:id="227" w:name="fn12"/>
      <w:bookmarkEnd w:id="227"/>
      <w:r>
        <w:fldChar w:fldCharType="begin"/>
      </w:r>
      <w:r>
        <w:instrText xml:space="preserve"> HYPERLINK "https://academic.oup.com/ajcl/article/70/Supplement_1/i39/6655619" \h </w:instrText>
      </w:r>
      <w:r>
        <w:fldChar w:fldCharType="separate"/>
      </w:r>
      <w:r>
        <w:rPr>
          <w:rFonts w:ascii="inter" w:hAnsi="inter" w:eastAsia="inter" w:cs="inter"/>
          <w:color w:val="000000"/>
          <w:sz w:val="18"/>
          <w:u w:val="single"/>
        </w:rPr>
        <w:t>https://academic.oup.com/ajcl/article/70/Supplement_1/i39/6655619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F46E34">
      <w:pPr>
        <w:numPr>
          <w:ilvl w:val="0"/>
          <w:numId w:val="4"/>
        </w:numPr>
        <w:spacing w:after="210" w:line="360" w:lineRule="auto"/>
      </w:pPr>
      <w:bookmarkStart w:id="228" w:name="fn13"/>
      <w:bookmarkEnd w:id="228"/>
      <w:r>
        <w:fldChar w:fldCharType="begin"/>
      </w:r>
      <w:r>
        <w:instrText xml:space="preserve"> HYPERLINK "https://www.anzalonelaw.com/jury-finds-tesla-autopilot-defective-in-landmark-329-million-verdict-what-it-means-for-future-cases/" \h </w:instrText>
      </w:r>
      <w:r>
        <w:fldChar w:fldCharType="separate"/>
      </w:r>
      <w:r>
        <w:rPr>
          <w:rFonts w:ascii="inter" w:hAnsi="inter" w:eastAsia="inter" w:cs="inter"/>
          <w:color w:val="000000"/>
          <w:sz w:val="18"/>
          <w:u w:val="single"/>
        </w:rPr>
        <w:t>https://www.anzalonelaw.com/jury-finds-tesla-autopilot-defective-in-landmark-329-million-verdict-what-it-means-for-future-cases/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A146E9">
      <w:pPr>
        <w:numPr>
          <w:ilvl w:val="0"/>
          <w:numId w:val="4"/>
        </w:numPr>
        <w:spacing w:after="210" w:line="360" w:lineRule="auto"/>
      </w:pPr>
      <w:bookmarkStart w:id="229" w:name="fn14"/>
      <w:bookmarkEnd w:id="229"/>
      <w:r>
        <w:fldChar w:fldCharType="begin"/>
      </w:r>
      <w:r>
        <w:instrText xml:space="preserve"> HYPERLINK "https://www.cnbc.com/2025/08/01/tesla-must-pay-329-million-in-damages-in-fatal-autopilot-case.html" \h </w:instrText>
      </w:r>
      <w:r>
        <w:fldChar w:fldCharType="separate"/>
      </w:r>
      <w:r>
        <w:rPr>
          <w:rFonts w:ascii="inter" w:hAnsi="inter" w:eastAsia="inter" w:cs="inter"/>
          <w:color w:val="000000"/>
          <w:sz w:val="18"/>
          <w:u w:val="single"/>
        </w:rPr>
        <w:t>https://www.cnbc.com/2025/08/01/tesla-must-pay-329-million-in-damages-in-fatal-autopilot-case.html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1AEC63">
      <w:pPr>
        <w:numPr>
          <w:ilvl w:val="0"/>
          <w:numId w:val="4"/>
        </w:numPr>
        <w:spacing w:after="210" w:line="360" w:lineRule="auto"/>
      </w:pPr>
      <w:bookmarkStart w:id="230" w:name="fn15"/>
      <w:bookmarkEnd w:id="230"/>
      <w:r>
        <w:fldChar w:fldCharType="begin"/>
      </w:r>
      <w:r>
        <w:instrText xml:space="preserve"> HYPERLINK "https://cms.law/en/swe/news/automated-systems-in-vehicles-and-drivers-liability" \h </w:instrText>
      </w:r>
      <w:r>
        <w:fldChar w:fldCharType="separate"/>
      </w:r>
      <w:r>
        <w:rPr>
          <w:rFonts w:ascii="inter" w:hAnsi="inter" w:eastAsia="inter" w:cs="inter"/>
          <w:color w:val="000000"/>
          <w:sz w:val="18"/>
          <w:u w:val="single"/>
        </w:rPr>
        <w:t>https://cms.law/en/swe/news/automated-systems-in-vehicles-and-drivers-liability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49C9F2">
      <w:pPr>
        <w:numPr>
          <w:ilvl w:val="0"/>
          <w:numId w:val="4"/>
        </w:numPr>
        <w:spacing w:after="210" w:line="360" w:lineRule="auto"/>
      </w:pPr>
      <w:bookmarkStart w:id="231" w:name="fn16"/>
      <w:bookmarkEnd w:id="231"/>
      <w:r>
        <w:fldChar w:fldCharType="begin"/>
      </w:r>
      <w:r>
        <w:instrText xml:space="preserve"> HYPERLINK "https://ink.library.smu.edu.sg/context/sol_research/article/5327/viewcontent/2020_Report_on_the_Attribution_of_Civil_Liability_for_Accidents_Involving_Autonomous_Cars__1_.pdf" \h </w:instrText>
      </w:r>
      <w:r>
        <w:fldChar w:fldCharType="separate"/>
      </w:r>
      <w:r>
        <w:rPr>
          <w:rFonts w:ascii="inter" w:hAnsi="inter" w:eastAsia="inter" w:cs="inter"/>
          <w:color w:val="000000"/>
          <w:sz w:val="18"/>
          <w:u w:val="single"/>
        </w:rPr>
        <w:t>https://ink.library.smu.edu.sg/context/sol_research/article/5327/viewcontent/2020_Report_on_the_Attribution_of_Civil_Liability_for_Accidents_Involving_Autonomous_Cars__1_.pdf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BD4669">
      <w:pPr>
        <w:numPr>
          <w:ilvl w:val="0"/>
          <w:numId w:val="4"/>
        </w:numPr>
        <w:spacing w:after="210" w:line="360" w:lineRule="auto"/>
      </w:pPr>
      <w:bookmarkStart w:id="232" w:name="fn17"/>
      <w:bookmarkEnd w:id="232"/>
      <w:r>
        <w:fldChar w:fldCharType="begin"/>
      </w:r>
      <w:r>
        <w:instrText xml:space="preserve"> HYPERLINK "https://www.reuters.com/legal/litigation/tesla-ordered-by-florida-jury-pay-243-million-fatal-autopilot-crash-2025-08-01/" \h </w:instrText>
      </w:r>
      <w:r>
        <w:fldChar w:fldCharType="separate"/>
      </w:r>
      <w:r>
        <w:rPr>
          <w:rFonts w:ascii="inter" w:hAnsi="inter" w:eastAsia="inter" w:cs="inter"/>
          <w:color w:val="000000"/>
          <w:sz w:val="18"/>
          <w:u w:val="single"/>
        </w:rPr>
        <w:t>https://www.reuters.com/legal/litigation/tesla-ordered-by-florida-jury-pay-243-million-fatal-autopilot-crash-2025-08-01/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2BB915">
      <w:pPr>
        <w:numPr>
          <w:ilvl w:val="0"/>
          <w:numId w:val="4"/>
        </w:numPr>
        <w:spacing w:after="210" w:line="360" w:lineRule="auto"/>
      </w:pPr>
      <w:bookmarkStart w:id="233" w:name="fn18"/>
      <w:bookmarkEnd w:id="233"/>
      <w:r>
        <w:fldChar w:fldCharType="begin"/>
      </w:r>
      <w:r>
        <w:instrText xml:space="preserve"> HYPERLINK "https://www.nhtsa.gov/sites/nhtsa.gov/files/2022-03/NCAP-ADAS-RFC-03-03-2022-web.pdf" \h </w:instrText>
      </w:r>
      <w:r>
        <w:fldChar w:fldCharType="separate"/>
      </w:r>
      <w:r>
        <w:rPr>
          <w:rFonts w:ascii="inter" w:hAnsi="inter" w:eastAsia="inter" w:cs="inter"/>
          <w:color w:val="000000"/>
          <w:sz w:val="18"/>
          <w:u w:val="single"/>
        </w:rPr>
        <w:t>https://www.nhtsa.gov/sites/nhtsa.gov/files/2022-03/NCAP-ADAS-RFC-03-03-2022-web.pdf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5318BE">
      <w:pPr>
        <w:numPr>
          <w:ilvl w:val="0"/>
          <w:numId w:val="4"/>
        </w:numPr>
        <w:spacing w:after="210" w:line="360" w:lineRule="auto"/>
      </w:pPr>
      <w:bookmarkStart w:id="234" w:name="fn19"/>
      <w:bookmarkEnd w:id="234"/>
      <w:r>
        <w:fldChar w:fldCharType="begin"/>
      </w:r>
      <w:r>
        <w:instrText xml:space="preserve"> HYPERLINK "https://www.shb.com/-/media/files/professionals/l/lawhgrant/cdjul20-reprintshookglaw.pdf?rev=9ee08cb3114944178aa567db7441a672" \h </w:instrText>
      </w:r>
      <w:r>
        <w:fldChar w:fldCharType="separate"/>
      </w:r>
      <w:r>
        <w:rPr>
          <w:rFonts w:ascii="inter" w:hAnsi="inter" w:eastAsia="inter" w:cs="inter"/>
          <w:color w:val="000000"/>
          <w:sz w:val="18"/>
          <w:u w:val="single"/>
        </w:rPr>
        <w:t>https://www.shb.com/-/media/files/professionals/l/lawhgrant/cdjul20-reprintshookglaw.pdf?rev=9ee08cb3114944178aa567db7441a672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7967BF">
      <w:pPr>
        <w:numPr>
          <w:ilvl w:val="0"/>
          <w:numId w:val="4"/>
        </w:numPr>
        <w:spacing w:after="210" w:line="360" w:lineRule="auto"/>
      </w:pPr>
      <w:bookmarkStart w:id="235" w:name="fn20"/>
      <w:bookmarkEnd w:id="235"/>
      <w:r>
        <w:fldChar w:fldCharType="begin"/>
      </w:r>
      <w:r>
        <w:instrText xml:space="preserve"> HYPERLINK "https://dewesoft.com/blog/adas-standards-and-adas-safety-protocols" \h </w:instrText>
      </w:r>
      <w:r>
        <w:fldChar w:fldCharType="separate"/>
      </w:r>
      <w:r>
        <w:rPr>
          <w:rFonts w:ascii="inter" w:hAnsi="inter" w:eastAsia="inter" w:cs="inter"/>
          <w:color w:val="000000"/>
          <w:sz w:val="18"/>
          <w:u w:val="single"/>
        </w:rPr>
        <w:t>https://dewesoft.com/blog/adas-standards-and-adas-safety-protocols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8DAC2C">
      <w:pPr>
        <w:numPr>
          <w:ilvl w:val="0"/>
          <w:numId w:val="4"/>
        </w:numPr>
        <w:spacing w:after="210" w:line="360" w:lineRule="auto"/>
      </w:pPr>
      <w:bookmarkStart w:id="236" w:name="fn21"/>
      <w:bookmarkEnd w:id="236"/>
      <w:r>
        <w:fldChar w:fldCharType="begin"/>
      </w:r>
      <w:r>
        <w:instrText xml:space="preserve"> HYPERLINK "https://www.linkedin.com/pulse/simple-guide-navigating-global-standards-adas-animesh-sarkar" \h </w:instrText>
      </w:r>
      <w:r>
        <w:fldChar w:fldCharType="separate"/>
      </w:r>
      <w:r>
        <w:rPr>
          <w:rFonts w:ascii="inter" w:hAnsi="inter" w:eastAsia="inter" w:cs="inter"/>
          <w:color w:val="000000"/>
          <w:sz w:val="18"/>
          <w:u w:val="single"/>
        </w:rPr>
        <w:t>https://www.linkedin.com/pulse/simple-guide-navigating-global-standards-adas-animesh-sarkar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6C5C3B">
      <w:pPr>
        <w:numPr>
          <w:ilvl w:val="0"/>
          <w:numId w:val="4"/>
        </w:numPr>
        <w:spacing w:after="210" w:line="360" w:lineRule="auto"/>
      </w:pPr>
      <w:bookmarkStart w:id="237" w:name="fn22"/>
      <w:bookmarkEnd w:id="237"/>
      <w:r>
        <w:fldChar w:fldCharType="begin"/>
      </w:r>
      <w:r>
        <w:instrText xml:space="preserve"> HYPERLINK "https://auto2xtech.com/regulation-level-3-autonomous-driving-2021/" \h </w:instrText>
      </w:r>
      <w:r>
        <w:fldChar w:fldCharType="separate"/>
      </w:r>
      <w:r>
        <w:rPr>
          <w:rFonts w:ascii="inter" w:hAnsi="inter" w:eastAsia="inter" w:cs="inter"/>
          <w:color w:val="000000"/>
          <w:sz w:val="18"/>
          <w:u w:val="single"/>
        </w:rPr>
        <w:t>https://auto2xtech.com/regulation-level-3-autonomous-driving-2021/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2CA0F25">
      <w:pPr>
        <w:numPr>
          <w:ilvl w:val="0"/>
          <w:numId w:val="4"/>
        </w:numPr>
        <w:spacing w:after="210" w:line="360" w:lineRule="auto"/>
      </w:pPr>
      <w:bookmarkStart w:id="238" w:name="fn23"/>
      <w:bookmarkEnd w:id="238"/>
      <w:r>
        <w:fldChar w:fldCharType="begin"/>
      </w:r>
      <w:r>
        <w:instrText xml:space="preserve"> HYPERLINK "https://unece.org/media/press/368227" \h </w:instrText>
      </w:r>
      <w:r>
        <w:fldChar w:fldCharType="separate"/>
      </w:r>
      <w:r>
        <w:rPr>
          <w:rFonts w:ascii="inter" w:hAnsi="inter" w:eastAsia="inter" w:cs="inter"/>
          <w:color w:val="000000"/>
          <w:sz w:val="18"/>
          <w:u w:val="single"/>
        </w:rPr>
        <w:t>https://unece.org/media/press/368227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B1D894">
      <w:pPr>
        <w:numPr>
          <w:ilvl w:val="0"/>
          <w:numId w:val="4"/>
        </w:numPr>
        <w:spacing w:after="210" w:line="360" w:lineRule="auto"/>
      </w:pPr>
      <w:bookmarkStart w:id="239" w:name="fn24"/>
      <w:bookmarkEnd w:id="239"/>
      <w:r>
        <w:fldChar w:fldCharType="begin"/>
      </w:r>
      <w:r>
        <w:instrText xml:space="preserve"> HYPERLINK "https://unece.org/sites/default/files/2023-12/R157e.pdf" \h </w:instrText>
      </w:r>
      <w:r>
        <w:fldChar w:fldCharType="separate"/>
      </w:r>
      <w:r>
        <w:rPr>
          <w:rFonts w:ascii="inter" w:hAnsi="inter" w:eastAsia="inter" w:cs="inter"/>
          <w:color w:val="000000"/>
          <w:sz w:val="18"/>
          <w:u w:val="single"/>
        </w:rPr>
        <w:t>https://unece.org/sites/default/files/2023-12/R157e.pdf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C41138">
      <w:pPr>
        <w:numPr>
          <w:ilvl w:val="0"/>
          <w:numId w:val="4"/>
        </w:numPr>
        <w:spacing w:after="210" w:line="360" w:lineRule="auto"/>
      </w:pPr>
      <w:bookmarkStart w:id="240" w:name="fn25"/>
      <w:bookmarkEnd w:id="240"/>
      <w:r>
        <w:fldChar w:fldCharType="begin"/>
      </w:r>
      <w:r>
        <w:instrText xml:space="preserve"> HYPERLINK "https://www.reedsmith.com/articles/the-new-eu-product-liability-key-implications-autonomous-vehicle/" \h </w:instrText>
      </w:r>
      <w:r>
        <w:fldChar w:fldCharType="separate"/>
      </w:r>
      <w:r>
        <w:rPr>
          <w:rFonts w:ascii="inter" w:hAnsi="inter" w:eastAsia="inter" w:cs="inter"/>
          <w:color w:val="000000"/>
          <w:sz w:val="18"/>
          <w:u w:val="single"/>
        </w:rPr>
        <w:t>https://www.reedsmith.com/articles/the-new-eu-product-liability-key-implications-autonomous-vehicle/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DC2FBA">
      <w:pPr>
        <w:numPr>
          <w:ilvl w:val="0"/>
          <w:numId w:val="4"/>
        </w:numPr>
        <w:spacing w:after="210" w:line="360" w:lineRule="auto"/>
      </w:pPr>
      <w:bookmarkStart w:id="241" w:name="fn26"/>
      <w:bookmarkEnd w:id="241"/>
      <w:r>
        <w:fldChar w:fldCharType="begin"/>
      </w:r>
      <w:r>
        <w:instrText xml:space="preserve"> HYPERLINK "https://www.iadclaw.org/assets/1/6/8.1_-_Driver_Assistance_Safety_Technology.pdf" \h </w:instrText>
      </w:r>
      <w:r>
        <w:fldChar w:fldCharType="separate"/>
      </w:r>
      <w:r>
        <w:rPr>
          <w:rFonts w:ascii="inter" w:hAnsi="inter" w:eastAsia="inter" w:cs="inter"/>
          <w:color w:val="000000"/>
          <w:sz w:val="18"/>
          <w:u w:val="single"/>
        </w:rPr>
        <w:t>https://www.iadclaw.org/assets/1/6/8.1_-_Driver_Assistance_Safety_Technology.pdf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B3A935">
      <w:pPr>
        <w:numPr>
          <w:ilvl w:val="0"/>
          <w:numId w:val="4"/>
        </w:numPr>
        <w:spacing w:after="210" w:line="360" w:lineRule="auto"/>
      </w:pPr>
      <w:bookmarkStart w:id="242" w:name="fn27"/>
      <w:bookmarkEnd w:id="242"/>
      <w:r>
        <w:fldChar w:fldCharType="begin"/>
      </w:r>
      <w:r>
        <w:instrText xml:space="preserve"> HYPERLINK "https://lowetriallawyers.com/landmark-tesla-wrongful-death-settlement-things-to-know/" \h </w:instrText>
      </w:r>
      <w:r>
        <w:fldChar w:fldCharType="separate"/>
      </w:r>
      <w:r>
        <w:rPr>
          <w:rFonts w:ascii="inter" w:hAnsi="inter" w:eastAsia="inter" w:cs="inter"/>
          <w:color w:val="000000"/>
          <w:sz w:val="18"/>
          <w:u w:val="single"/>
        </w:rPr>
        <w:t>https://lowetriallawyers.com/landmark-tesla-wrongful-death-settlement-things-to-know/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BC2085">
      <w:pPr>
        <w:numPr>
          <w:ilvl w:val="0"/>
          <w:numId w:val="4"/>
        </w:numPr>
        <w:spacing w:after="210" w:line="360" w:lineRule="auto"/>
      </w:pPr>
      <w:bookmarkStart w:id="243" w:name="fn28"/>
      <w:bookmarkEnd w:id="243"/>
      <w:r>
        <w:fldChar w:fldCharType="begin"/>
      </w:r>
      <w:r>
        <w:instrText xml:space="preserve"> HYPERLINK "https://blog.ansi.org/ansi/sae-levels-driving-automation-j-3016-2021/" \h </w:instrText>
      </w:r>
      <w:r>
        <w:fldChar w:fldCharType="separate"/>
      </w:r>
      <w:r>
        <w:rPr>
          <w:rFonts w:ascii="inter" w:hAnsi="inter" w:eastAsia="inter" w:cs="inter"/>
          <w:color w:val="000000"/>
          <w:sz w:val="18"/>
          <w:u w:val="single"/>
        </w:rPr>
        <w:t>https://blog.ansi.org/ansi/sae-levels-driving-automation-j-3016-2021/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863E7F">
      <w:pPr>
        <w:numPr>
          <w:ilvl w:val="0"/>
          <w:numId w:val="4"/>
        </w:numPr>
        <w:spacing w:after="210" w:line="360" w:lineRule="auto"/>
      </w:pPr>
      <w:bookmarkStart w:id="244" w:name="fn29"/>
      <w:bookmarkEnd w:id="244"/>
      <w:r>
        <w:fldChar w:fldCharType="begin"/>
      </w:r>
      <w:r>
        <w:instrText xml:space="preserve"> HYPERLINK "https://www.brookings.edu/articles/setting-the-standard-of-liability-for-self-driving-cars/" \h </w:instrText>
      </w:r>
      <w:r>
        <w:fldChar w:fldCharType="separate"/>
      </w:r>
      <w:r>
        <w:rPr>
          <w:rFonts w:ascii="inter" w:hAnsi="inter" w:eastAsia="inter" w:cs="inter"/>
          <w:color w:val="000000"/>
          <w:sz w:val="18"/>
          <w:u w:val="single"/>
        </w:rPr>
        <w:t>https://www.brookings.edu/articles/setting-the-standard-of-liability-for-self-driving-cars/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BC5093">
      <w:pPr>
        <w:numPr>
          <w:ilvl w:val="0"/>
          <w:numId w:val="4"/>
        </w:numPr>
        <w:spacing w:after="210" w:line="360" w:lineRule="auto"/>
      </w:pPr>
      <w:bookmarkStart w:id="245" w:name="fn30"/>
      <w:bookmarkEnd w:id="245"/>
      <w:r>
        <w:fldChar w:fldCharType="begin"/>
      </w:r>
      <w:r>
        <w:instrText xml:space="preserve"> HYPERLINK "https://wiki.unece.org/download/attachments/208536527/ADAS%2022b-04%20(ETSC)%20ADAS%20user%20attentiveness%20report%20final.pdf?api=v2" \h </w:instrText>
      </w:r>
      <w:r>
        <w:fldChar w:fldCharType="separate"/>
      </w:r>
      <w:r>
        <w:rPr>
          <w:rFonts w:ascii="inter" w:hAnsi="inter" w:eastAsia="inter" w:cs="inter"/>
          <w:color w:val="000000"/>
          <w:sz w:val="18"/>
          <w:u w:val="single"/>
        </w:rPr>
        <w:t>https://wiki.unece.org/download/attachments/208536527/ADAS 22b-04 (ETSC) ADAS user attentiveness report final.pdf?api=v2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5E693D">
      <w:pPr>
        <w:numPr>
          <w:ilvl w:val="0"/>
          <w:numId w:val="4"/>
        </w:numPr>
        <w:spacing w:after="210" w:line="360" w:lineRule="auto"/>
      </w:pPr>
      <w:bookmarkStart w:id="246" w:name="fn31"/>
      <w:bookmarkEnd w:id="246"/>
      <w:r>
        <w:fldChar w:fldCharType="begin"/>
      </w:r>
      <w:r>
        <w:instrText xml:space="preserve"> HYPERLINK "http://essay.utwente.nl/96233/1/DOGAN_MA_BMS.pdf" \h </w:instrText>
      </w:r>
      <w:r>
        <w:fldChar w:fldCharType="separate"/>
      </w:r>
      <w:r>
        <w:rPr>
          <w:rFonts w:ascii="inter" w:hAnsi="inter" w:eastAsia="inter" w:cs="inter"/>
          <w:color w:val="000000"/>
          <w:sz w:val="18"/>
          <w:u w:val="single"/>
        </w:rPr>
        <w:t>http://essay.utwente.nl/96233/1/DOGAN_MA_BMS.pdf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F0347E">
      <w:pPr>
        <w:numPr>
          <w:ilvl w:val="0"/>
          <w:numId w:val="4"/>
        </w:numPr>
        <w:spacing w:after="210" w:line="360" w:lineRule="auto"/>
      </w:pPr>
      <w:bookmarkStart w:id="247" w:name="fn32"/>
      <w:bookmarkEnd w:id="247"/>
      <w:r>
        <w:fldChar w:fldCharType="begin"/>
      </w:r>
      <w:r>
        <w:instrText xml:space="preserve"> HYPERLINK "https://www.appliedintuition.com/blog/navigating-dcas-regulations" \h </w:instrText>
      </w:r>
      <w:r>
        <w:fldChar w:fldCharType="separate"/>
      </w:r>
      <w:r>
        <w:rPr>
          <w:rFonts w:ascii="inter" w:hAnsi="inter" w:eastAsia="inter" w:cs="inter"/>
          <w:color w:val="000000"/>
          <w:sz w:val="18"/>
          <w:u w:val="single"/>
        </w:rPr>
        <w:t>https://www.appliedintuition.com/blog/navigating-dcas-regulations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8D670E">
      <w:pPr>
        <w:numPr>
          <w:ilvl w:val="0"/>
          <w:numId w:val="4"/>
        </w:numPr>
        <w:spacing w:after="210" w:line="360" w:lineRule="auto"/>
      </w:pPr>
      <w:bookmarkStart w:id="248" w:name="fn33"/>
      <w:bookmarkEnd w:id="248"/>
      <w:r>
        <w:fldChar w:fldCharType="begin"/>
      </w:r>
      <w:r>
        <w:instrText xml:space="preserve"> HYPERLINK "https://www.wevolver.com/article/next-generation-vehicles-need-safe-human-machine-interfaces" \h </w:instrText>
      </w:r>
      <w:r>
        <w:fldChar w:fldCharType="separate"/>
      </w:r>
      <w:r>
        <w:rPr>
          <w:rFonts w:ascii="inter" w:hAnsi="inter" w:eastAsia="inter" w:cs="inter"/>
          <w:color w:val="000000"/>
          <w:sz w:val="18"/>
          <w:u w:val="single"/>
        </w:rPr>
        <w:t>https://www.wevolver.com/article/next-generation-vehicles-need-safe-human-machine-interfaces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B59100">
      <w:pPr>
        <w:numPr>
          <w:ilvl w:val="0"/>
          <w:numId w:val="4"/>
        </w:numPr>
        <w:spacing w:after="210" w:line="360" w:lineRule="auto"/>
      </w:pPr>
      <w:bookmarkStart w:id="249" w:name="fn34"/>
      <w:bookmarkEnd w:id="249"/>
      <w:r>
        <w:fldChar w:fldCharType="begin"/>
      </w:r>
      <w:r>
        <w:instrText xml:space="preserve"> HYPERLINK "https://auto-sens.com/blog/exploring-the-human-factor-in-adas/" \h </w:instrText>
      </w:r>
      <w:r>
        <w:fldChar w:fldCharType="separate"/>
      </w:r>
      <w:r>
        <w:rPr>
          <w:rFonts w:ascii="inter" w:hAnsi="inter" w:eastAsia="inter" w:cs="inter"/>
          <w:color w:val="000000"/>
          <w:sz w:val="18"/>
          <w:u w:val="single"/>
        </w:rPr>
        <w:t>https://auto-sens.com/blog/exploring-the-human-factor-in-adas/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858FD5">
      <w:pPr>
        <w:numPr>
          <w:ilvl w:val="0"/>
          <w:numId w:val="4"/>
        </w:numPr>
        <w:spacing w:after="210" w:line="360" w:lineRule="auto"/>
      </w:pPr>
      <w:bookmarkStart w:id="250" w:name="fn35"/>
      <w:bookmarkEnd w:id="250"/>
      <w:r>
        <w:fldChar w:fldCharType="begin"/>
      </w:r>
      <w:r>
        <w:instrText xml:space="preserve"> HYPERLINK "https://www.sciencedirect.com/science/article/abs/pii/S1369847825004024" \h </w:instrText>
      </w:r>
      <w:r>
        <w:fldChar w:fldCharType="separate"/>
      </w:r>
      <w:r>
        <w:rPr>
          <w:rFonts w:ascii="inter" w:hAnsi="inter" w:eastAsia="inter" w:cs="inter"/>
          <w:color w:val="000000"/>
          <w:sz w:val="18"/>
          <w:u w:val="single"/>
        </w:rPr>
        <w:t>https://www.sciencedirect.com/science/article/abs/pii/S1369847825004024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66163D">
      <w:pPr>
        <w:numPr>
          <w:ilvl w:val="0"/>
          <w:numId w:val="4"/>
        </w:numPr>
        <w:spacing w:after="210" w:line="360" w:lineRule="auto"/>
      </w:pPr>
      <w:bookmarkStart w:id="251" w:name="fn36"/>
      <w:bookmarkEnd w:id="251"/>
      <w:r>
        <w:fldChar w:fldCharType="begin"/>
      </w:r>
      <w:r>
        <w:instrText xml:space="preserve"> HYPERLINK "https://www.allianz.co.uk/news-and-insight/insight-and-expertise/ensuring-vehicle-safety-the-critical-role-of-adas-recalibration.html" \h </w:instrText>
      </w:r>
      <w:r>
        <w:fldChar w:fldCharType="separate"/>
      </w:r>
      <w:r>
        <w:rPr>
          <w:rFonts w:ascii="inter" w:hAnsi="inter" w:eastAsia="inter" w:cs="inter"/>
          <w:color w:val="000000"/>
          <w:sz w:val="18"/>
          <w:u w:val="single"/>
        </w:rPr>
        <w:t>https://www.allianz.co.uk/news-and-insight/insight-and-expertise/ensuring-vehicle-safety-the-critical-role-of-adas-recalibration.html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05F48B">
      <w:pPr>
        <w:numPr>
          <w:ilvl w:val="0"/>
          <w:numId w:val="4"/>
        </w:numPr>
        <w:spacing w:after="210" w:line="360" w:lineRule="auto"/>
      </w:pPr>
      <w:bookmarkStart w:id="252" w:name="fn37"/>
      <w:bookmarkEnd w:id="252"/>
      <w:r>
        <w:fldChar w:fldCharType="begin"/>
      </w:r>
      <w:r>
        <w:instrText xml:space="preserve"> HYPERLINK "https://testandmeasure.ascentialtech.com/wp-content/uploads/2025/07/ADAS-Collision-Prevention-Whitepaper_V3-1.pdf" \h </w:instrText>
      </w:r>
      <w:r>
        <w:fldChar w:fldCharType="separate"/>
      </w:r>
      <w:r>
        <w:rPr>
          <w:rFonts w:ascii="inter" w:hAnsi="inter" w:eastAsia="inter" w:cs="inter"/>
          <w:color w:val="000000"/>
          <w:sz w:val="18"/>
          <w:u w:val="single"/>
        </w:rPr>
        <w:t>https://testandmeasure.ascentialtech.com/wp-content/uploads/2025/07/ADAS-Collision-Prevention-Whitepaper_V3-1.pdf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5C3ECC">
      <w:pPr>
        <w:numPr>
          <w:ilvl w:val="0"/>
          <w:numId w:val="4"/>
        </w:numPr>
        <w:spacing w:after="210" w:line="360" w:lineRule="auto"/>
      </w:pPr>
      <w:bookmarkStart w:id="253" w:name="fn38"/>
      <w:bookmarkEnd w:id="253"/>
      <w:r>
        <w:fldChar w:fldCharType="begin"/>
      </w:r>
      <w:r>
        <w:instrText xml:space="preserve"> HYPERLINK "https://www.lta.gov.sg/content/ltagov/en/industry_innovations/technologies/autonomous_vehicles.html" \h </w:instrText>
      </w:r>
      <w:r>
        <w:fldChar w:fldCharType="separate"/>
      </w:r>
      <w:r>
        <w:rPr>
          <w:rFonts w:ascii="inter" w:hAnsi="inter" w:eastAsia="inter" w:cs="inter"/>
          <w:color w:val="000000"/>
          <w:sz w:val="18"/>
          <w:u w:val="single"/>
        </w:rPr>
        <w:t>https://www.lta.gov.sg/content/ltagov/en/industry_innovations/technologies/autonomous_vehicles.html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4E5E39">
      <w:pPr>
        <w:numPr>
          <w:ilvl w:val="0"/>
          <w:numId w:val="4"/>
        </w:numPr>
        <w:spacing w:after="210" w:line="360" w:lineRule="auto"/>
      </w:pPr>
      <w:bookmarkStart w:id="254" w:name="fn39"/>
      <w:bookmarkEnd w:id="254"/>
      <w:r>
        <w:fldChar w:fldCharType="begin"/>
      </w:r>
      <w:r>
        <w:instrText xml:space="preserve"> HYPERLINK "https://blog.nus.edu.sg/lawresearch/2024/06/24/autonomous-vehicles-and-insurance-law-principles/" \h </w:instrText>
      </w:r>
      <w:r>
        <w:fldChar w:fldCharType="separate"/>
      </w:r>
      <w:r>
        <w:rPr>
          <w:rFonts w:ascii="inter" w:hAnsi="inter" w:eastAsia="inter" w:cs="inter"/>
          <w:color w:val="000000"/>
          <w:sz w:val="18"/>
          <w:u w:val="single"/>
        </w:rPr>
        <w:t>https://blog.nus.edu.sg/lawresearch/2024/06/24/autonomous-vehicles-and-insurance-law-principles/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92543C">
      <w:pPr>
        <w:numPr>
          <w:ilvl w:val="0"/>
          <w:numId w:val="4"/>
        </w:numPr>
        <w:spacing w:after="210" w:line="360" w:lineRule="auto"/>
      </w:pPr>
      <w:bookmarkStart w:id="255" w:name="fn40"/>
      <w:bookmarkEnd w:id="255"/>
      <w:r>
        <w:fldChar w:fldCharType="begin"/>
      </w:r>
      <w:r>
        <w:instrText xml:space="preserve"> HYPERLINK "https://www.drewnapier.com/DrewNapier/media/DrewNapier/Autonomous-vehicles-in-Singapore-laws-and-liability.pdf" \h </w:instrText>
      </w:r>
      <w:r>
        <w:fldChar w:fldCharType="separate"/>
      </w:r>
      <w:r>
        <w:rPr>
          <w:rFonts w:ascii="inter" w:hAnsi="inter" w:eastAsia="inter" w:cs="inter"/>
          <w:color w:val="000000"/>
          <w:sz w:val="18"/>
          <w:u w:val="single"/>
        </w:rPr>
        <w:t>https://www.drewnapier.com/DrewNapier/media/DrewNapier/Autonomous-vehicles-in-Singapore-laws-and-liability.pdf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097DE4">
      <w:pPr>
        <w:numPr>
          <w:ilvl w:val="0"/>
          <w:numId w:val="4"/>
        </w:numPr>
        <w:spacing w:after="210" w:line="360" w:lineRule="auto"/>
      </w:pPr>
      <w:bookmarkStart w:id="256" w:name="fn41"/>
      <w:bookmarkEnd w:id="256"/>
      <w:r>
        <w:fldChar w:fldCharType="begin"/>
      </w:r>
      <w:r>
        <w:instrText xml:space="preserve"> HYPERLINK "https://www.yicaiglobal.com/news/china-solicits-feedback-on-draft-national-safety-standards-for-l2-driver-assistance-systems" \h </w:instrText>
      </w:r>
      <w:r>
        <w:fldChar w:fldCharType="separate"/>
      </w:r>
      <w:r>
        <w:rPr>
          <w:rFonts w:ascii="inter" w:hAnsi="inter" w:eastAsia="inter" w:cs="inter"/>
          <w:color w:val="000000"/>
          <w:sz w:val="18"/>
          <w:u w:val="single"/>
        </w:rPr>
        <w:t>https://www.yicaiglobal.com/news/china-solicits-feedback-on-draft-national-safety-standards-for-l2-driver-assistance-systems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B88F65">
      <w:pPr>
        <w:numPr>
          <w:ilvl w:val="0"/>
          <w:numId w:val="4"/>
        </w:numPr>
        <w:spacing w:after="210" w:line="360" w:lineRule="auto"/>
      </w:pPr>
      <w:bookmarkStart w:id="257" w:name="fn42"/>
      <w:bookmarkEnd w:id="257"/>
      <w:r>
        <w:fldChar w:fldCharType="begin"/>
      </w:r>
      <w:r>
        <w:instrText xml:space="preserve"> HYPERLINK "https://stokesstemle.com/car-accident-lawyer/adas-and-car-accident-liability-what-you-need-to-know/" \h </w:instrText>
      </w:r>
      <w:r>
        <w:fldChar w:fldCharType="separate"/>
      </w:r>
      <w:r>
        <w:rPr>
          <w:rFonts w:ascii="inter" w:hAnsi="inter" w:eastAsia="inter" w:cs="inter"/>
          <w:color w:val="000000"/>
          <w:sz w:val="18"/>
          <w:u w:val="single"/>
        </w:rPr>
        <w:t>https://stokesstemle.com/car-accident-lawyer/adas-and-car-accident-liability-what-you-need-to-know/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4A401F">
      <w:pPr>
        <w:numPr>
          <w:ilvl w:val="0"/>
          <w:numId w:val="4"/>
        </w:numPr>
        <w:spacing w:after="210" w:line="360" w:lineRule="auto"/>
      </w:pPr>
      <w:bookmarkStart w:id="258" w:name="fn43"/>
      <w:bookmarkEnd w:id="258"/>
      <w:r>
        <w:fldChar w:fldCharType="begin"/>
      </w:r>
      <w:r>
        <w:instrText xml:space="preserve"> HYPERLINK "https://journals.sagepub.com/doi/10.3233/FRL-200001" \h </w:instrText>
      </w:r>
      <w:r>
        <w:fldChar w:fldCharType="separate"/>
      </w:r>
      <w:r>
        <w:rPr>
          <w:rFonts w:ascii="inter" w:hAnsi="inter" w:eastAsia="inter" w:cs="inter"/>
          <w:color w:val="000000"/>
          <w:sz w:val="18"/>
          <w:u w:val="single"/>
        </w:rPr>
        <w:t>https://journals.sagepub.com/doi/10.3233/FRL-200001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DB4326">
      <w:pPr>
        <w:numPr>
          <w:ilvl w:val="0"/>
          <w:numId w:val="4"/>
        </w:numPr>
        <w:spacing w:after="210" w:line="360" w:lineRule="auto"/>
      </w:pPr>
      <w:bookmarkStart w:id="259" w:name="fn44"/>
      <w:bookmarkEnd w:id="259"/>
      <w:r>
        <w:fldChar w:fldCharType="begin"/>
      </w:r>
      <w:r>
        <w:instrText xml:space="preserve"> HYPERLINK "https://www.adasfind.com/post8" \h </w:instrText>
      </w:r>
      <w:r>
        <w:fldChar w:fldCharType="separate"/>
      </w:r>
      <w:r>
        <w:rPr>
          <w:rFonts w:ascii="inter" w:hAnsi="inter" w:eastAsia="inter" w:cs="inter"/>
          <w:color w:val="000000"/>
          <w:sz w:val="18"/>
          <w:u w:val="single"/>
        </w:rPr>
        <w:t>https://www.adasfind.com/post8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7E7EBA">
      <w:pPr>
        <w:numPr>
          <w:ilvl w:val="0"/>
          <w:numId w:val="4"/>
        </w:numPr>
        <w:spacing w:after="210" w:line="360" w:lineRule="auto"/>
      </w:pPr>
      <w:bookmarkStart w:id="260" w:name="fn45"/>
      <w:bookmarkEnd w:id="260"/>
      <w:r>
        <w:fldChar w:fldCharType="begin"/>
      </w:r>
      <w:r>
        <w:instrText xml:space="preserve"> HYPERLINK "https://dorleco.com/human-machine-interaction-in-adas/" \h </w:instrText>
      </w:r>
      <w:r>
        <w:fldChar w:fldCharType="separate"/>
      </w:r>
      <w:r>
        <w:rPr>
          <w:rFonts w:ascii="inter" w:hAnsi="inter" w:eastAsia="inter" w:cs="inter"/>
          <w:color w:val="000000"/>
          <w:sz w:val="18"/>
          <w:u w:val="single"/>
        </w:rPr>
        <w:t>https://dorleco.com/human-machine-interaction-in-adas/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8F2C80">
      <w:pPr>
        <w:numPr>
          <w:ilvl w:val="0"/>
          <w:numId w:val="4"/>
        </w:numPr>
        <w:spacing w:after="210" w:line="360" w:lineRule="auto"/>
      </w:pPr>
      <w:bookmarkStart w:id="261" w:name="fn46"/>
      <w:bookmarkEnd w:id="261"/>
      <w:r>
        <w:fldChar w:fldCharType="begin"/>
      </w:r>
      <w:r>
        <w:instrText xml:space="preserve"> HYPERLINK "https://dewesoft.com/blog/what-is-adas" \h </w:instrText>
      </w:r>
      <w:r>
        <w:fldChar w:fldCharType="separate"/>
      </w:r>
      <w:r>
        <w:rPr>
          <w:rFonts w:ascii="inter" w:hAnsi="inter" w:eastAsia="inter" w:cs="inter"/>
          <w:color w:val="000000"/>
          <w:sz w:val="18"/>
          <w:u w:val="single"/>
        </w:rPr>
        <w:t>https://dewesoft.com/blog/what-is-adas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F1736C">
      <w:pPr>
        <w:numPr>
          <w:ilvl w:val="0"/>
          <w:numId w:val="4"/>
        </w:numPr>
        <w:spacing w:after="210" w:line="360" w:lineRule="auto"/>
      </w:pPr>
      <w:bookmarkStart w:id="262" w:name="fn47"/>
      <w:bookmarkEnd w:id="262"/>
      <w:r>
        <w:fldChar w:fldCharType="begin"/>
      </w:r>
      <w:r>
        <w:instrText xml:space="preserve"> HYPERLINK "https://index.mirasmart.com/27esv/PDFfiles/Session%208%20Oral.pdf" \h </w:instrText>
      </w:r>
      <w:r>
        <w:fldChar w:fldCharType="separate"/>
      </w:r>
      <w:r>
        <w:rPr>
          <w:rFonts w:ascii="inter" w:hAnsi="inter" w:eastAsia="inter" w:cs="inter"/>
          <w:color w:val="000000"/>
          <w:sz w:val="18"/>
          <w:u w:val="single"/>
        </w:rPr>
        <w:t>https://index.mirasmart.com/27esv/PDFfiles/Session 8 Oral.pdf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502999">
      <w:pPr>
        <w:numPr>
          <w:ilvl w:val="0"/>
          <w:numId w:val="4"/>
        </w:numPr>
        <w:spacing w:after="210" w:line="360" w:lineRule="auto"/>
      </w:pPr>
      <w:bookmarkStart w:id="263" w:name="fn48"/>
      <w:bookmarkEnd w:id="263"/>
      <w:r>
        <w:fldChar w:fldCharType="begin"/>
      </w:r>
      <w:r>
        <w:instrText xml:space="preserve"> HYPERLINK "https://www.unece.org/fileadmin/DAM/trans/doc/2011/wp29/ITS-19-07e.pdf" \h </w:instrText>
      </w:r>
      <w:r>
        <w:fldChar w:fldCharType="separate"/>
      </w:r>
      <w:r>
        <w:rPr>
          <w:rFonts w:ascii="inter" w:hAnsi="inter" w:eastAsia="inter" w:cs="inter"/>
          <w:color w:val="000000"/>
          <w:sz w:val="18"/>
          <w:u w:val="single"/>
        </w:rPr>
        <w:t>https://www.unece.org/fileadmin/DAM/trans/doc/2011/wp29/ITS-19-07e.pdf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43C78C">
      <w:pPr>
        <w:numPr>
          <w:ilvl w:val="0"/>
          <w:numId w:val="4"/>
        </w:numPr>
        <w:spacing w:after="210" w:line="360" w:lineRule="auto"/>
      </w:pPr>
      <w:bookmarkStart w:id="264" w:name="fn49"/>
      <w:bookmarkEnd w:id="264"/>
      <w:r>
        <w:fldChar w:fldCharType="begin"/>
      </w:r>
      <w:r>
        <w:instrText xml:space="preserve"> HYPERLINK "https://www.acea.auto/files/20090831_Code_of_Practice_ADAS.pdf" \h </w:instrText>
      </w:r>
      <w:r>
        <w:fldChar w:fldCharType="separate"/>
      </w:r>
      <w:r>
        <w:rPr>
          <w:rFonts w:ascii="inter" w:hAnsi="inter" w:eastAsia="inter" w:cs="inter"/>
          <w:color w:val="000000"/>
          <w:sz w:val="18"/>
          <w:u w:val="single"/>
        </w:rPr>
        <w:t>https://www.acea.auto/files/20090831_Code_of_Practice_ADAS.pdf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04848B">
      <w:pPr>
        <w:numPr>
          <w:ilvl w:val="0"/>
          <w:numId w:val="4"/>
        </w:numPr>
        <w:spacing w:after="210" w:line="360" w:lineRule="auto"/>
      </w:pPr>
      <w:bookmarkStart w:id="265" w:name="fn50"/>
      <w:bookmarkEnd w:id="265"/>
      <w:r>
        <w:fldChar w:fldCharType="begin"/>
      </w:r>
      <w:r>
        <w:instrText xml:space="preserve"> HYPERLINK "https://www.wshblaw.com/publication-navigating-liability-in-the-age-of-autonomous-vehicles" \h </w:instrText>
      </w:r>
      <w:r>
        <w:fldChar w:fldCharType="separate"/>
      </w:r>
      <w:r>
        <w:rPr>
          <w:rFonts w:ascii="inter" w:hAnsi="inter" w:eastAsia="inter" w:cs="inter"/>
          <w:color w:val="000000"/>
          <w:sz w:val="18"/>
          <w:u w:val="single"/>
        </w:rPr>
        <w:t>https://www.wshblaw.com/publication-navigating-liability-in-the-age-of-autonomous-vehicles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76A327">
      <w:pPr>
        <w:numPr>
          <w:ilvl w:val="0"/>
          <w:numId w:val="4"/>
        </w:numPr>
        <w:spacing w:after="210" w:line="360" w:lineRule="auto"/>
      </w:pPr>
      <w:bookmarkStart w:id="266" w:name="fn51"/>
      <w:bookmarkEnd w:id="266"/>
      <w:r>
        <w:fldChar w:fldCharType="begin"/>
      </w:r>
      <w:r>
        <w:instrText xml:space="preserve"> HYPERLINK "https://www.wshblaw.com/publication-benavides-v-tesla-a-defense-side-perspective-on-floridas-landmark-autopilot-verdict" \h </w:instrText>
      </w:r>
      <w:r>
        <w:fldChar w:fldCharType="separate"/>
      </w:r>
      <w:r>
        <w:rPr>
          <w:rFonts w:ascii="inter" w:hAnsi="inter" w:eastAsia="inter" w:cs="inter"/>
          <w:color w:val="000000"/>
          <w:sz w:val="18"/>
          <w:u w:val="single"/>
        </w:rPr>
        <w:t>https://www.wshblaw.com/publication-benavides-v-tesla-a-defense-side-perspective-on-floridas-landmark-autopilot-verdict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9345BB">
      <w:pPr>
        <w:numPr>
          <w:ilvl w:val="0"/>
          <w:numId w:val="4"/>
        </w:numPr>
        <w:spacing w:after="210" w:line="360" w:lineRule="auto"/>
      </w:pPr>
      <w:bookmarkStart w:id="267" w:name="fn52"/>
      <w:bookmarkEnd w:id="267"/>
      <w:r>
        <w:fldChar w:fldCharType="begin"/>
      </w:r>
      <w:r>
        <w:instrText xml:space="preserve"> HYPERLINK "https://publications.lib.chalmers.se/records/fulltext/254961/254961.pdf" \h </w:instrText>
      </w:r>
      <w:r>
        <w:fldChar w:fldCharType="separate"/>
      </w:r>
      <w:r>
        <w:rPr>
          <w:rFonts w:ascii="inter" w:hAnsi="inter" w:eastAsia="inter" w:cs="inter"/>
          <w:color w:val="000000"/>
          <w:sz w:val="18"/>
          <w:u w:val="single"/>
        </w:rPr>
        <w:t>https://publications.lib.chalmers.se/records/fulltext/254961/254961.pdf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4D4838">
      <w:pPr>
        <w:numPr>
          <w:ilvl w:val="0"/>
          <w:numId w:val="4"/>
        </w:numPr>
        <w:spacing w:after="210" w:line="360" w:lineRule="auto"/>
      </w:pPr>
      <w:bookmarkStart w:id="268" w:name="fn53"/>
      <w:bookmarkEnd w:id="268"/>
      <w:r>
        <w:fldChar w:fldCharType="begin"/>
      </w:r>
      <w:r>
        <w:instrText xml:space="preserve"> HYPERLINK "https://wiki.unece.org/download/attachments/255656457/ADAS%2034-02%20(Secretary)%20Master%20document%20(outcome%2033rd%20Session)%20Rev2.docx?api=v2" \h </w:instrText>
      </w:r>
      <w:r>
        <w:fldChar w:fldCharType="separate"/>
      </w:r>
      <w:r>
        <w:rPr>
          <w:rFonts w:ascii="inter" w:hAnsi="inter" w:eastAsia="inter" w:cs="inter"/>
          <w:color w:val="000000"/>
          <w:sz w:val="18"/>
          <w:u w:val="single"/>
        </w:rPr>
        <w:t>https://wiki.unece.org/download/attachments/255656457/ADAS 34-02 (Secretary) Master document (outcome 33rd Session) Rev2.docx?api=v2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1A291C">
      <w:pPr>
        <w:numPr>
          <w:ilvl w:val="0"/>
          <w:numId w:val="4"/>
        </w:numPr>
        <w:spacing w:after="210" w:line="360" w:lineRule="auto"/>
      </w:pPr>
      <w:bookmarkStart w:id="269" w:name="fn54"/>
      <w:bookmarkEnd w:id="269"/>
      <w:r>
        <w:fldChar w:fldCharType="begin"/>
      </w:r>
      <w:r>
        <w:instrText xml:space="preserve"> HYPERLINK "https://www.tandfonline.com/doi/full/10.1080/1463922X.2018.1528484" \h </w:instrText>
      </w:r>
      <w:r>
        <w:fldChar w:fldCharType="separate"/>
      </w:r>
      <w:r>
        <w:rPr>
          <w:rFonts w:ascii="inter" w:hAnsi="inter" w:eastAsia="inter" w:cs="inter"/>
          <w:color w:val="000000"/>
          <w:sz w:val="18"/>
          <w:u w:val="single"/>
        </w:rPr>
        <w:t>https://www.tandfonline.com/doi/full/10.1080/1463922X.2018.1528484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A92F23">
      <w:pPr>
        <w:numPr>
          <w:ilvl w:val="0"/>
          <w:numId w:val="4"/>
        </w:numPr>
        <w:spacing w:after="210" w:line="360" w:lineRule="auto"/>
      </w:pPr>
      <w:bookmarkStart w:id="270" w:name="fn55"/>
      <w:bookmarkEnd w:id="270"/>
      <w:r>
        <w:fldChar w:fldCharType="begin"/>
      </w:r>
      <w:r>
        <w:instrText xml:space="preserve"> HYPERLINK "https://www.lwmpersonalinjurylawyers.com/blog/impact-of-advanced-driver-assistance-systems-adas-on-florida-accident-claims/" \h </w:instrText>
      </w:r>
      <w:r>
        <w:fldChar w:fldCharType="separate"/>
      </w:r>
      <w:r>
        <w:rPr>
          <w:rFonts w:ascii="inter" w:hAnsi="inter" w:eastAsia="inter" w:cs="inter"/>
          <w:color w:val="000000"/>
          <w:sz w:val="18"/>
          <w:u w:val="single"/>
        </w:rPr>
        <w:t>https://www.lwmpersonalinjurylawyers.com/blog/impact-of-advanced-driver-assistance-systems-adas-on-florida-accident-claims/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35DCDF">
      <w:pPr>
        <w:numPr>
          <w:ilvl w:val="0"/>
          <w:numId w:val="4"/>
        </w:numPr>
        <w:spacing w:after="210" w:line="360" w:lineRule="auto"/>
      </w:pPr>
      <w:bookmarkStart w:id="271" w:name="fn56"/>
      <w:bookmarkEnd w:id="271"/>
      <w:r>
        <w:fldChar w:fldCharType="begin"/>
      </w:r>
      <w:r>
        <w:instrText xml:space="preserve"> HYPERLINK "https://journalsonline.academypublishing.org.sg/Journals/Singapore-Academy-of-Law-Journal/Current-Issue/ctl/eFirstSALPDFJournalView/mid/494/ArticleId/1946/Citation/JournalsOnlinePDF" \h </w:instrText>
      </w:r>
      <w:r>
        <w:fldChar w:fldCharType="separate"/>
      </w:r>
      <w:r>
        <w:rPr>
          <w:rFonts w:ascii="inter" w:hAnsi="inter" w:eastAsia="inter" w:cs="inter"/>
          <w:color w:val="000000"/>
          <w:sz w:val="18"/>
          <w:u w:val="single"/>
        </w:rPr>
        <w:t>https://journalsonline.academypublishing.org.sg/Journals/Singapore-Academy-of-Law-Journal/Current-Issue/ctl/eFirstSALPDFJournalView/mid/494/ArticleId/1946/Citation/JournalsOnlinePDF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A407CC">
      <w:pPr>
        <w:numPr>
          <w:ilvl w:val="0"/>
          <w:numId w:val="4"/>
        </w:numPr>
        <w:spacing w:after="210" w:line="360" w:lineRule="auto"/>
      </w:pPr>
      <w:bookmarkStart w:id="272" w:name="fn57"/>
      <w:bookmarkEnd w:id="272"/>
      <w:r>
        <w:fldChar w:fldCharType="begin"/>
      </w:r>
      <w:r>
        <w:instrText xml:space="preserve"> HYPERLINK "https://www.pioneerpublisher.com/slj/article/download/721/650/755" \h </w:instrText>
      </w:r>
      <w:r>
        <w:fldChar w:fldCharType="separate"/>
      </w:r>
      <w:r>
        <w:rPr>
          <w:rFonts w:ascii="inter" w:hAnsi="inter" w:eastAsia="inter" w:cs="inter"/>
          <w:color w:val="000000"/>
          <w:sz w:val="18"/>
          <w:u w:val="single"/>
        </w:rPr>
        <w:t>https://www.pioneerpublisher.com/slj/article/download/721/650/755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8606C7">
      <w:pPr>
        <w:numPr>
          <w:ilvl w:val="0"/>
          <w:numId w:val="4"/>
        </w:numPr>
        <w:spacing w:after="210" w:line="360" w:lineRule="auto"/>
      </w:pPr>
      <w:bookmarkStart w:id="273" w:name="fn58"/>
      <w:bookmarkEnd w:id="273"/>
      <w:r>
        <w:fldChar w:fldCharType="begin"/>
      </w:r>
      <w:r>
        <w:instrText xml:space="preserve"> HYPERLINK "https://www.hsfkramer.com/insights/2025-09/singapores-autonomous-vehicle-vision-takes-shape" \h </w:instrText>
      </w:r>
      <w:r>
        <w:fldChar w:fldCharType="separate"/>
      </w:r>
      <w:r>
        <w:rPr>
          <w:rFonts w:ascii="inter" w:hAnsi="inter" w:eastAsia="inter" w:cs="inter"/>
          <w:color w:val="000000"/>
          <w:sz w:val="18"/>
          <w:u w:val="single"/>
        </w:rPr>
        <w:t>https://www.hsfkramer.com/insights/2025-09/singapores-autonomous-vehicle-vision-takes-shape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4B92A7">
      <w:pPr>
        <w:numPr>
          <w:ilvl w:val="0"/>
          <w:numId w:val="4"/>
        </w:numPr>
        <w:spacing w:after="210" w:line="360" w:lineRule="auto"/>
      </w:pPr>
      <w:bookmarkStart w:id="274" w:name="fn59"/>
      <w:bookmarkEnd w:id="274"/>
      <w:r>
        <w:fldChar w:fldCharType="begin"/>
      </w:r>
      <w:r>
        <w:instrText xml:space="preserve"> HYPERLINK "https://sal.org.sg/wp-content/uploads/2025/03/Autonomous-Cars-Report-Quick-Guide.pdf" \h </w:instrText>
      </w:r>
      <w:r>
        <w:fldChar w:fldCharType="separate"/>
      </w:r>
      <w:r>
        <w:rPr>
          <w:rFonts w:ascii="inter" w:hAnsi="inter" w:eastAsia="inter" w:cs="inter"/>
          <w:color w:val="000000"/>
          <w:sz w:val="18"/>
          <w:u w:val="single"/>
        </w:rPr>
        <w:t>https://sal.org.sg/wp-content/uploads/2025/03/Autonomous-Cars-Report-Quick-Guide.pdf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33A7ED">
      <w:pPr>
        <w:numPr>
          <w:ilvl w:val="0"/>
          <w:numId w:val="4"/>
        </w:numPr>
        <w:spacing w:after="210" w:line="360" w:lineRule="auto"/>
      </w:pPr>
      <w:bookmarkStart w:id="275" w:name="fn60"/>
      <w:bookmarkEnd w:id="275"/>
      <w:r>
        <w:fldChar w:fldCharType="begin"/>
      </w:r>
      <w:r>
        <w:instrText xml:space="preserve"> HYPERLINK "https://pdfs.semanticscholar.org/c4b3/eb087ceb8e2705949d1397cfda367463f78f.pdf" \h </w:instrText>
      </w:r>
      <w:r>
        <w:fldChar w:fldCharType="separate"/>
      </w:r>
      <w:r>
        <w:rPr>
          <w:rFonts w:ascii="inter" w:hAnsi="inter" w:eastAsia="inter" w:cs="inter"/>
          <w:color w:val="000000"/>
          <w:sz w:val="18"/>
          <w:u w:val="single"/>
        </w:rPr>
        <w:t>https://pdfs.semanticscholar.org/c4b3/eb087ceb8e2705949d1397cfda367463f78f.pdf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DF4F7B">
      <w:pPr>
        <w:numPr>
          <w:ilvl w:val="0"/>
          <w:numId w:val="4"/>
        </w:numPr>
        <w:spacing w:after="210" w:line="360" w:lineRule="auto"/>
      </w:pPr>
      <w:bookmarkStart w:id="276" w:name="fn61"/>
      <w:bookmarkEnd w:id="276"/>
      <w:r>
        <w:fldChar w:fldCharType="begin"/>
      </w:r>
      <w:r>
        <w:instrText xml:space="preserve"> HYPERLINK "https://www.verifiedmarketresearch.com/blog/adas-regulations-and-standards/" \h </w:instrText>
      </w:r>
      <w:r>
        <w:fldChar w:fldCharType="separate"/>
      </w:r>
      <w:r>
        <w:rPr>
          <w:rFonts w:ascii="inter" w:hAnsi="inter" w:eastAsia="inter" w:cs="inter"/>
          <w:color w:val="000000"/>
          <w:sz w:val="18"/>
          <w:u w:val="single"/>
        </w:rPr>
        <w:t>https://www.verifiedmarketresearch.com/blog/adas-regulations-and-standards/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66014F">
      <w:pPr>
        <w:numPr>
          <w:ilvl w:val="0"/>
          <w:numId w:val="4"/>
        </w:numPr>
        <w:spacing w:after="210" w:line="360" w:lineRule="auto"/>
      </w:pPr>
      <w:bookmarkStart w:id="277" w:name="fn62"/>
      <w:bookmarkEnd w:id="277"/>
      <w:r>
        <w:fldChar w:fldCharType="begin"/>
      </w:r>
      <w:r>
        <w:instrText xml:space="preserve"> HYPERLINK "https://www.sciencedirect.com/science/article/abs/pii/S1369847824000147" \h </w:instrText>
      </w:r>
      <w:r>
        <w:fldChar w:fldCharType="separate"/>
      </w:r>
      <w:r>
        <w:rPr>
          <w:rFonts w:ascii="inter" w:hAnsi="inter" w:eastAsia="inter" w:cs="inter"/>
          <w:color w:val="000000"/>
          <w:sz w:val="18"/>
          <w:u w:val="single"/>
        </w:rPr>
        <w:t>https://www.sciencedirect.com/science/article/abs/pii/S1369847824000147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8CAC6B">
      <w:pPr>
        <w:numPr>
          <w:ilvl w:val="0"/>
          <w:numId w:val="4"/>
        </w:numPr>
        <w:spacing w:after="210" w:line="360" w:lineRule="auto"/>
      </w:pPr>
      <w:bookmarkStart w:id="278" w:name="fn63"/>
      <w:bookmarkEnd w:id="278"/>
      <w:r>
        <w:fldChar w:fldCharType="begin"/>
      </w:r>
      <w:r>
        <w:instrText xml:space="preserve"> HYPERLINK "https://neonode.com/newsroom/article/driving-the-future-levels-of-autonomous-vehicles-explained" \h </w:instrText>
      </w:r>
      <w:r>
        <w:fldChar w:fldCharType="separate"/>
      </w:r>
      <w:r>
        <w:rPr>
          <w:rFonts w:ascii="inter" w:hAnsi="inter" w:eastAsia="inter" w:cs="inter"/>
          <w:color w:val="000000"/>
          <w:sz w:val="18"/>
          <w:u w:val="single"/>
        </w:rPr>
        <w:t>https://neonode.com/newsroom/article/driving-the-future-levels-of-autonomous-vehicles-explained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0358E2">
      <w:pPr>
        <w:numPr>
          <w:ilvl w:val="0"/>
          <w:numId w:val="4"/>
        </w:numPr>
        <w:spacing w:after="210" w:line="360" w:lineRule="auto"/>
      </w:pPr>
      <w:bookmarkStart w:id="279" w:name="fn64"/>
      <w:bookmarkEnd w:id="279"/>
      <w:r>
        <w:fldChar w:fldCharType="begin"/>
      </w:r>
      <w:r>
        <w:instrText xml:space="preserve"> HYPERLINK "https://papers.ssrn.com/sol3/Delivery.cfm/ba7c413d-879c-41fb-abc7-154b4090c639-MECA.pdf?abstractid=5398319&amp;mirid=1" \h </w:instrText>
      </w:r>
      <w:r>
        <w:fldChar w:fldCharType="separate"/>
      </w:r>
      <w:r>
        <w:rPr>
          <w:rFonts w:ascii="inter" w:hAnsi="inter" w:eastAsia="inter" w:cs="inter"/>
          <w:color w:val="000000"/>
          <w:sz w:val="18"/>
          <w:u w:val="single"/>
        </w:rPr>
        <w:t>https://papers.ssrn.com/sol3/Delivery.cfm/ba7c413d-879c-41fb-abc7-154b4090c639-MECA.pdf?abstractid=5398319&amp;mirid=1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50C95F">
      <w:pPr>
        <w:numPr>
          <w:ilvl w:val="0"/>
          <w:numId w:val="4"/>
        </w:numPr>
        <w:spacing w:after="210" w:line="360" w:lineRule="auto"/>
      </w:pPr>
      <w:bookmarkStart w:id="280" w:name="fn65"/>
      <w:bookmarkEnd w:id="280"/>
      <w:r>
        <w:fldChar w:fldCharType="begin"/>
      </w:r>
      <w:r>
        <w:instrText xml:space="preserve"> HYPERLINK "https://www.sae.org/articles/level-2-making-automated-driving-profitable-mainstream-sae-ma-06612" \h </w:instrText>
      </w:r>
      <w:r>
        <w:fldChar w:fldCharType="separate"/>
      </w:r>
      <w:r>
        <w:rPr>
          <w:rFonts w:ascii="inter" w:hAnsi="inter" w:eastAsia="inter" w:cs="inter"/>
          <w:color w:val="000000"/>
          <w:sz w:val="18"/>
          <w:u w:val="single"/>
        </w:rPr>
        <w:t>https://www.sae.org/articles/level-2-making-automated-driving-profitable-mainstream-sae-ma-06612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9C1C65">
      <w:pPr>
        <w:numPr>
          <w:ilvl w:val="0"/>
          <w:numId w:val="4"/>
        </w:numPr>
        <w:spacing w:after="210" w:line="360" w:lineRule="auto"/>
      </w:pPr>
      <w:bookmarkStart w:id="281" w:name="fn66"/>
      <w:bookmarkEnd w:id="281"/>
      <w:r>
        <w:fldChar w:fldCharType="begin"/>
      </w:r>
      <w:r>
        <w:instrText xml:space="preserve"> HYPERLINK "https://ojs.srce.hr/index.php/eclic/article/download/38091/18173" \h </w:instrText>
      </w:r>
      <w:r>
        <w:fldChar w:fldCharType="separate"/>
      </w:r>
      <w:r>
        <w:rPr>
          <w:rFonts w:ascii="inter" w:hAnsi="inter" w:eastAsia="inter" w:cs="inter"/>
          <w:color w:val="000000"/>
          <w:sz w:val="18"/>
          <w:u w:val="single"/>
        </w:rPr>
        <w:t>https://ojs.srce.hr/index.php/eclic/article/download/38091/18173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AF0D1C">
      <w:pPr>
        <w:numPr>
          <w:ilvl w:val="0"/>
          <w:numId w:val="4"/>
        </w:numPr>
        <w:spacing w:after="210" w:line="360" w:lineRule="auto"/>
      </w:pPr>
      <w:bookmarkStart w:id="282" w:name="fn67"/>
      <w:bookmarkEnd w:id="282"/>
      <w:r>
        <w:fldChar w:fldCharType="begin"/>
      </w:r>
      <w:r>
        <w:instrText xml:space="preserve"> HYPERLINK "https://www.drivesweden.net/sites/default/files/2022-11/2.-ad-regulation-unece-eu-and-sweden-rise-jenny-lundahl-ds-thematic-safety-ass-ad-regulation-22-11-22.pdf" \h </w:instrText>
      </w:r>
      <w:r>
        <w:fldChar w:fldCharType="separate"/>
      </w:r>
      <w:r>
        <w:rPr>
          <w:rFonts w:ascii="inter" w:hAnsi="inter" w:eastAsia="inter" w:cs="inter"/>
          <w:color w:val="000000"/>
          <w:sz w:val="18"/>
          <w:u w:val="single"/>
        </w:rPr>
        <w:t>https://www.drivesweden.net/sites/default/files/2022-11/2.-ad-regulation-unece-eu-and-sweden-rise-jenny-lundahl-ds-thematic-safety-ass-ad-regulation-22-11-22.pdf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6A8D48">
      <w:pPr>
        <w:numPr>
          <w:ilvl w:val="0"/>
          <w:numId w:val="4"/>
        </w:numPr>
        <w:spacing w:after="210" w:line="360" w:lineRule="auto"/>
      </w:pPr>
      <w:bookmarkStart w:id="283" w:name="fn68"/>
      <w:bookmarkEnd w:id="283"/>
      <w:r>
        <w:fldChar w:fldCharType="begin"/>
      </w:r>
      <w:r>
        <w:instrText xml:space="preserve"> HYPERLINK "https://traton.com/en/newsroom/stories/legal-framework-in-the-eu-driverless-through-europe.html" \h </w:instrText>
      </w:r>
      <w:r>
        <w:fldChar w:fldCharType="separate"/>
      </w:r>
      <w:r>
        <w:rPr>
          <w:rFonts w:ascii="inter" w:hAnsi="inter" w:eastAsia="inter" w:cs="inter"/>
          <w:color w:val="000000"/>
          <w:sz w:val="18"/>
          <w:u w:val="single"/>
        </w:rPr>
        <w:t>https://traton.com/en/newsroom/stories/legal-framework-in-the-eu-driverless-through-europe.html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40A19B">
      <w:pPr>
        <w:numPr>
          <w:ilvl w:val="0"/>
          <w:numId w:val="4"/>
        </w:numPr>
        <w:spacing w:after="210" w:line="360" w:lineRule="auto"/>
      </w:pPr>
      <w:bookmarkStart w:id="284" w:name="fn69"/>
      <w:bookmarkEnd w:id="284"/>
      <w:r>
        <w:fldChar w:fldCharType="begin"/>
      </w:r>
      <w:r>
        <w:instrText xml:space="preserve"> HYPERLINK "https://www.europarl.europa.eu/RegData/etudes/STUD/2018/615635/EPRS_STU(2018)615635_EN.pdf" \h </w:instrText>
      </w:r>
      <w:r>
        <w:fldChar w:fldCharType="separate"/>
      </w:r>
      <w:r>
        <w:rPr>
          <w:rFonts w:ascii="inter" w:hAnsi="inter" w:eastAsia="inter" w:cs="inter"/>
          <w:color w:val="000000"/>
          <w:sz w:val="18"/>
          <w:u w:val="single"/>
        </w:rPr>
        <w:t>https://www.europarl.europa.eu/RegData/etudes/STUD/2018/615635/EPRS_STU(2018)615635_EN.pdf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90BD0F">
      <w:pPr>
        <w:numPr>
          <w:ilvl w:val="0"/>
          <w:numId w:val="4"/>
        </w:numPr>
        <w:spacing w:after="210" w:line="360" w:lineRule="auto"/>
      </w:pPr>
      <w:bookmarkStart w:id="285" w:name="fn70"/>
      <w:bookmarkEnd w:id="285"/>
      <w:r>
        <w:fldChar w:fldCharType="begin"/>
      </w:r>
      <w:r>
        <w:instrText xml:space="preserve"> HYPERLINK "https://unece.org/sites/default/files/2025-03/GRVA-WS06-03e_0.pdf" \h </w:instrText>
      </w:r>
      <w:r>
        <w:fldChar w:fldCharType="separate"/>
      </w:r>
      <w:r>
        <w:rPr>
          <w:rFonts w:ascii="inter" w:hAnsi="inter" w:eastAsia="inter" w:cs="inter"/>
          <w:color w:val="000000"/>
          <w:sz w:val="18"/>
          <w:u w:val="single"/>
        </w:rPr>
        <w:t>https://unece.org/sites/default/files/2025-03/GRVA-WS06-03e_0.pdf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77134E">
      <w:pPr>
        <w:numPr>
          <w:ilvl w:val="0"/>
          <w:numId w:val="4"/>
        </w:numPr>
        <w:spacing w:after="210" w:line="360" w:lineRule="auto"/>
      </w:pPr>
      <w:bookmarkStart w:id="286" w:name="fn71"/>
      <w:bookmarkEnd w:id="286"/>
      <w:r>
        <w:fldChar w:fldCharType="begin"/>
      </w:r>
      <w:r>
        <w:instrText xml:space="preserve"> HYPERLINK "https://www.otobrite.com/news/understanding-un-vehicle-safety-regulations-and-how-sensors-help-vehicles-comply/detail" \h </w:instrText>
      </w:r>
      <w:r>
        <w:fldChar w:fldCharType="separate"/>
      </w:r>
      <w:r>
        <w:rPr>
          <w:rFonts w:ascii="inter" w:hAnsi="inter" w:eastAsia="inter" w:cs="inter"/>
          <w:color w:val="000000"/>
          <w:sz w:val="18"/>
          <w:u w:val="single"/>
        </w:rPr>
        <w:t>https://www.otobrite.com/news/understanding-un-vehicle-safety-regulations-and-how-sensors-help-vehicles-comply/detail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650B00">
      <w:pPr>
        <w:numPr>
          <w:ilvl w:val="0"/>
          <w:numId w:val="4"/>
        </w:numPr>
        <w:spacing w:after="210" w:line="360" w:lineRule="auto"/>
      </w:pPr>
      <w:bookmarkStart w:id="287" w:name="fn72"/>
      <w:bookmarkEnd w:id="287"/>
      <w:r>
        <w:fldChar w:fldCharType="begin"/>
      </w:r>
      <w:r>
        <w:instrText xml:space="preserve"> HYPERLINK "https://www.twobirds.com/en/insights/2024/belgium/how-vehicle-manufacturers-and-their-suppliers-should-prepare-to-comply-with-european-autonomous-and" \h </w:instrText>
      </w:r>
      <w:r>
        <w:fldChar w:fldCharType="separate"/>
      </w:r>
      <w:r>
        <w:rPr>
          <w:rFonts w:ascii="inter" w:hAnsi="inter" w:eastAsia="inter" w:cs="inter"/>
          <w:color w:val="000000"/>
          <w:sz w:val="18"/>
          <w:u w:val="single"/>
        </w:rPr>
        <w:t>https://www.twobirds.com/en/insights/2024/belgium/how-vehicle-manufacturers-and-their-suppliers-should-prepare-to-comply-with-european-autonomous-and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EEFFB6">
      <w:pPr>
        <w:numPr>
          <w:ilvl w:val="0"/>
          <w:numId w:val="4"/>
        </w:numPr>
        <w:spacing w:after="210" w:line="360" w:lineRule="auto"/>
      </w:pPr>
      <w:bookmarkStart w:id="288" w:name="fn73"/>
      <w:bookmarkEnd w:id="288"/>
      <w:r>
        <w:fldChar w:fldCharType="begin"/>
      </w:r>
      <w:r>
        <w:instrText xml:space="preserve"> HYPERLINK "https://tflcar.com/2025/03/how-advanced-driver-assistance-systems-adas-impact-liability/" \h </w:instrText>
      </w:r>
      <w:r>
        <w:fldChar w:fldCharType="separate"/>
      </w:r>
      <w:r>
        <w:rPr>
          <w:rFonts w:ascii="inter" w:hAnsi="inter" w:eastAsia="inter" w:cs="inter"/>
          <w:color w:val="000000"/>
          <w:sz w:val="18"/>
          <w:u w:val="single"/>
        </w:rPr>
        <w:t>https://tflcar.com/2025/03/how-advanced-driver-assistance-systems-adas-impact-liability/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34E876">
      <w:pPr>
        <w:numPr>
          <w:ilvl w:val="0"/>
          <w:numId w:val="4"/>
        </w:numPr>
        <w:spacing w:after="210" w:line="360" w:lineRule="auto"/>
      </w:pPr>
      <w:bookmarkStart w:id="289" w:name="fn74"/>
      <w:bookmarkEnd w:id="289"/>
      <w:r>
        <w:fldChar w:fldCharType="begin"/>
      </w:r>
      <w:r>
        <w:instrText xml:space="preserve"> HYPERLINK "https://www.sciencedirect.com/science/article/pii/S0001457522001798" \h </w:instrText>
      </w:r>
      <w:r>
        <w:fldChar w:fldCharType="separate"/>
      </w:r>
      <w:r>
        <w:rPr>
          <w:rFonts w:ascii="inter" w:hAnsi="inter" w:eastAsia="inter" w:cs="inter"/>
          <w:color w:val="000000"/>
          <w:sz w:val="18"/>
          <w:u w:val="single"/>
        </w:rPr>
        <w:t>https://www.sciencedirect.com/science/article/pii/S0001457522001798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CE79BC">
      <w:pPr>
        <w:numPr>
          <w:ilvl w:val="0"/>
          <w:numId w:val="4"/>
        </w:numPr>
        <w:spacing w:after="210" w:line="360" w:lineRule="auto"/>
      </w:pPr>
      <w:bookmarkStart w:id="290" w:name="fn75"/>
      <w:bookmarkEnd w:id="290"/>
      <w:r>
        <w:fldChar w:fldCharType="begin"/>
      </w:r>
      <w:r>
        <w:instrText xml:space="preserve"> HYPERLINK "https://group.mercedes-benz.com/innovation/case/autonomous/legal-framework.html" \h </w:instrText>
      </w:r>
      <w:r>
        <w:fldChar w:fldCharType="separate"/>
      </w:r>
      <w:r>
        <w:rPr>
          <w:rFonts w:ascii="inter" w:hAnsi="inter" w:eastAsia="inter" w:cs="inter"/>
          <w:color w:val="000000"/>
          <w:sz w:val="18"/>
          <w:u w:val="single"/>
        </w:rPr>
        <w:t>https://group.mercedes-benz.com/innovation/case/autonomous/legal-framework.html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68359F">
      <w:pPr>
        <w:numPr>
          <w:ilvl w:val="0"/>
          <w:numId w:val="4"/>
        </w:numPr>
        <w:spacing w:after="210" w:line="360" w:lineRule="auto"/>
      </w:pPr>
      <w:bookmarkStart w:id="291" w:name="fn76"/>
      <w:bookmarkEnd w:id="291"/>
      <w:r>
        <w:fldChar w:fldCharType="begin"/>
      </w:r>
      <w:r>
        <w:instrText xml:space="preserve"> HYPERLINK "https://law.asia/autonomous-vehicles-china-taiwan-regulation-comparison/" \h </w:instrText>
      </w:r>
      <w:r>
        <w:fldChar w:fldCharType="separate"/>
      </w:r>
      <w:r>
        <w:rPr>
          <w:rFonts w:ascii="inter" w:hAnsi="inter" w:eastAsia="inter" w:cs="inter"/>
          <w:color w:val="000000"/>
          <w:sz w:val="18"/>
          <w:u w:val="single"/>
        </w:rPr>
        <w:t>https://law.asia/autonomous-vehicles-china-taiwan-regulation-comparison/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AA53F3">
      <w:pPr>
        <w:numPr>
          <w:ilvl w:val="0"/>
          <w:numId w:val="4"/>
        </w:numPr>
        <w:spacing w:after="210" w:line="360" w:lineRule="auto"/>
      </w:pPr>
      <w:bookmarkStart w:id="292" w:name="fn77"/>
      <w:bookmarkEnd w:id="292"/>
      <w:r>
        <w:fldChar w:fldCharType="begin"/>
      </w:r>
      <w:r>
        <w:instrText xml:space="preserve"> HYPERLINK "https://www.sciencedirect.com/science/article/pii/S2590198224000198" \h </w:instrText>
      </w:r>
      <w:r>
        <w:fldChar w:fldCharType="separate"/>
      </w:r>
      <w:r>
        <w:rPr>
          <w:rFonts w:ascii="inter" w:hAnsi="inter" w:eastAsia="inter" w:cs="inter"/>
          <w:color w:val="000000"/>
          <w:sz w:val="18"/>
          <w:u w:val="single"/>
        </w:rPr>
        <w:t>https://www.sciencedirect.com/science/article/pii/S2590198224000198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3EDC34">
      <w:pPr>
        <w:numPr>
          <w:ilvl w:val="0"/>
          <w:numId w:val="4"/>
        </w:numPr>
        <w:spacing w:after="210" w:line="360" w:lineRule="auto"/>
      </w:pPr>
      <w:bookmarkStart w:id="293" w:name="fn78"/>
      <w:bookmarkEnd w:id="293"/>
      <w:r>
        <w:fldChar w:fldCharType="begin"/>
      </w:r>
      <w:r>
        <w:instrText xml:space="preserve"> HYPERLINK "https://www.sae.org/standards/j3259-taxonomy-definitions-operational-design-domain-odd-driving-automation-systems" \h </w:instrText>
      </w:r>
      <w:r>
        <w:fldChar w:fldCharType="separate"/>
      </w:r>
      <w:r>
        <w:rPr>
          <w:rFonts w:ascii="inter" w:hAnsi="inter" w:eastAsia="inter" w:cs="inter"/>
          <w:color w:val="000000"/>
          <w:sz w:val="18"/>
          <w:u w:val="single"/>
        </w:rPr>
        <w:t>https://www.sae.org/standards/j3259-taxonomy-definitions-operational-design-domain-odd-driving-automation-systems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43CB26">
      <w:pPr>
        <w:numPr>
          <w:ilvl w:val="0"/>
          <w:numId w:val="4"/>
        </w:numPr>
        <w:spacing w:after="210" w:line="360" w:lineRule="auto"/>
      </w:pPr>
      <w:bookmarkStart w:id="294" w:name="fn79"/>
      <w:bookmarkEnd w:id="294"/>
      <w:r>
        <w:fldChar w:fldCharType="begin"/>
      </w:r>
      <w:r>
        <w:instrText xml:space="preserve"> HYPERLINK "https://www.iotforall.com/understanding-adas-systems" \h </w:instrText>
      </w:r>
      <w:r>
        <w:fldChar w:fldCharType="separate"/>
      </w:r>
      <w:r>
        <w:rPr>
          <w:rFonts w:ascii="inter" w:hAnsi="inter" w:eastAsia="inter" w:cs="inter"/>
          <w:color w:val="000000"/>
          <w:sz w:val="18"/>
          <w:u w:val="single"/>
        </w:rPr>
        <w:t>https://www.iotforall.com/understanding-adas-systems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53B398">
      <w:pPr>
        <w:numPr>
          <w:ilvl w:val="0"/>
          <w:numId w:val="4"/>
        </w:numPr>
        <w:spacing w:after="210" w:line="360" w:lineRule="auto"/>
      </w:pPr>
      <w:bookmarkStart w:id="295" w:name="fn80"/>
      <w:bookmarkEnd w:id="295"/>
      <w:r>
        <w:fldChar w:fldCharType="begin"/>
      </w:r>
      <w:r>
        <w:instrText xml:space="preserve"> HYPERLINK "https://www.automotive-technology.com/articles/what-are-the-advanced-driver-assistance-systems-adas" \h </w:instrText>
      </w:r>
      <w:r>
        <w:fldChar w:fldCharType="separate"/>
      </w:r>
      <w:r>
        <w:rPr>
          <w:rFonts w:ascii="inter" w:hAnsi="inter" w:eastAsia="inter" w:cs="inter"/>
          <w:color w:val="000000"/>
          <w:sz w:val="18"/>
          <w:u w:val="single"/>
        </w:rPr>
        <w:t>https://www.automotive-technology.com/articles/what-are-the-advanced-driver-assistance-systems-adas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39A948">
      <w:pPr>
        <w:numPr>
          <w:ilvl w:val="0"/>
          <w:numId w:val="4"/>
        </w:numPr>
        <w:spacing w:after="210" w:line="360" w:lineRule="auto"/>
      </w:pPr>
      <w:bookmarkStart w:id="296" w:name="fn81"/>
      <w:bookmarkEnd w:id="296"/>
      <w:r>
        <w:fldChar w:fldCharType="begin"/>
      </w:r>
      <w:r>
        <w:instrText xml:space="preserve"> HYPERLINK "https://www.here.com/about/press-releases/introducing-here-automated-driving-zones-for-safer-autonomous-driving" \h </w:instrText>
      </w:r>
      <w:r>
        <w:fldChar w:fldCharType="separate"/>
      </w:r>
      <w:r>
        <w:rPr>
          <w:rFonts w:ascii="inter" w:hAnsi="inter" w:eastAsia="inter" w:cs="inter"/>
          <w:color w:val="000000"/>
          <w:sz w:val="18"/>
          <w:u w:val="single"/>
        </w:rPr>
        <w:t>https://www.here.com/about/press-releases/introducing-here-automated-driving-zones-for-safer-autonomous-driving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F4E45E">
      <w:pPr>
        <w:numPr>
          <w:ilvl w:val="0"/>
          <w:numId w:val="4"/>
        </w:numPr>
        <w:spacing w:after="210" w:line="360" w:lineRule="auto"/>
      </w:pPr>
      <w:bookmarkStart w:id="297" w:name="fn82"/>
      <w:bookmarkEnd w:id="297"/>
      <w:r>
        <w:fldChar w:fldCharType="begin"/>
      </w:r>
      <w:r>
        <w:instrText xml:space="preserve"> HYPERLINK "https://aaafoundation.org/wp-content/uploads/2022/11/HMI-and-Automation-Design-Recommendations.pdf" \h </w:instrText>
      </w:r>
      <w:r>
        <w:fldChar w:fldCharType="separate"/>
      </w:r>
      <w:r>
        <w:rPr>
          <w:rFonts w:ascii="inter" w:hAnsi="inter" w:eastAsia="inter" w:cs="inter"/>
          <w:color w:val="000000"/>
          <w:sz w:val="18"/>
          <w:u w:val="single"/>
        </w:rPr>
        <w:t>https://aaafoundation.org/wp-content/uploads/2022/11/HMI-and-Automation-Design-Recommendations.pdf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5CCD89">
      <w:pPr>
        <w:numPr>
          <w:ilvl w:val="0"/>
          <w:numId w:val="4"/>
        </w:numPr>
        <w:spacing w:after="210" w:line="360" w:lineRule="auto"/>
      </w:pPr>
      <w:bookmarkStart w:id="298" w:name="fn83"/>
      <w:bookmarkEnd w:id="298"/>
      <w:r>
        <w:fldChar w:fldCharType="begin"/>
      </w:r>
      <w:r>
        <w:instrText xml:space="preserve"> HYPERLINK "https://road-safety.transport.ec.europa.eu/system/files/2021-07/ersosynthesis2018-adas.pdf" \h </w:instrText>
      </w:r>
      <w:r>
        <w:fldChar w:fldCharType="separate"/>
      </w:r>
      <w:r>
        <w:rPr>
          <w:rFonts w:ascii="inter" w:hAnsi="inter" w:eastAsia="inter" w:cs="inter"/>
          <w:color w:val="000000"/>
          <w:sz w:val="18"/>
          <w:u w:val="single"/>
        </w:rPr>
        <w:t>https://road-safety.transport.ec.europa.eu/system/files/2021-07/ersosynthesis2018-adas.pdf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54D821">
      <w:pPr>
        <w:numPr>
          <w:ilvl w:val="0"/>
          <w:numId w:val="4"/>
        </w:numPr>
        <w:spacing w:after="210" w:line="360" w:lineRule="auto"/>
      </w:pPr>
      <w:bookmarkStart w:id="299" w:name="fn84"/>
      <w:bookmarkEnd w:id="299"/>
      <w:r>
        <w:fldChar w:fldCharType="begin"/>
      </w:r>
      <w:r>
        <w:instrText xml:space="preserve"> HYPERLINK "https://namuga.com/eng/invest/news_view.php?v_seqno=239" \h </w:instrText>
      </w:r>
      <w:r>
        <w:fldChar w:fldCharType="separate"/>
      </w:r>
      <w:r>
        <w:rPr>
          <w:rFonts w:ascii="inter" w:hAnsi="inter" w:eastAsia="inter" w:cs="inter"/>
          <w:color w:val="000000"/>
          <w:sz w:val="18"/>
          <w:u w:val="single"/>
        </w:rPr>
        <w:t>https://namuga.com/eng/invest/news_view.php?v_seqno=239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F72B26">
      <w:pPr>
        <w:numPr>
          <w:ilvl w:val="0"/>
          <w:numId w:val="4"/>
        </w:numPr>
        <w:spacing w:after="210" w:line="360" w:lineRule="auto"/>
      </w:pPr>
      <w:bookmarkStart w:id="300" w:name="fn85"/>
      <w:bookmarkEnd w:id="300"/>
      <w:r>
        <w:fldChar w:fldCharType="begin"/>
      </w:r>
      <w:r>
        <w:instrText xml:space="preserve"> HYPERLINK "https://www.sciencedirect.com/science/article/pii/S0022437525001355" \h </w:instrText>
      </w:r>
      <w:r>
        <w:fldChar w:fldCharType="separate"/>
      </w:r>
      <w:r>
        <w:rPr>
          <w:rFonts w:ascii="inter" w:hAnsi="inter" w:eastAsia="inter" w:cs="inter"/>
          <w:color w:val="000000"/>
          <w:sz w:val="18"/>
          <w:u w:val="single"/>
        </w:rPr>
        <w:t>https://www.sciencedirect.com/science/article/pii/S0022437525001355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AB97E2">
      <w:pPr>
        <w:numPr>
          <w:ilvl w:val="0"/>
          <w:numId w:val="4"/>
        </w:numPr>
        <w:spacing w:after="210" w:line="360" w:lineRule="auto"/>
      </w:pPr>
      <w:bookmarkStart w:id="301" w:name="fn86"/>
      <w:bookmarkEnd w:id="301"/>
      <w:r>
        <w:fldChar w:fldCharType="begin"/>
      </w:r>
      <w:r>
        <w:instrText xml:space="preserve"> HYPERLINK "https://www.hyundaimotorgroup.com/en/story/CONT0000000000000634" \h </w:instrText>
      </w:r>
      <w:r>
        <w:fldChar w:fldCharType="separate"/>
      </w:r>
      <w:r>
        <w:rPr>
          <w:rFonts w:ascii="inter" w:hAnsi="inter" w:eastAsia="inter" w:cs="inter"/>
          <w:color w:val="000000"/>
          <w:sz w:val="18"/>
          <w:u w:val="single"/>
        </w:rPr>
        <w:t>https://www.hyundaimotorgroup.com/en/story/CONT0000000000000634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199F22">
      <w:pPr>
        <w:numPr>
          <w:ilvl w:val="0"/>
          <w:numId w:val="4"/>
        </w:numPr>
        <w:spacing w:after="210" w:line="360" w:lineRule="auto"/>
      </w:pPr>
      <w:bookmarkStart w:id="302" w:name="fn87"/>
      <w:bookmarkEnd w:id="302"/>
      <w:r>
        <w:fldChar w:fldCharType="begin"/>
      </w:r>
      <w:r>
        <w:instrText xml:space="preserve"> HYPERLINK "https://arxiv.org/abs/2404.17044" \h </w:instrText>
      </w:r>
      <w:r>
        <w:fldChar w:fldCharType="separate"/>
      </w:r>
      <w:r>
        <w:rPr>
          <w:rFonts w:ascii="inter" w:hAnsi="inter" w:eastAsia="inter" w:cs="inter"/>
          <w:color w:val="000000"/>
          <w:sz w:val="18"/>
          <w:u w:val="single"/>
        </w:rPr>
        <w:t>https://arxiv.org/abs/2404.17044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15AB42">
      <w:pPr>
        <w:numPr>
          <w:ilvl w:val="0"/>
          <w:numId w:val="4"/>
        </w:numPr>
        <w:spacing w:after="210" w:line="360" w:lineRule="auto"/>
      </w:pPr>
      <w:bookmarkStart w:id="303" w:name="fn88"/>
      <w:bookmarkEnd w:id="303"/>
      <w:r>
        <w:fldChar w:fldCharType="begin"/>
      </w:r>
      <w:r>
        <w:instrText xml:space="preserve"> HYPERLINK "https://adasdepot.com/blog/the-hidden-chaos-in-adas-calibration-why-the-industry-desperately-needs-standardization/" \h </w:instrText>
      </w:r>
      <w:r>
        <w:fldChar w:fldCharType="separate"/>
      </w:r>
      <w:r>
        <w:rPr>
          <w:rFonts w:ascii="inter" w:hAnsi="inter" w:eastAsia="inter" w:cs="inter"/>
          <w:color w:val="000000"/>
          <w:sz w:val="18"/>
          <w:u w:val="single"/>
        </w:rPr>
        <w:t>https://adasdepot.com/blog/the-hidden-chaos-in-adas-calibration-why-the-industry-desperately-needs-standardization/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DED379">
      <w:pPr>
        <w:numPr>
          <w:ilvl w:val="0"/>
          <w:numId w:val="4"/>
        </w:numPr>
        <w:spacing w:after="210" w:line="360" w:lineRule="auto"/>
      </w:pPr>
      <w:bookmarkStart w:id="304" w:name="fn89"/>
      <w:bookmarkEnd w:id="304"/>
      <w:r>
        <w:fldChar w:fldCharType="begin"/>
      </w:r>
      <w:r>
        <w:instrText xml:space="preserve"> HYPERLINK "https://www.repairerdrivennews.com/2023/09/06/sema-testing-aftermarket-mod-effects-on-adas-liability-issues-for-shops-to-keep-in-mind/" \h </w:instrText>
      </w:r>
      <w:r>
        <w:fldChar w:fldCharType="separate"/>
      </w:r>
      <w:r>
        <w:rPr>
          <w:rFonts w:ascii="inter" w:hAnsi="inter" w:eastAsia="inter" w:cs="inter"/>
          <w:color w:val="000000"/>
          <w:sz w:val="18"/>
          <w:u w:val="single"/>
        </w:rPr>
        <w:t>https://www.repairerdrivennews.com/2023/09/06/sema-testing-aftermarket-mod-effects-on-adas-liability-issues-for-shops-to-keep-in-mind/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4D880B">
      <w:pPr>
        <w:numPr>
          <w:ilvl w:val="0"/>
          <w:numId w:val="4"/>
        </w:numPr>
        <w:spacing w:after="210" w:line="360" w:lineRule="auto"/>
      </w:pPr>
      <w:bookmarkStart w:id="305" w:name="fn90"/>
      <w:bookmarkEnd w:id="305"/>
      <w:r>
        <w:fldChar w:fldCharType="begin"/>
      </w:r>
      <w:r>
        <w:instrText xml:space="preserve"> HYPERLINK "https://www.iso.org/obp/ui/en/" \h </w:instrText>
      </w:r>
      <w:r>
        <w:fldChar w:fldCharType="separate"/>
      </w:r>
      <w:r>
        <w:rPr>
          <w:rFonts w:ascii="inter" w:hAnsi="inter" w:eastAsia="inter" w:cs="inter"/>
          <w:color w:val="000000"/>
          <w:sz w:val="18"/>
          <w:u w:val="single"/>
        </w:rPr>
        <w:t>https://www.iso.org/obp/ui/en/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B934C3">
      <w:pPr>
        <w:numPr>
          <w:ilvl w:val="0"/>
          <w:numId w:val="4"/>
        </w:numPr>
        <w:spacing w:after="210" w:line="360" w:lineRule="auto"/>
      </w:pPr>
      <w:bookmarkStart w:id="306" w:name="fn91"/>
      <w:bookmarkEnd w:id="306"/>
      <w:r>
        <w:fldChar w:fldCharType="begin"/>
      </w:r>
      <w:r>
        <w:instrText xml:space="preserve"> HYPERLINK "https://www.collinslaw.com/faulty-adas-whos-liable-for-your-accident/" \h </w:instrText>
      </w:r>
      <w:r>
        <w:fldChar w:fldCharType="separate"/>
      </w:r>
      <w:r>
        <w:rPr>
          <w:rFonts w:ascii="inter" w:hAnsi="inter" w:eastAsia="inter" w:cs="inter"/>
          <w:color w:val="000000"/>
          <w:sz w:val="18"/>
          <w:u w:val="single"/>
        </w:rPr>
        <w:t>https://www.collinslaw.com/faulty-adas-whos-liable-for-your-accident/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13E168">
      <w:pPr>
        <w:numPr>
          <w:ilvl w:val="0"/>
          <w:numId w:val="4"/>
        </w:numPr>
        <w:spacing w:after="210" w:line="360" w:lineRule="auto"/>
      </w:pPr>
      <w:bookmarkStart w:id="307" w:name="fn92"/>
      <w:bookmarkEnd w:id="307"/>
      <w:r>
        <w:fldChar w:fldCharType="begin"/>
      </w:r>
      <w:r>
        <w:instrText xml:space="preserve"> HYPERLINK "https://unece.org/sites/default/files/2025-09/GRVA-WS09-08e.pdf" \h </w:instrText>
      </w:r>
      <w:r>
        <w:fldChar w:fldCharType="separate"/>
      </w:r>
      <w:r>
        <w:rPr>
          <w:rFonts w:ascii="inter" w:hAnsi="inter" w:eastAsia="inter" w:cs="inter"/>
          <w:color w:val="000000"/>
          <w:sz w:val="18"/>
          <w:u w:val="single"/>
        </w:rPr>
        <w:t>https://unece.org/sites/default/files/2025-09/GRVA-WS09-08e.pdf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8456F6">
      <w:pPr>
        <w:numPr>
          <w:ilvl w:val="0"/>
          <w:numId w:val="4"/>
        </w:numPr>
        <w:spacing w:after="210" w:line="360" w:lineRule="auto"/>
      </w:pPr>
      <w:bookmarkStart w:id="308" w:name="fn93"/>
      <w:bookmarkEnd w:id="308"/>
      <w:r>
        <w:fldChar w:fldCharType="begin"/>
      </w:r>
      <w:r>
        <w:instrText xml:space="preserve"> HYPERLINK "https://www.mnadas.com/adas-calibration/the-hidden-liability-why-improper-adas-calibration-could-cost-your-shop/" \h </w:instrText>
      </w:r>
      <w:r>
        <w:fldChar w:fldCharType="separate"/>
      </w:r>
      <w:r>
        <w:rPr>
          <w:rFonts w:ascii="inter" w:hAnsi="inter" w:eastAsia="inter" w:cs="inter"/>
          <w:color w:val="000000"/>
          <w:sz w:val="18"/>
          <w:u w:val="single"/>
        </w:rPr>
        <w:t>https://www.mnadas.com/adas-calibration/the-hidden-liability-why-improper-adas-calibration-could-cost-your-shop/</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44DAC5">
      <w:pPr>
        <w:numPr>
          <w:ilvl w:val="0"/>
          <w:numId w:val="4"/>
        </w:numPr>
        <w:spacing w:after="210" w:line="360" w:lineRule="auto"/>
      </w:pPr>
      <w:bookmarkStart w:id="309" w:name="fn94"/>
      <w:bookmarkEnd w:id="309"/>
      <w:r>
        <w:fldChar w:fldCharType="begin"/>
      </w:r>
      <w:r>
        <w:instrText xml:space="preserve"> HYPERLINK "https://alanripka.com/the-legal-implications-of-injury-in-autonomous-vehicle-accidents/" \h </w:instrText>
      </w:r>
      <w:r>
        <w:fldChar w:fldCharType="separate"/>
      </w:r>
      <w:r>
        <w:rPr>
          <w:rFonts w:ascii="inter" w:hAnsi="inter" w:eastAsia="inter" w:cs="inter"/>
          <w:color w:val="000000"/>
          <w:sz w:val="18"/>
          <w:u w:val="single"/>
        </w:rPr>
        <w:t>https://alanripka.com/the-legal-implications-of-injury-in-autonomous-vehicle-accidents/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3F8587">
      <w:pPr>
        <w:numPr>
          <w:ilvl w:val="0"/>
          <w:numId w:val="4"/>
        </w:numPr>
        <w:spacing w:after="210" w:line="360" w:lineRule="auto"/>
      </w:pPr>
      <w:bookmarkStart w:id="310" w:name="fn95"/>
      <w:bookmarkEnd w:id="310"/>
      <w:r>
        <w:fldChar w:fldCharType="begin"/>
      </w:r>
      <w:r>
        <w:instrText xml:space="preserve"> HYPERLINK "https://www.lhpes.com/blog/what-is-iso-26262-functional-safety-in-transport-vehicles" \h </w:instrText>
      </w:r>
      <w:r>
        <w:fldChar w:fldCharType="separate"/>
      </w:r>
      <w:r>
        <w:rPr>
          <w:rFonts w:ascii="inter" w:hAnsi="inter" w:eastAsia="inter" w:cs="inter"/>
          <w:color w:val="000000"/>
          <w:sz w:val="18"/>
          <w:u w:val="single"/>
        </w:rPr>
        <w:t>https://www.lhpes.com/blog/what-is-iso-26262-functional-safety-in-transport-vehicles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E308B1">
      <w:pPr>
        <w:numPr>
          <w:ilvl w:val="0"/>
          <w:numId w:val="4"/>
        </w:numPr>
        <w:spacing w:after="210" w:line="360" w:lineRule="auto"/>
      </w:pPr>
      <w:bookmarkStart w:id="311" w:name="fn96"/>
      <w:bookmarkEnd w:id="311"/>
      <w:r>
        <w:fldChar w:fldCharType="begin"/>
      </w:r>
      <w:r>
        <w:instrText xml:space="preserve"> HYPERLINK "https://www.revvhq.com/blog/adas-compliance" \h </w:instrText>
      </w:r>
      <w:r>
        <w:fldChar w:fldCharType="separate"/>
      </w:r>
      <w:r>
        <w:rPr>
          <w:rFonts w:ascii="inter" w:hAnsi="inter" w:eastAsia="inter" w:cs="inter"/>
          <w:color w:val="000000"/>
          <w:sz w:val="18"/>
          <w:u w:val="single"/>
        </w:rPr>
        <w:t>https://www.revvhq.com/blog/adas-compliance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3C516A">
      <w:pPr>
        <w:numPr>
          <w:ilvl w:val="0"/>
          <w:numId w:val="4"/>
        </w:numPr>
        <w:spacing w:after="210" w:line="360" w:lineRule="auto"/>
      </w:pPr>
      <w:bookmarkStart w:id="312" w:name="fn97"/>
      <w:bookmarkEnd w:id="312"/>
      <w:r>
        <w:fldChar w:fldCharType="begin"/>
      </w:r>
      <w:r>
        <w:instrText xml:space="preserve"> HYPERLINK "https://www.hbs.edu/ris/download.aspx?name=23-036.pdf" \h </w:instrText>
      </w:r>
      <w:r>
        <w:fldChar w:fldCharType="separate"/>
      </w:r>
      <w:r>
        <w:rPr>
          <w:rFonts w:ascii="inter" w:hAnsi="inter" w:eastAsia="inter" w:cs="inter"/>
          <w:color w:val="000000"/>
          <w:sz w:val="18"/>
          <w:u w:val="single"/>
        </w:rPr>
        <w:t>https://www.hbs.edu/ris/download.aspx?name=23-036.pdf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BE1386">
      <w:pPr>
        <w:numPr>
          <w:ilvl w:val="0"/>
          <w:numId w:val="4"/>
        </w:numPr>
        <w:spacing w:after="210" w:line="360" w:lineRule="auto"/>
      </w:pPr>
      <w:bookmarkStart w:id="313" w:name="fn98"/>
      <w:bookmarkEnd w:id="313"/>
      <w:r>
        <w:fldChar w:fldCharType="begin"/>
      </w:r>
      <w:r>
        <w:instrText xml:space="preserve"> HYPERLINK "https://fiveable.me/autonomous-vehicle-systems/unit-10/regulatory-frameworks/study-guide/WofRDw47OiNs4Y7Z" \h </w:instrText>
      </w:r>
      <w:r>
        <w:fldChar w:fldCharType="separate"/>
      </w:r>
      <w:r>
        <w:rPr>
          <w:rFonts w:ascii="inter" w:hAnsi="inter" w:eastAsia="inter" w:cs="inter"/>
          <w:color w:val="000000"/>
          <w:sz w:val="18"/>
          <w:u w:val="single"/>
        </w:rPr>
        <w:t>https://fiveable.me/autonomous-vehicle-systems/unit-10/regulatory-frameworks/study-guide/WofRDw47OiNs4Y7Z</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633519">
      <w:pPr>
        <w:numPr>
          <w:ilvl w:val="0"/>
          <w:numId w:val="4"/>
        </w:numPr>
        <w:spacing w:after="210" w:line="360" w:lineRule="auto"/>
      </w:pPr>
      <w:bookmarkStart w:id="314" w:name="fn99"/>
      <w:bookmarkEnd w:id="314"/>
      <w:r>
        <w:fldChar w:fldCharType="begin"/>
      </w:r>
      <w:r>
        <w:instrText xml:space="preserve"> HYPERLINK "https://www.bruninglegal.com/blog/self-driving-cars-and-accident-liability/" \h </w:instrText>
      </w:r>
      <w:r>
        <w:fldChar w:fldCharType="separate"/>
      </w:r>
      <w:r>
        <w:rPr>
          <w:rFonts w:ascii="inter" w:hAnsi="inter" w:eastAsia="inter" w:cs="inter"/>
          <w:color w:val="000000"/>
          <w:sz w:val="18"/>
          <w:u w:val="single"/>
        </w:rPr>
        <w:t>https://www.bruninglegal.com/blog/self-driving-cars-and-accident-liability/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2D7767">
      <w:pPr>
        <w:numPr>
          <w:ilvl w:val="0"/>
          <w:numId w:val="4"/>
        </w:numPr>
        <w:spacing w:after="210" w:line="360" w:lineRule="auto"/>
      </w:pPr>
      <w:bookmarkStart w:id="315" w:name="fn100"/>
      <w:bookmarkEnd w:id="315"/>
      <w:r>
        <w:fldChar w:fldCharType="begin"/>
      </w:r>
      <w:r>
        <w:instrText xml:space="preserve"> HYPERLINK "https://www.reuters.com/legal/litigation/tesla-rejected-60-million-settlement-before-losing-243-million-autopilot-verdict-2025-08-25/" \h </w:instrText>
      </w:r>
      <w:r>
        <w:fldChar w:fldCharType="separate"/>
      </w:r>
      <w:r>
        <w:rPr>
          <w:rFonts w:ascii="inter" w:hAnsi="inter" w:eastAsia="inter" w:cs="inter"/>
          <w:color w:val="000000"/>
          <w:sz w:val="18"/>
          <w:u w:val="single"/>
        </w:rPr>
        <w:t>https://www.reuters.com/legal/litigation/tesla-rejected-60-million-settlement-before-losing-243-million-autopilot-verdict-2025-08-25/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5625AC">
      <w:pPr>
        <w:numPr>
          <w:ilvl w:val="0"/>
          <w:numId w:val="4"/>
        </w:numPr>
        <w:spacing w:after="210" w:line="360" w:lineRule="auto"/>
      </w:pPr>
      <w:bookmarkStart w:id="316" w:name="fn101"/>
      <w:bookmarkEnd w:id="316"/>
      <w:r>
        <w:fldChar w:fldCharType="begin"/>
      </w:r>
      <w:r>
        <w:instrText xml:space="preserve"> HYPERLINK "https://www.rothlawyer.com/blog/autonomous-vehicle-accident-liability/" \h </w:instrText>
      </w:r>
      <w:r>
        <w:fldChar w:fldCharType="separate"/>
      </w:r>
      <w:r>
        <w:rPr>
          <w:rFonts w:ascii="inter" w:hAnsi="inter" w:eastAsia="inter" w:cs="inter"/>
          <w:color w:val="000000"/>
          <w:sz w:val="18"/>
          <w:u w:val="single"/>
        </w:rPr>
        <w:t>https://www.rothlawyer.com/blog/autonomous-vehicle-accident-liability/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1437A7">
      <w:pPr>
        <w:numPr>
          <w:ilvl w:val="0"/>
          <w:numId w:val="4"/>
        </w:numPr>
        <w:spacing w:after="210" w:line="360" w:lineRule="auto"/>
      </w:pPr>
      <w:bookmarkStart w:id="317" w:name="fn102"/>
      <w:bookmarkEnd w:id="317"/>
      <w:r>
        <w:fldChar w:fldCharType="begin"/>
      </w:r>
      <w:r>
        <w:instrText xml:space="preserve"> HYPERLINK "https://www.peter-thompson-associates.com/news/tesla-settles-lawsuit-over-autopilot-crash/" \h </w:instrText>
      </w:r>
      <w:r>
        <w:fldChar w:fldCharType="separate"/>
      </w:r>
      <w:r>
        <w:rPr>
          <w:rFonts w:ascii="inter" w:hAnsi="inter" w:eastAsia="inter" w:cs="inter"/>
          <w:color w:val="000000"/>
          <w:sz w:val="18"/>
          <w:u w:val="single"/>
        </w:rPr>
        <w:t>https://www.peter-thompson-associates.com/news/tesla-settles-lawsuit-over-autopilot-crash/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EEB961">
      <w:pPr>
        <w:numPr>
          <w:ilvl w:val="0"/>
          <w:numId w:val="4"/>
        </w:numPr>
        <w:spacing w:after="210" w:line="360" w:lineRule="auto"/>
      </w:pPr>
      <w:bookmarkStart w:id="318" w:name="fn103"/>
      <w:bookmarkEnd w:id="318"/>
      <w:r>
        <w:fldChar w:fldCharType="begin"/>
      </w:r>
      <w:r>
        <w:instrText xml:space="preserve"> HYPERLINK "https://sal.org.sg/wp-content/uploads/2025/02/2020_Report-on-the-Attribution-of-Civil-Liability-for-Accidents-Involving-Autonomous-Cars.pdf" \h </w:instrText>
      </w:r>
      <w:r>
        <w:fldChar w:fldCharType="separate"/>
      </w:r>
      <w:r>
        <w:rPr>
          <w:rFonts w:ascii="inter" w:hAnsi="inter" w:eastAsia="inter" w:cs="inter"/>
          <w:color w:val="000000"/>
          <w:sz w:val="18"/>
          <w:u w:val="single"/>
        </w:rPr>
        <w:t>https://sal.org.sg/wp-content/uploads/2025/02/2020_Report-on-the-Attribution-of-Civil-Liability-for-Accidents-Involving-Autonomous-Cars.pdf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2093F1">
      <w:pPr>
        <w:numPr>
          <w:ilvl w:val="0"/>
          <w:numId w:val="4"/>
        </w:numPr>
        <w:spacing w:after="210" w:line="360" w:lineRule="auto"/>
      </w:pPr>
      <w:bookmarkStart w:id="319" w:name="fn104"/>
      <w:bookmarkEnd w:id="319"/>
      <w:r>
        <w:fldChar w:fldCharType="begin"/>
      </w:r>
      <w:r>
        <w:instrText xml:space="preserve"> HYPERLINK "https://www.nbcnews.com/news/us-news/tesla-autopilot-crash-trial-verdict-partly-liable-rcna222344" \h </w:instrText>
      </w:r>
      <w:r>
        <w:fldChar w:fldCharType="separate"/>
      </w:r>
      <w:r>
        <w:rPr>
          <w:rFonts w:ascii="inter" w:hAnsi="inter" w:eastAsia="inter" w:cs="inter"/>
          <w:color w:val="000000"/>
          <w:sz w:val="18"/>
          <w:u w:val="single"/>
        </w:rPr>
        <w:t>https://www.nbcnews.com/news/us-news/tesla-autopilot-crash-trial-verdict-partly-liable-rcna222344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96BE43">
      <w:pPr>
        <w:numPr>
          <w:ilvl w:val="0"/>
          <w:numId w:val="4"/>
        </w:numPr>
        <w:spacing w:after="210" w:line="360" w:lineRule="auto"/>
      </w:pPr>
      <w:bookmarkStart w:id="320" w:name="fn105"/>
      <w:bookmarkEnd w:id="320"/>
      <w:r>
        <w:fldChar w:fldCharType="begin"/>
      </w:r>
      <w:r>
        <w:instrText xml:space="preserve"> HYPERLINK "https://www.elitigation.sg/gd/s/2024_SGHC_150" \h </w:instrText>
      </w:r>
      <w:r>
        <w:fldChar w:fldCharType="separate"/>
      </w:r>
      <w:r>
        <w:rPr>
          <w:rFonts w:ascii="inter" w:hAnsi="inter" w:eastAsia="inter" w:cs="inter"/>
          <w:color w:val="000000"/>
          <w:sz w:val="18"/>
          <w:u w:val="single"/>
        </w:rPr>
        <w:t>https://www.elitigation.sg/gd/s/2024_SGHC_150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2A9E20">
      <w:pPr>
        <w:numPr>
          <w:ilvl w:val="0"/>
          <w:numId w:val="4"/>
        </w:numPr>
        <w:spacing w:after="210" w:line="360" w:lineRule="auto"/>
      </w:pPr>
      <w:bookmarkStart w:id="321" w:name="fn106"/>
      <w:bookmarkEnd w:id="321"/>
      <w:r>
        <w:fldChar w:fldCharType="begin"/>
      </w:r>
      <w:r>
        <w:instrText xml:space="preserve"> HYPERLINK "https://www.reddit.com/r/technology/comments/1njfl5h/tesla_agrees_to_settle_another_wrongful_death/" \h </w:instrText>
      </w:r>
      <w:r>
        <w:fldChar w:fldCharType="separate"/>
      </w:r>
      <w:r>
        <w:rPr>
          <w:rFonts w:ascii="inter" w:hAnsi="inter" w:eastAsia="inter" w:cs="inter"/>
          <w:color w:val="000000"/>
          <w:sz w:val="18"/>
          <w:u w:val="single"/>
        </w:rPr>
        <w:t>https://www.reddit.com/r/technology/comments/1njfl5h/tesla_agrees_to_settle_another_wrongful_death/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924E0C">
      <w:pPr>
        <w:numPr>
          <w:ilvl w:val="0"/>
          <w:numId w:val="4"/>
        </w:numPr>
        <w:spacing w:after="210" w:line="360" w:lineRule="auto"/>
      </w:pPr>
      <w:bookmarkStart w:id="322" w:name="fn107"/>
      <w:bookmarkEnd w:id="322"/>
      <w:r>
        <w:fldChar w:fldCharType="begin"/>
      </w:r>
      <w:r>
        <w:instrText xml:space="preserve"> HYPERLINK "https://teslamotorsclub.com/tmc/threads/tesla-found-partially-liable-in-fatal-2019-enhanced-autopilot-crash.347567/" \h </w:instrText>
      </w:r>
      <w:r>
        <w:fldChar w:fldCharType="separate"/>
      </w:r>
      <w:r>
        <w:rPr>
          <w:rFonts w:ascii="inter" w:hAnsi="inter" w:eastAsia="inter" w:cs="inter"/>
          <w:color w:val="000000"/>
          <w:sz w:val="18"/>
          <w:u w:val="single"/>
        </w:rPr>
        <w:t>https://teslamotorsclub.com/tmc/threads/tesla-found-partially-liable-in-fatal-2019-enhanced-autopilot-crash.347567/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49DD45">
      <w:pPr>
        <w:numPr>
          <w:ilvl w:val="0"/>
          <w:numId w:val="4"/>
        </w:numPr>
        <w:spacing w:after="210" w:line="360" w:lineRule="auto"/>
      </w:pPr>
      <w:bookmarkStart w:id="323" w:name="fn108"/>
      <w:bookmarkEnd w:id="323"/>
      <w:r>
        <w:fldChar w:fldCharType="begin"/>
      </w:r>
      <w:r>
        <w:instrText xml:space="preserve"> HYPERLINK "https://ink.library.smu.edu.sg/cgi/viewcontent.cgi?article=5174&amp;context=sol_research" \h </w:instrText>
      </w:r>
      <w:r>
        <w:fldChar w:fldCharType="separate"/>
      </w:r>
      <w:r>
        <w:rPr>
          <w:rFonts w:ascii="inter" w:hAnsi="inter" w:eastAsia="inter" w:cs="inter"/>
          <w:color w:val="000000"/>
          <w:sz w:val="18"/>
          <w:u w:val="single"/>
        </w:rPr>
        <w:t>https://ink.library.smu.edu.sg/cgi/viewcontent.cgi?article=5174&amp;context=sol_research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1606FD">
      <w:pPr>
        <w:numPr>
          <w:ilvl w:val="0"/>
          <w:numId w:val="4"/>
        </w:numPr>
        <w:spacing w:after="210" w:line="360" w:lineRule="auto"/>
      </w:pPr>
      <w:bookmarkStart w:id="324" w:name="fn109"/>
      <w:bookmarkEnd w:id="324"/>
      <w:r>
        <w:fldChar w:fldCharType="begin"/>
      </w:r>
      <w:r>
        <w:instrText xml:space="preserve"> HYPERLINK "https://www.torhoermanlaw.com/tesla-accident-lawsuit/" \h </w:instrText>
      </w:r>
      <w:r>
        <w:fldChar w:fldCharType="separate"/>
      </w:r>
      <w:r>
        <w:rPr>
          <w:rFonts w:ascii="inter" w:hAnsi="inter" w:eastAsia="inter" w:cs="inter"/>
          <w:color w:val="000000"/>
          <w:sz w:val="18"/>
          <w:u w:val="single"/>
        </w:rPr>
        <w:t>https://www.torhoermanlaw.com/tesla-accident-lawsuit/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F27B22">
      <w:pPr>
        <w:numPr>
          <w:ilvl w:val="0"/>
          <w:numId w:val="4"/>
        </w:numPr>
        <w:spacing w:after="210" w:line="360" w:lineRule="auto"/>
      </w:pPr>
      <w:bookmarkStart w:id="325" w:name="fn110"/>
      <w:bookmarkEnd w:id="325"/>
      <w:r>
        <w:fldChar w:fldCharType="begin"/>
      </w:r>
      <w:r>
        <w:instrText xml:space="preserve"> HYPERLINK "https://www.advocatemagazine.com/article/2024-july/litigating-autopilot-products-liability-cases-against-tesla" \h </w:instrText>
      </w:r>
      <w:r>
        <w:fldChar w:fldCharType="separate"/>
      </w:r>
      <w:r>
        <w:rPr>
          <w:rFonts w:ascii="inter" w:hAnsi="inter" w:eastAsia="inter" w:cs="inter"/>
          <w:color w:val="000000"/>
          <w:sz w:val="18"/>
          <w:u w:val="single"/>
        </w:rPr>
        <w:t>https://www.advocatemagazine.com/article/2024-july/litigating-autopilot-products-liability-cases-against-tesla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6AB0C3">
      <w:pPr>
        <w:numPr>
          <w:ilvl w:val="0"/>
          <w:numId w:val="4"/>
        </w:numPr>
        <w:spacing w:after="210" w:line="360" w:lineRule="auto"/>
      </w:pPr>
      <w:bookmarkStart w:id="326" w:name="fn111"/>
      <w:bookmarkEnd w:id="326"/>
      <w:r>
        <w:fldChar w:fldCharType="begin"/>
      </w:r>
      <w:r>
        <w:instrText xml:space="preserve"> HYPERLINK "https://www.aptiv.com/en/insights/article/what-is-a-driver-monitoring-system" \h </w:instrText>
      </w:r>
      <w:r>
        <w:fldChar w:fldCharType="separate"/>
      </w:r>
      <w:r>
        <w:rPr>
          <w:rFonts w:ascii="inter" w:hAnsi="inter" w:eastAsia="inter" w:cs="inter"/>
          <w:color w:val="000000"/>
          <w:sz w:val="18"/>
          <w:u w:val="single"/>
        </w:rPr>
        <w:t>https://www.aptiv.com/en/insights/article/what-is-a-driver-monitoring-system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50996D">
      <w:pPr>
        <w:numPr>
          <w:ilvl w:val="0"/>
          <w:numId w:val="4"/>
        </w:numPr>
        <w:spacing w:after="210" w:line="360" w:lineRule="auto"/>
      </w:pPr>
      <w:bookmarkStart w:id="327" w:name="fn112"/>
      <w:bookmarkEnd w:id="327"/>
      <w:r>
        <w:fldChar w:fldCharType="begin"/>
      </w:r>
      <w:r>
        <w:instrText xml:space="preserve"> HYPERLINK "https://www.mobileye.com/blog/presenting-the-mobileye-driver-monitoring-system-fusing-road-safety-inside-the-cabin/" \h </w:instrText>
      </w:r>
      <w:r>
        <w:fldChar w:fldCharType="separate"/>
      </w:r>
      <w:r>
        <w:rPr>
          <w:rFonts w:ascii="inter" w:hAnsi="inter" w:eastAsia="inter" w:cs="inter"/>
          <w:color w:val="000000"/>
          <w:sz w:val="18"/>
          <w:u w:val="single"/>
        </w:rPr>
        <w:t>https://www.mobileye.com/blog/presenting-the-mobileye-driver-monitoring-system-fusing-road-safety-inside-the-cabin/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DA0C6F">
      <w:pPr>
        <w:numPr>
          <w:ilvl w:val="0"/>
          <w:numId w:val="4"/>
        </w:numPr>
        <w:spacing w:after="210" w:line="360" w:lineRule="auto"/>
      </w:pPr>
      <w:bookmarkStart w:id="328" w:name="fn113"/>
      <w:bookmarkEnd w:id="328"/>
      <w:r>
        <w:fldChar w:fldCharType="begin"/>
      </w:r>
      <w:r>
        <w:instrText xml:space="preserve"> HYPERLINK "https://www.synopsys.com/blogs/chip-design/autonomous-driving-levels.html" \h </w:instrText>
      </w:r>
      <w:r>
        <w:fldChar w:fldCharType="separate"/>
      </w:r>
      <w:r>
        <w:rPr>
          <w:rFonts w:ascii="inter" w:hAnsi="inter" w:eastAsia="inter" w:cs="inter"/>
          <w:color w:val="000000"/>
          <w:sz w:val="18"/>
          <w:u w:val="single"/>
        </w:rPr>
        <w:t>https://www.synopsys.com/blogs/chip-design/autonomous-driving-levels.html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076BA9">
      <w:pPr>
        <w:numPr>
          <w:ilvl w:val="0"/>
          <w:numId w:val="4"/>
        </w:numPr>
        <w:spacing w:after="210" w:line="360" w:lineRule="auto"/>
      </w:pPr>
      <w:bookmarkStart w:id="329" w:name="fn114"/>
      <w:bookmarkEnd w:id="329"/>
      <w:r>
        <w:fldChar w:fldCharType="begin"/>
      </w:r>
      <w:r>
        <w:instrText xml:space="preserve"> HYPERLINK "https://arxiv.org/html/2404.13027v2" \h </w:instrText>
      </w:r>
      <w:r>
        <w:fldChar w:fldCharType="separate"/>
      </w:r>
      <w:r>
        <w:rPr>
          <w:rFonts w:ascii="inter" w:hAnsi="inter" w:eastAsia="inter" w:cs="inter"/>
          <w:color w:val="000000"/>
          <w:sz w:val="18"/>
          <w:u w:val="single"/>
        </w:rPr>
        <w:t>https://arxiv.org/html/2404.13027v2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455922">
      <w:pPr>
        <w:numPr>
          <w:ilvl w:val="0"/>
          <w:numId w:val="4"/>
        </w:numPr>
        <w:spacing w:after="210" w:line="360" w:lineRule="auto"/>
      </w:pPr>
      <w:bookmarkStart w:id="330" w:name="fn115"/>
      <w:bookmarkEnd w:id="330"/>
      <w:r>
        <w:fldChar w:fldCharType="begin"/>
      </w:r>
      <w:r>
        <w:instrText xml:space="preserve"> HYPERLINK "https://www.sciencedirect.com/science/article/abs/pii/S000145752400229X" \h </w:instrText>
      </w:r>
      <w:r>
        <w:fldChar w:fldCharType="separate"/>
      </w:r>
      <w:r>
        <w:rPr>
          <w:rFonts w:ascii="inter" w:hAnsi="inter" w:eastAsia="inter" w:cs="inter"/>
          <w:color w:val="000000"/>
          <w:sz w:val="18"/>
          <w:u w:val="single"/>
        </w:rPr>
        <w:t>https://www.sciencedirect.com/science/article/abs/pii/S000145752400229X</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tabs>
          <w:tab w:val="left" w:pos="900"/>
        </w:tabs>
        <w:ind w:left="540" w:hanging="360"/>
      </w:pPr>
    </w:lvl>
  </w:abstractNum>
  <w:abstractNum w:abstractNumId="1">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2">
    <w:nsid w:val="0053208E"/>
    <w:multiLevelType w:val="singleLevel"/>
    <w:tmpl w:val="0053208E"/>
    <w:lvl w:ilvl="0" w:tentative="0">
      <w:start w:val="1"/>
      <w:numFmt w:val="decimal"/>
      <w:lvlText w:val="%1."/>
      <w:lvlJc w:val="left"/>
      <w:pPr>
        <w:tabs>
          <w:tab w:val="left" w:pos="900"/>
        </w:tabs>
        <w:ind w:left="540" w:hanging="360"/>
      </w:pPr>
    </w:lvl>
  </w:abstractNum>
  <w:abstractNum w:abstractNumId="3">
    <w:nsid w:val="59ADCABA"/>
    <w:multiLevelType w:val="singleLevel"/>
    <w:tmpl w:val="59ADCABA"/>
    <w:lvl w:ilvl="0" w:tentative="0">
      <w:start w:val="1"/>
      <w:numFmt w:val="decimal"/>
      <w:lvlText w:val="%1."/>
      <w:lvlJc w:val="left"/>
      <w:pPr>
        <w:tabs>
          <w:tab w:val="left" w:pos="900"/>
        </w:tabs>
        <w:ind w:left="5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005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43</Pages>
  <Words>2592</Words>
  <Characters>16934</Characters>
  <TotalTime>0</TotalTime>
  <ScaleCrop>false</ScaleCrop>
  <LinksUpToDate>false</LinksUpToDate>
  <CharactersWithSpaces>19471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2025-12-30T10:22:00Z</dcterms:created>
  <dc:creator>html-to-docx</dc:creator>
  <cp:keywords>html-to-docx</cp:keywords>
  <cp:lastModifiedBy>dyx</cp:lastModifiedBy>
  <dcterms:modified xsi:type="dcterms:W3CDTF">2026-01-04T18:36:00Z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35BA199BFEC547DCB8D1E23A7031112B_12</vt:lpwstr>
  </property>
</Properties>
</file>