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iability_allocation_in_accidents_d74967"/>
      <w:r>
        <w:rPr>
          <w:b/>
          <w:sz w:val="56"/>
        </w:rPr>
        <w:t xml:space="preserve">Liability Allocation in Accidents Involving Advanced Driver-Assistance Systems (ADAS)</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Vehicles equipped with Advanced Driver-Assistance Systems (ADAS) blur the traditional boundary between driver and machine, raising novel questions about who bears legal responsibility when accidents occur. As ADAS features become standard in new vehicles, the legal system—built around the assumption that a human is always fully in control—faces growing pressure to adapt. This report examines how existing legal frameworks apply to ADAS-related accidents, reviews illustrative case examples, discusses the challenge of drawing responsibility boundaries between humans and machines, and offers broad regulatory recommendations for policymakers.</w:t>
      </w:r>
    </w:p>
    <w:p>
      <w:pPr>
        <w:spacing w:line="271" w:before="240" w:lineRule="auto"/>
      </w:pPr>
      <w:bookmarkStart w:id="2" w:name="what_are_advanced_driver_assistan_8545b5"/>
      <w:r>
        <w:rPr>
          <w:b/>
          <w:sz w:val="42"/>
        </w:rPr>
        <w:t xml:space="preserve">What Are Advanced Driver-Assistance Systems?</w:t>
      </w:r>
      <w:bookmarkEnd w:id="2"/>
    </w:p>
    <w:p>
      <w:pPr>
        <w:spacing w:after="210" w:lineRule="auto"/>
      </w:pPr>
      <w:r>
        <w:rPr/>
        <w:t xml:space="preserve">ADAS refers to a family of safety-oriented technologies built into modern vehicles that help drivers avoid or mitigate accidents. Common examples include:[1]</w:t>
      </w:r>
    </w:p>
    <w:p>
      <w:pPr>
        <w:numPr>
          <w:ilvl w:val="0"/>
          <w:numId w:val="1"/>
        </w:numPr>
        <w:spacing w:lineRule="auto"/>
      </w:pPr>
      <w:r>
        <w:rPr>
          <w:b/>
        </w:rPr>
        <w:t xml:space="preserve">Adaptive cruise control</w:t>
      </w:r>
      <w:r>
        <w:rPr>
          <w:rFonts w:eastAsia="Georgia" w:cs="Georgia" w:ascii="Georgia" w:hAnsi="Georgia"/>
        </w:rPr>
        <w:t xml:space="preserve"> – automatically adjusts vehicle speed to maintain a safe following distance.</w:t>
      </w:r>
    </w:p>
    <w:p>
      <w:pPr>
        <w:numPr>
          <w:ilvl w:val="0"/>
          <w:numId w:val="1"/>
        </w:numPr>
        <w:spacing w:lineRule="auto"/>
      </w:pPr>
      <w:r>
        <w:rPr>
          <w:b/>
        </w:rPr>
        <w:t xml:space="preserve">Lane-keeping assist</w:t>
      </w:r>
      <w:r>
        <w:rPr>
          <w:rFonts w:eastAsia="Georgia" w:cs="Georgia" w:ascii="Georgia" w:hAnsi="Georgia"/>
        </w:rPr>
        <w:t xml:space="preserve"> – nudges the steering wheel to keep the car within lane markings.</w:t>
      </w:r>
    </w:p>
    <w:p>
      <w:pPr>
        <w:numPr>
          <w:ilvl w:val="0"/>
          <w:numId w:val="1"/>
        </w:numPr>
        <w:spacing w:lineRule="auto"/>
      </w:pPr>
      <w:r>
        <w:rPr>
          <w:b/>
        </w:rPr>
        <w:t xml:space="preserve">Automatic emergency braking (AEB)</w:t>
      </w:r>
      <w:r>
        <w:rPr>
          <w:rFonts w:eastAsia="Georgia" w:cs="Georgia" w:ascii="Georgia" w:hAnsi="Georgia"/>
        </w:rPr>
        <w:t xml:space="preserve"> – applies the brakes if the system detects an imminent collision.</w:t>
      </w:r>
    </w:p>
    <w:p>
      <w:pPr>
        <w:numPr>
          <w:ilvl w:val="0"/>
          <w:numId w:val="1"/>
        </w:numPr>
        <w:spacing w:lineRule="auto"/>
      </w:pPr>
      <w:r>
        <w:rPr>
          <w:b/>
        </w:rPr>
        <w:t xml:space="preserve">Blind-spot detection</w:t>
      </w:r>
      <w:r>
        <w:rPr>
          <w:rFonts w:eastAsia="Georgia" w:cs="Georgia" w:ascii="Georgia" w:hAnsi="Georgia"/>
        </w:rPr>
        <w:t xml:space="preserve"> – alerts the driver when another vehicle is in a hard-to-see zone.[2]</w:t>
      </w:r>
    </w:p>
    <w:p>
      <w:pPr>
        <w:spacing w:after="210" w:lineRule="auto"/>
      </w:pPr>
      <w:r>
        <w:rPr>
          <w:rFonts w:eastAsia="Georgia" w:cs="Georgia" w:ascii="Georgia" w:hAnsi="Georgia"/>
        </w:rPr>
        <w:t xml:space="preserve">These systems combine cameras, radar, and software to monitor the vehicle's surroundings and intervene in certain situations. Crucially, current ADAS—classified mostly as SAE Level 2 automation—are designed to </w:t>
      </w:r>
      <w:r>
        <w:rPr>
          <w:i/>
        </w:rPr>
        <w:t xml:space="preserve">assist</w:t>
      </w:r>
      <w:r>
        <w:rPr/>
        <w:t xml:space="preserve"> the driver, not replace them. The driver is expected to remain alert, keep hands on the wheel, and be ready to take over at any moment. This "shared driving" arrangement is central to the liability questions explored in this report.[3][4][2]</w:t>
      </w:r>
    </w:p>
    <w:p>
      <w:pPr>
        <w:spacing w:line="271" w:before="240" w:lineRule="auto"/>
      </w:pPr>
      <w:bookmarkStart w:id="3" w:name="existing_legal_frameworks"/>
      <w:r>
        <w:rPr>
          <w:b/>
          <w:sz w:val="42"/>
        </w:rPr>
        <w:t xml:space="preserve">Existing Legal Frameworks</w:t>
      </w:r>
      <w:bookmarkEnd w:id="3"/>
    </w:p>
    <w:p>
      <w:pPr>
        <w:spacing w:line="271" w:before="240" w:lineRule="auto"/>
      </w:pPr>
      <w:bookmarkStart w:id="4" w:name="product_liability"/>
      <w:r>
        <w:rPr>
          <w:b/>
          <w:sz w:val="33"/>
        </w:rPr>
        <w:t xml:space="preserve">Product Liability</w:t>
      </w:r>
      <w:bookmarkEnd w:id="4"/>
    </w:p>
    <w:p>
      <w:pPr>
        <w:spacing w:after="210" w:lineRule="auto"/>
      </w:pPr>
      <w:r>
        <w:rPr/>
        <w:t xml:space="preserve">Product liability law holds manufacturers, sellers, and distributors responsible when a defective product causes harm. In the ADAS context, three traditional theories apply:[3]</w:t>
      </w:r>
    </w:p>
    <w:p>
      <w:pPr>
        <w:numPr>
          <w:ilvl w:val="0"/>
          <w:numId w:val="2"/>
        </w:numPr>
        <w:spacing w:lineRule="auto"/>
      </w:pPr>
      <w:r>
        <w:rPr>
          <w:b/>
        </w:rPr>
        <w:t xml:space="preserve">Design defect</w:t>
      </w:r>
      <w:r>
        <w:rPr>
          <w:rFonts w:eastAsia="Georgia" w:cs="Georgia" w:ascii="Georgia" w:hAnsi="Georgia"/>
        </w:rPr>
        <w:t xml:space="preserve"> – the ADAS feature was designed in a way that makes it unreasonably dangerous to consumers.</w:t>
      </w:r>
    </w:p>
    <w:p>
      <w:pPr>
        <w:numPr>
          <w:ilvl w:val="0"/>
          <w:numId w:val="2"/>
        </w:numPr>
        <w:spacing w:lineRule="auto"/>
      </w:pPr>
      <w:r>
        <w:rPr>
          <w:b/>
        </w:rPr>
        <w:t xml:space="preserve">Manufacturing defect</w:t>
      </w:r>
      <w:r>
        <w:rPr>
          <w:rFonts w:eastAsia="Georgia" w:cs="Georgia" w:ascii="Georgia" w:hAnsi="Georgia"/>
        </w:rPr>
        <w:t xml:space="preserve"> – the product departed from its intended design during production, making it more dangerous than expected.</w:t>
      </w:r>
    </w:p>
    <w:p>
      <w:pPr>
        <w:numPr>
          <w:ilvl w:val="0"/>
          <w:numId w:val="2"/>
        </w:numPr>
        <w:spacing w:lineRule="auto"/>
      </w:pPr>
      <w:r>
        <w:rPr>
          <w:b/>
        </w:rPr>
        <w:t xml:space="preserve">Failure to warn</w:t>
      </w:r>
      <w:r>
        <w:rPr>
          <w:rFonts w:eastAsia="Georgia" w:cs="Georgia" w:ascii="Georgia" w:hAnsi="Georgia"/>
        </w:rPr>
        <w:t xml:space="preserve"> – the manufacturer failed to provide adequate instructions about the system's limitations or failed to warn consumers of hidden risks.</w:t>
      </w:r>
    </w:p>
    <w:p>
      <w:pPr>
        <w:spacing w:after="210" w:lineRule="auto"/>
      </w:pPr>
      <w:r>
        <w:rPr/>
        <w:t xml:space="preserve">Under traditional strict liability standards, a manufacturer can be held liable even if it exercised "all possible care" in producing the product. This means that if an ADAS system is deemed defective, the manufacturer faces liability regardless of how diligently it developed the technology.[5]</w:t>
      </w:r>
    </w:p>
    <w:p>
      <w:pPr>
        <w:spacing w:after="210" w:lineRule="auto"/>
      </w:pPr>
      <w:r>
        <w:rPr>
          <w:rFonts w:eastAsia="Georgia" w:cs="Georgia" w:ascii="Georgia" w:hAnsi="Georgia"/>
        </w:rPr>
        <w:t xml:space="preserve">The EU's revised Product Liability Directive (effective December 2024) significantly expands this framework by explicitly treating software—including embedded AI, over-the-air updates, and connected digital services—as "products" subject to strict liability. The directive also introduces presumptions of defectiveness when a manufacturer fails to disclose relevant evidence or when a product does not comply with mandatory safety requirements, lowering the evidentiary burden on claimants.[6][7]</w:t>
      </w:r>
    </w:p>
    <w:p>
      <w:pPr>
        <w:spacing w:line="271" w:before="240" w:lineRule="auto"/>
      </w:pPr>
      <w:bookmarkStart w:id="5" w:name="negligence"/>
      <w:r>
        <w:rPr>
          <w:b/>
          <w:sz w:val="33"/>
        </w:rPr>
        <w:t xml:space="preserve">Negligence</w:t>
      </w:r>
      <w:bookmarkEnd w:id="5"/>
    </w:p>
    <w:p>
      <w:pPr>
        <w:spacing w:after="210" w:lineRule="auto"/>
      </w:pPr>
      <w:r>
        <w:rPr/>
        <w:t xml:space="preserve">Negligence law evaluates whether a party failed to exercise reasonable care. For ADAS-related accidents, negligence can apply to multiple parties:[1]</w:t>
      </w:r>
    </w:p>
    <w:p>
      <w:pPr>
        <w:numPr>
          <w:ilvl w:val="0"/>
          <w:numId w:val="3"/>
        </w:numPr>
        <w:spacing w:lineRule="auto"/>
      </w:pPr>
      <w:r>
        <w:rPr>
          <w:b/>
        </w:rPr>
        <w:t xml:space="preserve">The driver</w:t>
      </w:r>
      <w:r>
        <w:rPr>
          <w:rFonts w:eastAsia="Georgia" w:cs="Georgia" w:ascii="Georgia" w:hAnsi="Georgia"/>
        </w:rPr>
        <w:t xml:space="preserve"> – who may have over-relied on the system, ignored warnings, or been distracted while ADAS was engaged.[3]</w:t>
      </w:r>
    </w:p>
    <w:p>
      <w:pPr>
        <w:numPr>
          <w:ilvl w:val="0"/>
          <w:numId w:val="3"/>
        </w:numPr>
        <w:spacing w:lineRule="auto"/>
      </w:pPr>
      <w:r>
        <w:rPr>
          <w:b/>
        </w:rPr>
        <w:t xml:space="preserve">The manufacturer</w:t>
      </w:r>
      <w:r>
        <w:rPr>
          <w:rFonts w:eastAsia="Georgia" w:cs="Georgia" w:ascii="Georgia" w:hAnsi="Georgia"/>
        </w:rPr>
        <w:t xml:space="preserve"> – whose engineers may have failed to design the system to handle reasonably foreseeable hazards.</w:t>
      </w:r>
    </w:p>
    <w:p>
      <w:pPr>
        <w:numPr>
          <w:ilvl w:val="0"/>
          <w:numId w:val="3"/>
        </w:numPr>
        <w:spacing w:lineRule="auto"/>
      </w:pPr>
      <w:r>
        <w:rPr>
          <w:b/>
        </w:rPr>
        <w:t xml:space="preserve">Maintenance and repair providers</w:t>
      </w:r>
      <w:r>
        <w:rPr>
          <w:rFonts w:eastAsia="Georgia" w:cs="Georgia" w:ascii="Georgia" w:hAnsi="Georgia"/>
        </w:rPr>
        <w:t xml:space="preserve"> – who may have improperly calibrated ADAS sensors after a repair, leading to system malfunction.[3]</w:t>
      </w:r>
    </w:p>
    <w:p>
      <w:pPr>
        <w:spacing w:after="210" w:lineRule="auto"/>
      </w:pPr>
      <w:r>
        <w:rPr/>
        <w:t xml:space="preserve">Most U.S. jurisdictions apply a comparative fault system, meaning liability can be split among multiple parties based on each party's degree of fault. If a driver was distracted </w:t>
      </w:r>
      <w:r>
        <w:rPr>
          <w:i/>
        </w:rPr>
        <w:t xml:space="preserve">and</w:t>
      </w:r>
      <w:r>
        <w:rPr/>
        <w:t xml:space="preserve"> the ADAS failed to trigger an appropriate alert, both the driver and manufacturer may share responsibility.[4]</w:t>
      </w:r>
    </w:p>
    <w:p>
      <w:pPr>
        <w:spacing w:line="271" w:before="240" w:lineRule="auto"/>
      </w:pPr>
      <w:bookmarkStart w:id="6" w:name="fraud_and_misrepresentation"/>
      <w:r>
        <w:rPr>
          <w:b/>
          <w:sz w:val="33"/>
        </w:rPr>
        <w:t xml:space="preserve">Fraud and Misrepresentation</w:t>
      </w:r>
      <w:bookmarkEnd w:id="6"/>
    </w:p>
    <w:p>
      <w:pPr>
        <w:spacing w:after="210" w:lineRule="auto"/>
      </w:pPr>
      <w:r>
        <w:rPr/>
        <w:t xml:space="preserve">A growing area of concern involves manufacturers overstating the capabilities of their ADAS features through marketing. When companies suggest their systems are more capable than they actually are, consumers may develop a false sense of security. Courts have increasingly scrutinized this "automation complacency" and recognized that misleading marketing can expose manufacturers to fraud and warranty claims when accidents result from drivers trusting overblown capability claims.[8][9]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Legal Theory</w:t>
            </w:r>
          </w:p>
        </w:tc>
        <w:tc>
          <w:tcPr>
            <w:tcBorders>
              <w:top w:val="single" w:sz="1" w:space="0" w:color="000000"/>
              <w:left w:val="single" w:sz="1" w:space="0" w:color="000000"/>
              <w:bottom w:val="single" w:sz="1" w:space="0" w:color="000000"/>
            </w:tcBorders>
          </w:tcPr>
          <w:p>
            <w:pPr>
              <w:spacing w:lineRule="auto"/>
            </w:pPr>
            <w:r>
              <w:rPr/>
              <w:t xml:space="preserve">Who May Be Liable</w:t>
            </w:r>
          </w:p>
        </w:tc>
        <w:tc>
          <w:tcPr>
            <w:tcBorders>
              <w:top w:val="single" w:sz="1" w:space="0" w:color="000000"/>
              <w:left w:val="single" w:sz="1" w:space="0" w:color="000000"/>
              <w:bottom w:val="single" w:sz="1" w:space="0" w:color="000000"/>
            </w:tcBorders>
          </w:tcPr>
          <w:p>
            <w:pPr>
              <w:spacing w:lineRule="auto"/>
            </w:pPr>
            <w:r>
              <w:rPr/>
              <w:t xml:space="preserve">Key Question</w:t>
            </w:r>
          </w:p>
        </w:tc>
      </w:tr>
      <w:tr>
        <w:trPr>
          <w:cantSplit/>
        </w:trPr>
        <w:tc>
          <w:tcPr>
            <w:tcBorders>
              <w:top w:val="single" w:sz="1" w:space="0" w:color="000000"/>
              <w:bottom w:val="single" w:sz="1" w:space="0" w:color="000000"/>
            </w:tcBorders>
          </w:tcPr>
          <w:p>
            <w:pPr>
              <w:spacing w:lineRule="auto"/>
            </w:pPr>
            <w:r>
              <w:rPr/>
              <w:t xml:space="preserve">Product liability (strict)</w:t>
            </w:r>
          </w:p>
        </w:tc>
        <w:tc>
          <w:tcPr>
            <w:tcBorders>
              <w:top w:val="single" w:sz="1" w:space="0" w:color="000000"/>
              <w:left w:val="single" w:sz="1" w:space="0" w:color="000000"/>
              <w:bottom w:val="single" w:sz="1" w:space="0" w:color="000000"/>
            </w:tcBorders>
          </w:tcPr>
          <w:p>
            <w:pPr>
              <w:spacing w:lineRule="auto"/>
            </w:pPr>
            <w:r>
              <w:rPr/>
              <w:t xml:space="preserve">Manufacturer, software developer, component supplier</w:t>
            </w:r>
          </w:p>
        </w:tc>
        <w:tc>
          <w:tcPr>
            <w:tcBorders>
              <w:top w:val="single" w:sz="1" w:space="0" w:color="000000"/>
              <w:left w:val="single" w:sz="1" w:space="0" w:color="000000"/>
              <w:bottom w:val="single" w:sz="1" w:space="0" w:color="000000"/>
            </w:tcBorders>
          </w:tcPr>
          <w:p>
            <w:pPr>
              <w:spacing w:lineRule="auto"/>
            </w:pPr>
            <w:r>
              <w:rPr/>
              <w:t xml:space="preserve">Was the ADAS system defective in design, manufacture, or warnings?[3]</w:t>
            </w:r>
          </w:p>
        </w:tc>
      </w:tr>
      <w:tr>
        <w:trPr>
          <w:cantSplit/>
        </w:trPr>
        <w:tc>
          <w:tcPr>
            <w:tcBorders>
              <w:top w:val="single" w:sz="1" w:space="0" w:color="000000"/>
              <w:bottom w:val="single" w:sz="1" w:space="0" w:color="000000"/>
            </w:tcBorders>
          </w:tcPr>
          <w:p>
            <w:pPr>
              <w:spacing w:lineRule="auto"/>
            </w:pPr>
            <w:r>
              <w:rPr/>
              <w:t xml:space="preserve">Negligence</w:t>
            </w:r>
          </w:p>
        </w:tc>
        <w:tc>
          <w:tcPr>
            <w:tcBorders>
              <w:top w:val="single" w:sz="1" w:space="0" w:color="000000"/>
              <w:left w:val="single" w:sz="1" w:space="0" w:color="000000"/>
              <w:bottom w:val="single" w:sz="1" w:space="0" w:color="000000"/>
            </w:tcBorders>
          </w:tcPr>
          <w:p>
            <w:pPr>
              <w:spacing w:lineRule="auto"/>
            </w:pPr>
            <w:r>
              <w:rPr/>
              <w:t xml:space="preserve">Driver, manufacturer, repair provider</w:t>
            </w:r>
          </w:p>
        </w:tc>
        <w:tc>
          <w:tcPr>
            <w:tcBorders>
              <w:top w:val="single" w:sz="1" w:space="0" w:color="000000"/>
              <w:left w:val="single" w:sz="1" w:space="0" w:color="000000"/>
              <w:bottom w:val="single" w:sz="1" w:space="0" w:color="000000"/>
            </w:tcBorders>
          </w:tcPr>
          <w:p>
            <w:pPr>
              <w:spacing w:lineRule="auto"/>
            </w:pPr>
            <w:r>
              <w:rPr/>
              <w:t xml:space="preserve">Did any party fail to exercise reasonable care?[1]</w:t>
            </w:r>
          </w:p>
        </w:tc>
      </w:tr>
      <w:tr>
        <w:trPr>
          <w:cantSplit/>
        </w:trPr>
        <w:tc>
          <w:tcPr>
            <w:tcBorders>
              <w:top w:val="single" w:sz="1" w:space="0" w:color="000000"/>
              <w:bottom w:val="single" w:sz="1" w:space="0" w:color="000000"/>
            </w:tcBorders>
          </w:tcPr>
          <w:p>
            <w:pPr>
              <w:spacing w:lineRule="auto"/>
            </w:pPr>
            <w:r>
              <w:rPr/>
              <w:t xml:space="preserve">Fraud / Misrepresentation</w:t>
            </w:r>
          </w:p>
        </w:tc>
        <w:tc>
          <w:tcPr>
            <w:tcBorders>
              <w:top w:val="single" w:sz="1" w:space="0" w:color="000000"/>
              <w:left w:val="single" w:sz="1" w:space="0" w:color="000000"/>
              <w:bottom w:val="single" w:sz="1" w:space="0" w:color="000000"/>
            </w:tcBorders>
          </w:tcPr>
          <w:p>
            <w:pPr>
              <w:spacing w:lineRule="auto"/>
            </w:pPr>
            <w:r>
              <w:rPr/>
              <w:t xml:space="preserve">Manufacturer, marketer</w:t>
            </w:r>
          </w:p>
        </w:tc>
        <w:tc>
          <w:tcPr>
            <w:tcBorders>
              <w:top w:val="single" w:sz="1" w:space="0" w:color="000000"/>
              <w:left w:val="single" w:sz="1" w:space="0" w:color="000000"/>
              <w:bottom w:val="single" w:sz="1" w:space="0" w:color="000000"/>
            </w:tcBorders>
          </w:tcPr>
          <w:p>
            <w:pPr>
              <w:spacing w:lineRule="auto"/>
            </w:pPr>
            <w:r>
              <w:rPr/>
              <w:t xml:space="preserve">Were ADAS capabilities overstated or misleadingly advertised?[8]</w:t>
            </w:r>
          </w:p>
        </w:tc>
      </w:tr>
      <w:tr>
        <w:trPr>
          <w:cantSplit/>
        </w:trPr>
        <w:tc>
          <w:tcPr>
            <w:tcBorders>
              <w:top w:val="single" w:sz="1" w:space="0" w:color="000000"/>
              <w:bottom w:val="single" w:sz="1" w:space="0" w:color="000000"/>
            </w:tcBorders>
          </w:tcPr>
          <w:p>
            <w:pPr>
              <w:spacing w:lineRule="auto"/>
            </w:pPr>
            <w:r>
              <w:rPr/>
              <w:t xml:space="preserve">Comparative fault</w:t>
            </w:r>
          </w:p>
        </w:tc>
        <w:tc>
          <w:tcPr>
            <w:tcBorders>
              <w:top w:val="single" w:sz="1" w:space="0" w:color="000000"/>
              <w:left w:val="single" w:sz="1" w:space="0" w:color="000000"/>
              <w:bottom w:val="single" w:sz="1" w:space="0" w:color="000000"/>
            </w:tcBorders>
          </w:tcPr>
          <w:p>
            <w:pPr>
              <w:spacing w:lineRule="auto"/>
            </w:pPr>
            <w:r>
              <w:rPr/>
              <w:t xml:space="preserve">Multiple parties</w:t>
            </w:r>
          </w:p>
        </w:tc>
        <w:tc>
          <w:tcPr>
            <w:tcBorders>
              <w:top w:val="single" w:sz="1" w:space="0" w:color="000000"/>
              <w:left w:val="single" w:sz="1" w:space="0" w:color="000000"/>
              <w:bottom w:val="single" w:sz="1" w:space="0" w:color="000000"/>
            </w:tcBorders>
          </w:tcPr>
          <w:p>
            <w:pPr>
              <w:spacing w:lineRule="auto"/>
            </w:pPr>
            <w:r>
              <w:rPr/>
              <w:t xml:space="preserve">How should responsibility be apportioned among all parties?[4]</w:t>
            </w:r>
          </w:p>
        </w:tc>
      </w:tr>
    </w:tbl>
    <w:p>
      <w:pPr>
        <w:spacing w:lineRule="auto"/>
      </w:pPr>
    </w:p>
    <w:p>
      <w:pPr>
        <w:spacing w:line="271" w:before="240" w:lineRule="auto"/>
      </w:pPr>
      <w:bookmarkStart w:id="7" w:name="illustrative_case_examples"/>
      <w:r>
        <w:rPr>
          <w:b/>
          <w:sz w:val="42"/>
        </w:rPr>
        <w:t xml:space="preserve">Illustrative Case Examples</w:t>
      </w:r>
      <w:bookmarkEnd w:id="7"/>
    </w:p>
    <w:p>
      <w:pPr>
        <w:spacing w:line="271" w:before="240" w:lineRule="auto"/>
      </w:pPr>
      <w:bookmarkStart w:id="8" w:name="tesla_autopilot_florida_verdict_2025"/>
      <w:r>
        <w:rPr>
          <w:rFonts w:eastAsia="Georgia" w:cs="Georgia" w:ascii="Georgia" w:hAnsi="Georgia"/>
          <w:b/>
          <w:sz w:val="33"/>
        </w:rPr>
        <w:t xml:space="preserve">Tesla Autopilot – Florida Verdict (2025)</w:t>
      </w:r>
      <w:bookmarkEnd w:id="8"/>
    </w:p>
    <w:p>
      <w:pPr>
        <w:spacing w:after="210" w:lineRule="auto"/>
      </w:pPr>
      <w:r>
        <w:rPr/>
        <w:t xml:space="preserve">In one of the most significant ADAS liability cases to date, a Florida jury in August 2025 ordered Tesla to pay approximately $243 million in damages arising from a 2019 fatal crash. The driver admitted to being distracted by his cellphone before his Model S struck a parked vehicle, killing one person and injuring another. The jury found Tesla 33% liable, concluding that the Autopilot system failed to brake or alert the driver and that the company had overstated the system's safety capabilities. A federal judge subsequently upheld the verdict in February 2026, rejecting Tesla's request for a new trial. This case is notable for being the first Autopilot wrongful-death verdict to go through trial, as Tesla had previously settled or successfully dismissed similar lawsuits.[10][11][12][13]</w:t>
      </w:r>
    </w:p>
    <w:p>
      <w:pPr>
        <w:spacing w:line="271" w:before="240" w:lineRule="auto"/>
      </w:pPr>
      <w:bookmarkStart w:id="9" w:name="uber_self_driving_test_vehicle_ar_aa7c11"/>
      <w:r>
        <w:rPr>
          <w:rFonts w:eastAsia="Georgia" w:cs="Georgia" w:ascii="Georgia" w:hAnsi="Georgia"/>
          <w:b/>
          <w:sz w:val="33"/>
        </w:rPr>
        <w:t xml:space="preserve">Uber Self-Driving Test Vehicle – Arizona (2018)</w:t>
      </w:r>
      <w:bookmarkEnd w:id="9"/>
    </w:p>
    <w:p>
      <w:pPr>
        <w:spacing w:after="210" w:lineRule="auto"/>
      </w:pPr>
      <w:r>
        <w:rPr>
          <w:rFonts w:eastAsia="Georgia" w:cs="Georgia" w:ascii="Georgia" w:hAnsi="Georgia"/>
        </w:rPr>
        <w:t xml:space="preserve">In March 2018, an Uber autonomous test vehicle struck and killed pedestrian Elaine Herzberg in Tempe, Arizona—the first recorded pedestrian fatality involving a self-driving car. The vehicle's system detected Herzberg but cycled through classifying her as an unknown object, a vehicle, and a bicycle, and was configured not to activate emergency braking while in autonomous mode. The safety driver was streaming a television show on her phone and failed to monitor the road. Prosecutors declined to charge Uber criminally, while the safety driver pleaded guilty to endangerment and received three years of supervised probation. The case highlights how liability can flow to the human operator when negligence is clear, even as questions about the company's safety procedures linger.[14][15]</w:t>
      </w:r>
    </w:p>
    <w:p>
      <w:pPr>
        <w:spacing w:line="271" w:before="240" w:lineRule="auto"/>
      </w:pPr>
      <w:bookmarkStart w:id="10" w:name="fca_defense_verdict_missouri_2024"/>
      <w:r>
        <w:rPr>
          <w:rFonts w:eastAsia="Georgia" w:cs="Georgia" w:ascii="Georgia" w:hAnsi="Georgia"/>
          <w:b/>
          <w:sz w:val="33"/>
        </w:rPr>
        <w:t xml:space="preserve">FCA Defense Verdict – Missouri (2024)</w:t>
      </w:r>
      <w:bookmarkEnd w:id="10"/>
    </w:p>
    <w:p>
      <w:pPr>
        <w:spacing w:after="210" w:lineRule="auto"/>
      </w:pPr>
      <w:r>
        <w:rPr/>
        <w:t xml:space="preserve">Not all ADAS cases result in manufacturer liability. In a Missouri product liability trial, Fiat Chrysler Automobiles (FCA) won a unanimous defense verdict after a plaintiff alleged that a 2016 Dodge Grand Caravan was defective for lacking Forward Collision Warning and AEB systems. The jury concluded that the crash was caused by the operator's reckless driving, and that these ADAS systems are designed to redirect a driver's attention rather than eliminate reckless behavior. This case underscores that courts still assign significant weight to driver responsibility.[16]</w:t>
      </w:r>
    </w:p>
    <w:p>
      <w:pPr>
        <w:spacing w:line="271" w:before="240" w:lineRule="auto"/>
      </w:pPr>
      <w:bookmarkStart w:id="11" w:name="responsibility_boundaries_the_hum_cf8a2e"/>
      <w:r>
        <w:rPr>
          <w:b/>
          <w:sz w:val="42"/>
        </w:rPr>
        <w:t xml:space="preserve">Responsibility Boundaries: The Human-Machine Challenge</w:t>
      </w:r>
      <w:bookmarkEnd w:id="11"/>
    </w:p>
    <w:p>
      <w:pPr>
        <w:spacing w:line="271" w:before="240" w:lineRule="auto"/>
      </w:pPr>
      <w:bookmarkStart w:id="12" w:name="the_problem_of_collaborative_driving"/>
      <w:r>
        <w:rPr>
          <w:b/>
          <w:sz w:val="33"/>
        </w:rPr>
        <w:t xml:space="preserve">The Problem of "Collaborative Driving"</w:t>
      </w:r>
      <w:bookmarkEnd w:id="12"/>
    </w:p>
    <w:p>
      <w:pPr>
        <w:spacing w:after="210" w:lineRule="auto"/>
      </w:pPr>
      <w:r>
        <w:rPr>
          <w:rFonts w:eastAsia="Georgia" w:cs="Georgia" w:ascii="Georgia" w:hAnsi="Georgia"/>
        </w:rPr>
        <w:t xml:space="preserve">The central difficulty with ADAS liability is that the human and the machine are each doing part of the driving task. A 2024 Iowa Law Review article frames this as "collaborative driving," arguing that when a driver and an automated system share control, neither party should bear the full burden of liability when something goes wrong. Manufacturers claim drivers must maintain constant oversight, but research shows that users of Level 2 systems tend to become less attentive over time—a phenomenon known as automation complacency. A 2021 MIT study found that drivers using semi-autonomous systems exhibited reduced situational awareness the longer they used them.[9][8]</w:t>
      </w:r>
    </w:p>
    <w:p>
      <w:pPr>
        <w:spacing w:after="210" w:lineRule="auto"/>
      </w:pPr>
      <w:r>
        <w:rPr>
          <w:rFonts w:eastAsia="Georgia" w:cs="Georgia" w:ascii="Georgia" w:hAnsi="Georgia"/>
        </w:rPr>
        <w:t xml:space="preserve">This creates a paradox: ADAS systems are marketed to reduce the burden of driving, yet their safe operation depends on the driver remaining fully engaged. When drivers' trust proves misplaced—especially if that trust was encouraged by manufacturer marketing—courts are increasingly willing to hold automakers accountable alongside the driver.[8]</w:t>
      </w:r>
    </w:p>
    <w:p>
      <w:pPr>
        <w:spacing w:line="271" w:before="240" w:lineRule="auto"/>
      </w:pPr>
      <w:bookmarkStart w:id="13" w:name="divergent_manufacturer_approaches"/>
      <w:r>
        <w:rPr>
          <w:b/>
          <w:sz w:val="33"/>
        </w:rPr>
        <w:t xml:space="preserve">Divergent Manufacturer Approaches</w:t>
      </w:r>
      <w:bookmarkEnd w:id="13"/>
    </w:p>
    <w:p>
      <w:pPr>
        <w:spacing w:after="210" w:lineRule="auto"/>
      </w:pPr>
      <w:r>
        <w:rPr/>
        <w:t xml:space="preserve">Manufacturers themselves differ in how they approach responsibility. Tesla has consistently maintained that drivers are responsible for maintaining control at all times, positioning Autopilot as an assistive technology. In contrast, Volvo publicly committed as early as 2015 to accept full liability for crashes occurring while its vehicles are operating in autonomous mode, including incidents caused by system failures or hacking. These divergent approaches reflect the absence of a clear, standardized framework for allocating responsibility.[9]</w:t>
      </w:r>
    </w:p>
    <w:p>
      <w:pPr>
        <w:spacing w:line="271" w:before="240" w:lineRule="auto"/>
      </w:pPr>
      <w:bookmarkStart w:id="14" w:name="the_handoff_problem"/>
      <w:r>
        <w:rPr>
          <w:b/>
          <w:sz w:val="33"/>
        </w:rPr>
        <w:t xml:space="preserve">The Handoff Problem</w:t>
      </w:r>
      <w:bookmarkEnd w:id="14"/>
    </w:p>
    <w:p>
      <w:pPr>
        <w:spacing w:after="210" w:lineRule="auto"/>
      </w:pPr>
      <w:r>
        <w:rPr>
          <w:rFonts w:eastAsia="Georgia" w:cs="Georgia" w:ascii="Georgia" w:hAnsi="Georgia"/>
        </w:rPr>
        <w:t xml:space="preserve">When an ADAS system reaches the limits of its capability—poor weather, unusual road conditions, or an edge case the software was not trained to handle—it needs the driver to take over. However, research indicates that drivers experience a significant delay in regaining situational awareness after a period of automated driving. This "handoff problem" means that even an attentive driver may not react quickly enough to prevent an accident when the system suddenly demands human intervention. Determining who is at fault during this critical transition period remains one of the most challenging liability questions.[17]</w:t>
      </w:r>
    </w:p>
    <w:p>
      <w:pPr>
        <w:spacing w:line="271" w:before="240" w:lineRule="auto"/>
      </w:pPr>
      <w:bookmarkStart w:id="15" w:name="regulatory_landscape_and_emerging_493321"/>
      <w:r>
        <w:rPr>
          <w:b/>
          <w:sz w:val="42"/>
        </w:rPr>
        <w:t xml:space="preserve">Regulatory Landscape and Emerging Frameworks</w:t>
      </w:r>
      <w:bookmarkEnd w:id="15"/>
    </w:p>
    <w:p>
      <w:pPr>
        <w:spacing w:line="271" w:before="240" w:lineRule="auto"/>
      </w:pPr>
      <w:bookmarkStart w:id="16" w:name="united_states"/>
      <w:r>
        <w:rPr>
          <w:b/>
          <w:sz w:val="33"/>
        </w:rPr>
        <w:t xml:space="preserve">United States</w:t>
      </w:r>
      <w:bookmarkEnd w:id="16"/>
    </w:p>
    <w:p>
      <w:pPr>
        <w:spacing w:after="210" w:lineRule="auto"/>
      </w:pPr>
      <w:r>
        <w:rPr/>
        <w:t xml:space="preserve">In the U.S., regulation is fragmented across federal and state levels. The National Highway Traffic Safety Administration (NHTSA) sets federal vehicle safety standards and has taken steps to create oversight frameworks. In April 2025, NHTSA announced a new Autonomous Vehicle Framework prioritizing safety, innovation, and commercial deployment, and streamlined crash-reporting requirements for ADAS and autonomous driving systems. Several proposed rulemakings are underway to update Federal Motor Vehicle Safety Standards for vehicles with advanced automation. However, a comprehensive federal liability framework specifically addressing ADAS has yet to be enacted.[18][19][2]</w:t>
      </w:r>
    </w:p>
    <w:p>
      <w:pPr>
        <w:spacing w:line="271" w:before="240" w:lineRule="auto"/>
      </w:pPr>
      <w:bookmarkStart w:id="17" w:name="united_kingdom"/>
      <w:r>
        <w:rPr>
          <w:b/>
          <w:sz w:val="33"/>
        </w:rPr>
        <w:t xml:space="preserve">United Kingdom</w:t>
      </w:r>
      <w:bookmarkEnd w:id="17"/>
    </w:p>
    <w:p>
      <w:pPr>
        <w:spacing w:after="210" w:lineRule="auto"/>
      </w:pPr>
      <w:r>
        <w:rPr>
          <w:rFonts w:eastAsia="Georgia" w:cs="Georgia" w:ascii="Georgia" w:hAnsi="Georgia"/>
        </w:rPr>
        <w:t xml:space="preserve">The UK's Automated Vehicles Act 2024 establishes one of the most structured regulatory approaches globally. The Act requires that autonomous vehicles meet a safety standard equivalent to a "careful and competent human driver" before receiving authorization. It creates new legal roles—Authorised Self-Driving Entity Developers (ASDEs) and No-User-in-Charge operators—who bear primary compliance and safety responsibilities rather than individual drivers. The framework also provides for independent, no-blame incident investigators modeled on existing aviation and rail safety investigation branches.[20][21][22]</w:t>
      </w:r>
    </w:p>
    <w:p>
      <w:pPr>
        <w:spacing w:line="271" w:before="240" w:lineRule="auto"/>
      </w:pPr>
      <w:bookmarkStart w:id="18" w:name="china"/>
      <w:r>
        <w:rPr>
          <w:b/>
          <w:sz w:val="33"/>
        </w:rPr>
        <w:t xml:space="preserve">China</w:t>
      </w:r>
      <w:bookmarkEnd w:id="18"/>
    </w:p>
    <w:p>
      <w:pPr>
        <w:spacing w:after="210" w:lineRule="auto"/>
      </w:pPr>
      <w:r>
        <w:rPr>
          <w:rFonts w:eastAsia="Georgia" w:cs="Georgia" w:ascii="Georgia" w:hAnsi="Georgia"/>
        </w:rPr>
        <w:t xml:space="preserve">China's regulatory approach, formalized through Beijing's Autonomous Vehicle Regulation (effective April 2025), places primary liability on manufacturers for vehicle quality and system performance, and on fleet operators for safe operations. Shanghai's framework goes further: if an autonomous vehicle operating in self-driving mode causes an accident, the operating entity must compensate the victim first, and may later seek recovery from the manufacturer. Comprehensive data-recording requirements—including retention of data from at least 60 seconds before impact to 30 seconds after—create an evidentiary foundation for determining fault.[23]</w:t>
      </w:r>
    </w:p>
    <w:p>
      <w:pPr>
        <w:spacing w:line="271" w:before="240" w:lineRule="auto"/>
      </w:pPr>
      <w:bookmarkStart w:id="19" w:name="european_union"/>
      <w:r>
        <w:rPr>
          <w:b/>
          <w:sz w:val="33"/>
        </w:rPr>
        <w:t xml:space="preserve">European Union</w:t>
      </w:r>
      <w:bookmarkEnd w:id="19"/>
    </w:p>
    <w:p>
      <w:pPr>
        <w:spacing w:after="210" w:lineRule="auto"/>
      </w:pPr>
      <w:r>
        <w:rPr/>
        <w:t xml:space="preserve">The EU's revised Product Liability Directive brings ADAS software, AI systems, and OTA updates under strict liability. Cybersecurity vulnerabilities and failures to provide necessary software updates can now constitute product defects, and the directive introduces presumptions that ease the burden on claimants in technically complex cases. This represents a significant modernization of liability law from its 1985 origins.[7][24][6]</w:t>
      </w:r>
    </w:p>
    <w:p>
      <w:pPr>
        <w:spacing w:line="271" w:before="240" w:lineRule="auto"/>
      </w:pPr>
      <w:bookmarkStart w:id="20" w:name="broad_regulatory_recommendations"/>
      <w:r>
        <w:rPr>
          <w:b/>
          <w:sz w:val="42"/>
        </w:rPr>
        <w:t xml:space="preserve">Broad Regulatory Recommendations</w:t>
      </w:r>
      <w:bookmarkEnd w:id="20"/>
    </w:p>
    <w:p>
      <w:pPr>
        <w:spacing w:after="210" w:lineRule="auto"/>
      </w:pPr>
      <w:r>
        <w:rPr/>
        <w:t xml:space="preserve">Based on the current legal and technological landscape, several policy directions merit consideration:</w:t>
      </w:r>
    </w:p>
    <w:p>
      <w:pPr>
        <w:numPr>
          <w:ilvl w:val="0"/>
          <w:numId w:val="4"/>
        </w:numPr>
        <w:spacing w:lineRule="auto"/>
      </w:pPr>
      <w:r>
        <w:rPr>
          <w:b/>
        </w:rPr>
        <w:t xml:space="preserve">Establish clear liability allocation rules</w:t>
      </w:r>
      <w:r>
        <w:rPr>
          <w:rFonts w:eastAsia="Georgia" w:cs="Georgia" w:ascii="Georgia" w:hAnsi="Georgia"/>
        </w:rPr>
        <w:t xml:space="preserve"> that reflect the shared nature of human-machine driving. Rather than placing the entire burden on either the driver or the manufacturer, frameworks should enable proportional liability based on which entity—human or system—was in the best position to prevent the harm at the moment of the accident.[8]</w:t>
      </w:r>
    </w:p>
    <w:p>
      <w:pPr>
        <w:numPr>
          <w:ilvl w:val="0"/>
          <w:numId w:val="4"/>
        </w:numPr>
        <w:spacing w:lineRule="auto"/>
      </w:pPr>
      <w:r>
        <w:rPr>
          <w:b/>
        </w:rPr>
        <w:t xml:space="preserve">Mandate robust data recording and retention</w:t>
      </w:r>
      <w:r>
        <w:rPr/>
        <w:t xml:space="preserve"> for all vehicles equipped with ADAS, including system status, sensor inputs, driver attention monitoring, and alerts issued. Black-box-style data requirements, similar to those already enacted in China, provide the evidentiary foundation necessary for fair post-accident investigations.[23]</w:t>
      </w:r>
    </w:p>
    <w:p>
      <w:pPr>
        <w:numPr>
          <w:ilvl w:val="0"/>
          <w:numId w:val="4"/>
        </w:numPr>
        <w:spacing w:lineRule="auto"/>
      </w:pPr>
      <w:r>
        <w:rPr>
          <w:b/>
        </w:rPr>
        <w:t xml:space="preserve">Regulate marketing claims</w:t>
      </w:r>
      <w:r>
        <w:rPr/>
        <w:t xml:space="preserve"> about ADAS capabilities to prevent overstatement. China's MIIT introduced rules in April 2025 banning misleading marketing terms for Level 2 systems, and similar consumer-protection measures could reduce automation complacency by ensuring drivers understand what their systems can and cannot do.[25]</w:t>
      </w:r>
    </w:p>
    <w:p>
      <w:pPr>
        <w:numPr>
          <w:ilvl w:val="0"/>
          <w:numId w:val="4"/>
        </w:numPr>
        <w:spacing w:lineRule="auto"/>
      </w:pPr>
      <w:r>
        <w:rPr>
          <w:b/>
        </w:rPr>
        <w:t xml:space="preserve">Require mandatory insurance tied to ADAS capability levels</w:t>
      </w:r>
      <w:r>
        <w:rPr/>
        <w:t xml:space="preserve"> rather than solely to the driver. As the UK and Chinese frameworks demonstrate, linking insurance obligations to the vehicle's automation features ensures that victims can be compensated promptly without waiting for lengthy fault determinations.[20][23]</w:t>
      </w:r>
    </w:p>
    <w:p>
      <w:pPr>
        <w:numPr>
          <w:ilvl w:val="0"/>
          <w:numId w:val="4"/>
        </w:numPr>
        <w:spacing w:lineRule="auto"/>
      </w:pPr>
      <w:r>
        <w:rPr>
          <w:b/>
        </w:rPr>
        <w:t xml:space="preserve">Create continuous post-market safety obligations</w:t>
      </w:r>
      <w:r>
        <w:rPr/>
        <w:t xml:space="preserve"> for manufacturers, including monitoring software performance, issuing timely updates, and reporting safety-relevant failures. The EU's new directive already treats failure to update software as a potential product defect, and other jurisdictions could adopt similar provisions.[6][7]</w:t>
      </w:r>
    </w:p>
    <w:p>
      <w:pPr>
        <w:numPr>
          <w:ilvl w:val="0"/>
          <w:numId w:val="4"/>
        </w:numPr>
        <w:spacing w:lineRule="auto"/>
      </w:pPr>
      <w:r>
        <w:rPr>
          <w:b/>
        </w:rPr>
        <w:t xml:space="preserve">Encourage regular software updates</w:t>
      </w:r>
      <w:r>
        <w:rPr>
          <w:rFonts w:eastAsia="Georgia" w:cs="Georgia" w:ascii="Georgia" w:hAnsi="Georgia"/>
        </w:rPr>
        <w:t xml:space="preserve"> through legal and regulatory incentives. As the Iowa Law Review framework recommends, the legal system should recognize that ongoing software improvement is a feature—not a liability risk—and create safe harbors for manufacturers that promptly address discovered defects through updates.[8]</w:t>
      </w:r>
    </w:p>
    <w:p>
      <w:pPr>
        <w:spacing w:line="271" w:before="240" w:lineRule="auto"/>
      </w:pPr>
      <w:bookmarkStart w:id="21" w:name="conclusion"/>
      <w:r>
        <w:rPr>
          <w:b/>
          <w:sz w:val="42"/>
        </w:rPr>
        <w:t xml:space="preserve">Conclusion</w:t>
      </w:r>
      <w:bookmarkEnd w:id="21"/>
    </w:p>
    <w:p>
      <w:pPr>
        <w:spacing w:after="210" w:lineRule="auto"/>
      </w:pPr>
      <w:r>
        <w:rPr>
          <w:rFonts w:eastAsia="Georgia" w:cs="Georgia" w:ascii="Georgia" w:hAnsi="Georgia"/>
        </w:rPr>
        <w:t xml:space="preserve">The proliferation of ADAS technology has outpaced the development of clear legal rules for allocating liability when these systems contribute to accidents. Existing legal doctrines—product liability, negligence, and fraud—provide a workable foundation, but they were designed for a world where a human was always assumed to be in full control. As the Tesla Autopilot verdict, the Uber pedestrian fatality, and other cases demonstrate, courts are adapting on a case-by-case basis, but the resulting patchwork lacks the predictability that manufacturers, insurers, drivers, and accident victims need.</w:t>
      </w:r>
    </w:p>
    <w:p>
      <w:pPr>
        <w:spacing w:after="210" w:lineRule="auto"/>
      </w:pPr>
      <w:r>
        <w:rPr>
          <w:rFonts w:eastAsia="Georgia" w:cs="Georgia" w:ascii="Georgia" w:hAnsi="Georgia"/>
        </w:rPr>
        <w:t xml:space="preserve">The most promising regulatory frameworks—emerging from the UK, China, and the EU—share common features: they assign primary responsibility to manufacturers and operators rather than passive occupants, mandate comprehensive data recording, and tie insurance obligations to the vehicle's capabilities rather than solely to the driver. Adopting these principles broadly, while preserving room for innovation, offers the best path toward a liability system that is both fair and functional in the era of shared human-machine driving.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references"/>
      <w:r>
        <w:rPr>
          <w:b/>
          <w:sz w:val="42"/>
        </w:rPr>
        <w:t xml:space="preserve">References</w:t>
      </w:r>
      <w:bookmarkEnd w:id="22"/>
    </w:p>
    <w:p>
      <w:pPr>
        <w:numPr>
          <w:ilvl w:val="0"/>
          <w:numId w:val="5"/>
        </w:numPr>
        <w:spacing w:after="210" w:lineRule="auto"/>
      </w:pPr>
      <w:hyperlink r:id="rId5">
        <w:r>
          <w:rPr>
            <w:color w:val="4472C4"/>
          </w:rPr>
          <w:t xml:space="preserve">How Advanced Driver Assistance Systems (ADAS) Are Changing ...</w:t>
        </w:r>
      </w:hyperlink>
      <w:r>
        <w:rPr/>
        <w:t xml:space="preserve"> - Advanced Driver Assistance Systems (ADAS) are significantly reshaping the landscape of car accident ...</w:t>
      </w:r>
    </w:p>
    <w:p>
      <w:pPr>
        <w:numPr>
          <w:ilvl w:val="0"/>
          <w:numId w:val="5"/>
        </w:numPr>
        <w:spacing w:after="210" w:lineRule="auto"/>
      </w:pPr>
      <w:hyperlink r:id="rId6">
        <w:r>
          <w:rPr>
            <w:color w:val="4472C4"/>
          </w:rPr>
          <w:t xml:space="preserve">Regulatory and Legal Aspects of Advanced Driver ...</w:t>
        </w:r>
      </w:hyperlink>
      <w:r>
        <w:rPr/>
        <w:t xml:space="preserve"> - Longdom Publishing SL is one of the leading international open access journals publishers, covering ...</w:t>
      </w:r>
    </w:p>
    <w:p>
      <w:pPr>
        <w:numPr>
          <w:ilvl w:val="0"/>
          <w:numId w:val="5"/>
        </w:numPr>
        <w:spacing w:after="210" w:lineRule="auto"/>
      </w:pPr>
      <w:hyperlink r:id="rId7">
        <w:r>
          <w:rPr>
            <w:color w:val="4472C4"/>
          </w:rPr>
          <w:t xml:space="preserve">Liability for Defective Advanced Driver Assistance Systems</w:t>
        </w:r>
      </w:hyperlink>
      <w:r>
        <w:rPr/>
        <w:t xml:space="preserve"> - The improper calibration of ADAS systems after an installation or repair can lead to liability if pr...</w:t>
      </w:r>
    </w:p>
    <w:p>
      <w:pPr>
        <w:numPr>
          <w:ilvl w:val="0"/>
          <w:numId w:val="5"/>
        </w:numPr>
        <w:spacing w:after="210" w:lineRule="auto"/>
      </w:pPr>
      <w:hyperlink r:id="rId8">
        <w:r>
          <w:rPr>
            <w:color w:val="4472C4"/>
          </w:rPr>
          <w:t xml:space="preserve">Florida Crash Involving Driver Assistance Technology</w:t>
        </w:r>
      </w:hyperlink>
      <w:r>
        <w:rPr/>
        <w:t xml:space="preserve"> - If you or someone you care about has been injured in a crash involving Tesla Autopilot or adaptive c...</w:t>
      </w:r>
    </w:p>
    <w:p>
      <w:pPr>
        <w:numPr>
          <w:ilvl w:val="0"/>
          <w:numId w:val="5"/>
        </w:numPr>
        <w:spacing w:after="210" w:lineRule="auto"/>
      </w:pPr>
      <w:hyperlink r:id="rId9">
        <w:r>
          <w:rPr>
            <w:color w:val="4472C4"/>
          </w:rPr>
          <w:t xml:space="preserve">Products Liability and Driverless Cars: Issues and Guiding ...</w:t>
        </w:r>
      </w:hyperlink>
      <w:r>
        <w:rPr/>
        <w:t xml:space="preserve"> - As driverless cars continue to attract growing interest, John Villasenor discusses how products liab...</w:t>
      </w:r>
    </w:p>
    <w:p>
      <w:pPr>
        <w:numPr>
          <w:ilvl w:val="0"/>
          <w:numId w:val="5"/>
        </w:numPr>
        <w:spacing w:after="210" w:lineRule="auto"/>
      </w:pPr>
      <w:hyperlink r:id="rId10">
        <w:r>
          <w:rPr>
            <w:rFonts w:eastAsia="Georgia" w:cs="Georgia" w:ascii="Georgia" w:hAnsi="Georgia"/>
            <w:color w:val="4472C4"/>
          </w:rPr>
          <w:t xml:space="preserve">The new EU Product Liability Directive: key implications…</w:t>
        </w:r>
      </w:hyperlink>
    </w:p>
    <w:p>
      <w:pPr>
        <w:numPr>
          <w:ilvl w:val="0"/>
          <w:numId w:val="5"/>
        </w:numPr>
        <w:spacing w:after="210" w:lineRule="auto"/>
      </w:pPr>
      <w:hyperlink r:id="rId11">
        <w:r>
          <w:rPr>
            <w:color w:val="4472C4"/>
          </w:rPr>
          <w:t xml:space="preserve">The new EU Product Liability Directive: key implications for ...</w:t>
        </w:r>
      </w:hyperlink>
    </w:p>
    <w:p>
      <w:pPr>
        <w:numPr>
          <w:ilvl w:val="0"/>
          <w:numId w:val="5"/>
        </w:numPr>
        <w:spacing w:after="210" w:lineRule="auto"/>
      </w:pPr>
      <w:hyperlink r:id="rId12">
        <w:r>
          <w:rPr>
            <w:color w:val="4472C4"/>
          </w:rPr>
          <w:t xml:space="preserve">Litigating Partial Autonomy - Iowa Law Review</w:t>
        </w:r>
      </w:hyperlink>
      <w:r>
        <w:rPr/>
        <w:t xml:space="preserve"> - 109 Iowa L. Rev. 1655 (2024) DOWNLOAD PDFAbstractWho is responsible when a semi-autonomous vehicle c...</w:t>
      </w:r>
    </w:p>
    <w:p>
      <w:pPr>
        <w:numPr>
          <w:ilvl w:val="0"/>
          <w:numId w:val="5"/>
        </w:numPr>
        <w:spacing w:after="210" w:lineRule="auto"/>
      </w:pPr>
      <w:hyperlink r:id="rId13">
        <w:r>
          <w:rPr>
            <w:color w:val="4472C4"/>
          </w:rPr>
          <w:t xml:space="preserve">ADAS ethics: Who is responsible for the crash? - MACS</w:t>
        </w:r>
      </w:hyperlink>
      <w:r>
        <w:rPr>
          <w:rFonts w:eastAsia="Georgia" w:cs="Georgia" w:ascii="Georgia" w:hAnsi="Georgia"/>
        </w:rPr>
        <w:t xml:space="preserve"> - By Pam Oakes, MACS Senior Technical Trainer and Curriculum Developer – Published on 10/28/2025 Even ...</w:t>
      </w:r>
    </w:p>
    <w:p>
      <w:pPr>
        <w:numPr>
          <w:ilvl w:val="0"/>
          <w:numId w:val="5"/>
        </w:numPr>
        <w:spacing w:after="210" w:lineRule="auto"/>
      </w:pPr>
      <w:hyperlink r:id="rId14">
        <w:r>
          <w:rPr>
            <w:color w:val="4472C4"/>
          </w:rPr>
          <w:t xml:space="preserve">Jury orders Tesla to pay more than $240 million in Autopilot crash</w:t>
        </w:r>
      </w:hyperlink>
      <w:r>
        <w:rPr/>
        <w:t xml:space="preserve"> - A Miami jury decided Tesla was partly responsible for a deadly 2019 crash in Florida involving its A...</w:t>
      </w:r>
    </w:p>
    <w:p>
      <w:pPr>
        <w:numPr>
          <w:ilvl w:val="0"/>
          <w:numId w:val="5"/>
        </w:numPr>
        <w:spacing w:after="210" w:lineRule="auto"/>
      </w:pPr>
      <w:hyperlink r:id="rId15">
        <w:r>
          <w:rPr>
            <w:color w:val="4472C4"/>
          </w:rPr>
          <w:t xml:space="preserve">Jury orders Tesla to pay more than $200m to plaintiffs in deadly 2019 Autopilot crash</w:t>
        </w:r>
      </w:hyperlink>
      <w:r>
        <w:rPr/>
        <w:t xml:space="preserve"> - Case opens door to other costly lawsuits after jury held that the car company bore significant respo...</w:t>
      </w:r>
    </w:p>
    <w:p>
      <w:pPr>
        <w:numPr>
          <w:ilvl w:val="0"/>
          <w:numId w:val="5"/>
        </w:numPr>
        <w:spacing w:after="210" w:lineRule="auto"/>
      </w:pPr>
      <w:hyperlink r:id="rId16">
        <w:r>
          <w:rPr>
            <w:color w:val="4472C4"/>
          </w:rPr>
          <w:t xml:space="preserve">Tesla ordered by Florida jury to pay $329 million in Autopilot crash</w:t>
        </w:r>
      </w:hyperlink>
      <w:r>
        <w:rPr/>
        <w:t xml:space="preserve"> - A Florida jury on Friday found Tesla liable in the 2019 fatal crash of an Autopilot-equipped Model S...</w:t>
      </w:r>
    </w:p>
    <w:p>
      <w:pPr>
        <w:numPr>
          <w:ilvl w:val="0"/>
          <w:numId w:val="5"/>
        </w:numPr>
        <w:spacing w:after="210" w:lineRule="auto"/>
      </w:pPr>
      <w:hyperlink r:id="rId17">
        <w:r>
          <w:rPr>
            <w:color w:val="4472C4"/>
          </w:rPr>
          <w:t xml:space="preserve">Tesla loses bid toss $243 million verdict fatal Autopilot crash suit</w:t>
        </w:r>
      </w:hyperlink>
      <w:r>
        <w:rPr/>
        <w:t xml:space="preserve"> - A federal judge in Miami denied Tesla's bid to overturn a $243 million jury verdict in a high-profil...</w:t>
      </w:r>
    </w:p>
    <w:p>
      <w:pPr>
        <w:numPr>
          <w:ilvl w:val="0"/>
          <w:numId w:val="5"/>
        </w:numPr>
        <w:spacing w:after="210" w:lineRule="auto"/>
      </w:pPr>
      <w:hyperlink r:id="rId18">
        <w:r>
          <w:rPr>
            <w:color w:val="4472C4"/>
          </w:rPr>
          <w:t xml:space="preserve">Arizona Prosecutor Says Uber Not Criminally Liable In Self-Driving ...</w:t>
        </w:r>
      </w:hyperlink>
      <w:r>
        <w:rPr/>
        <w:t xml:space="preserve"> - An Arizona prosecutor has determined that Uber is not criminally liable in the death of a Tempe woma...</w:t>
      </w:r>
    </w:p>
    <w:p>
      <w:pPr>
        <w:numPr>
          <w:ilvl w:val="0"/>
          <w:numId w:val="5"/>
        </w:numPr>
        <w:spacing w:after="210" w:lineRule="auto"/>
      </w:pPr>
      <w:hyperlink r:id="rId19">
        <w:r>
          <w:rPr>
            <w:color w:val="4472C4"/>
          </w:rPr>
          <w:t xml:space="preserve">Backup driver in fatal Uber autonomous car crash pleads guilty to ...</w:t>
        </w:r>
      </w:hyperlink>
      <w:r>
        <w:rPr/>
        <w:t xml:space="preserve"> - The backup Uber driver involved in the first death involving a fully autonomous vehicle has pleaded ...</w:t>
      </w:r>
    </w:p>
    <w:p>
      <w:pPr>
        <w:numPr>
          <w:ilvl w:val="0"/>
          <w:numId w:val="5"/>
        </w:numPr>
        <w:spacing w:after="210" w:lineRule="auto"/>
      </w:pPr>
      <w:hyperlink r:id="rId20">
        <w:r>
          <w:rPr>
            <w:color w:val="4472C4"/>
          </w:rPr>
          <w:t xml:space="preserve">Defense Verdict in Advanced Driver Assistance Systems Case - Huie</w:t>
        </w:r>
      </w:hyperlink>
      <w:r>
        <w:rPr/>
        <w:t xml:space="preserve"> - The product liability lawsuit arose from a two-vehicle crash, which included a 2016 Dodge Grand Cara...</w:t>
      </w:r>
    </w:p>
    <w:p>
      <w:pPr>
        <w:numPr>
          <w:ilvl w:val="0"/>
          <w:numId w:val="5"/>
        </w:numPr>
        <w:spacing w:after="210" w:lineRule="auto"/>
      </w:pPr>
      <w:hyperlink r:id="rId21">
        <w:r>
          <w:rPr>
            <w:color w:val="4472C4"/>
          </w:rPr>
          <w:t xml:space="preserve">Legal issues in automated vehicles: critically considering ... - Nature</w:t>
        </w:r>
      </w:hyperlink>
      <w:r>
        <w:rPr/>
        <w:t xml:space="preserve"> - This type of automated vehicle must share operational responsibility with a driver. A legal framewor...</w:t>
      </w:r>
    </w:p>
    <w:p>
      <w:pPr>
        <w:numPr>
          <w:ilvl w:val="0"/>
          <w:numId w:val="5"/>
        </w:numPr>
        <w:spacing w:after="210" w:lineRule="auto"/>
      </w:pPr>
      <w:hyperlink r:id="rId22">
        <w:r>
          <w:rPr>
            <w:rFonts w:eastAsia="Georgia" w:cs="Georgia" w:ascii="Georgia" w:hAnsi="Georgia"/>
            <w:color w:val="4472C4"/>
          </w:rPr>
          <w:t xml:space="preserve">The Department of Transportation’s Spring 2025 Regulatory ...</w:t>
        </w:r>
      </w:hyperlink>
      <w:r>
        <w:rPr/>
        <w:t xml:space="preserve"> - On September 4, 2025 the National Highway Traffic Safety Administration (NHTSA) announced several pl...</w:t>
      </w:r>
    </w:p>
    <w:p>
      <w:pPr>
        <w:numPr>
          <w:ilvl w:val="0"/>
          <w:numId w:val="5"/>
        </w:numPr>
        <w:spacing w:after="210" w:lineRule="auto"/>
      </w:pPr>
      <w:hyperlink r:id="rId23">
        <w:r>
          <w:rPr>
            <w:color w:val="4472C4"/>
          </w:rPr>
          <w:t xml:space="preserve">2025 Autonomous Vehicles Federal Policy Wrapped</w:t>
        </w:r>
      </w:hyperlink>
      <w:r>
        <w:rPr/>
        <w:t xml:space="preserve"> - As first actions under its new framework, NHTSA streamlined reporting for the Standing General Order...</w:t>
      </w:r>
    </w:p>
    <w:p>
      <w:pPr>
        <w:numPr>
          <w:ilvl w:val="0"/>
          <w:numId w:val="5"/>
        </w:numPr>
        <w:spacing w:after="210" w:lineRule="auto"/>
      </w:pPr>
      <w:hyperlink r:id="rId24">
        <w:r>
          <w:rPr>
            <w:color w:val="4472C4"/>
          </w:rPr>
          <w:t xml:space="preserve">Automated Vehicles: Emerging risks and claims implications</w:t>
        </w:r>
      </w:hyperlink>
      <w:r>
        <w:rPr/>
        <w:t xml:space="preserve"> - The futuristic vision of self-driving cars is already a reality: driverless taxis are on the streets...</w:t>
      </w:r>
    </w:p>
    <w:p>
      <w:pPr>
        <w:numPr>
          <w:ilvl w:val="0"/>
          <w:numId w:val="5"/>
        </w:numPr>
        <w:spacing w:after="210" w:lineRule="auto"/>
      </w:pPr>
      <w:hyperlink r:id="rId25">
        <w:r>
          <w:rPr>
            <w:rFonts w:eastAsia="Georgia" w:cs="Georgia" w:ascii="Georgia" w:hAnsi="Georgia"/>
            <w:color w:val="4472C4"/>
          </w:rPr>
          <w:t xml:space="preserve">Liability to Licensing: Navigating the UK's New Self‑Driving Regime</w:t>
        </w:r>
      </w:hyperlink>
      <w:r>
        <w:rPr>
          <w:rFonts w:eastAsia="Georgia" w:cs="Georgia" w:ascii="Georgia" w:hAnsi="Georgia"/>
        </w:rPr>
        <w:t xml:space="preserve"> - the Automated Vehicles Act 2024 (“AVA”), a framework statute for authorising, operating and regulati...</w:t>
      </w:r>
    </w:p>
    <w:p>
      <w:pPr>
        <w:numPr>
          <w:ilvl w:val="0"/>
          <w:numId w:val="5"/>
        </w:numPr>
        <w:spacing w:after="210" w:lineRule="auto"/>
      </w:pPr>
      <w:hyperlink r:id="rId26">
        <w:r>
          <w:rPr>
            <w:color w:val="4472C4"/>
          </w:rPr>
          <w:t xml:space="preserve">[PDF] Developing the Automated Vehicles Regulatory Framework - GOV.UK</w:t>
        </w:r>
      </w:hyperlink>
      <w:r>
        <w:rPr/>
        <w:t xml:space="preserve"> - The Automated Vehicles (AV) Act 2024 marks a pivotal step in shaping the regulatory framework for se...</w:t>
      </w:r>
    </w:p>
    <w:p>
      <w:pPr>
        <w:numPr>
          <w:ilvl w:val="0"/>
          <w:numId w:val="5"/>
        </w:numPr>
        <w:spacing w:after="210" w:lineRule="auto"/>
      </w:pPr>
      <w:hyperlink r:id="rId27">
        <w:r>
          <w:rPr>
            <w:color w:val="4472C4"/>
          </w:rPr>
          <w:t xml:space="preserve">China's Most Updated Autonomous Driving Framework ...</w:t>
        </w:r>
      </w:hyperlink>
      <w:r>
        <w:rPr>
          <w:rFonts w:eastAsia="Georgia" w:cs="Georgia" w:ascii="Georgia" w:hAnsi="Georgia"/>
        </w:rPr>
        <w:t xml:space="preserve"> - Support CleanTechnica's work through a Substack subscription or on Stripe. In this week’s CleanTechn...</w:t>
      </w:r>
    </w:p>
    <w:p>
      <w:pPr>
        <w:numPr>
          <w:ilvl w:val="0"/>
          <w:numId w:val="5"/>
        </w:numPr>
        <w:spacing w:after="210" w:lineRule="auto"/>
      </w:pPr>
      <w:hyperlink r:id="rId28">
        <w:r>
          <w:rPr>
            <w:color w:val="4472C4"/>
          </w:rPr>
          <w:t xml:space="preserve">EU's New Product Liability Directive (PLD) Explained</w:t>
        </w:r>
      </w:hyperlink>
      <w:r>
        <w:rPr/>
        <w:t xml:space="preserve"> - Explore the new product liability directive and its impact on AI compliance and risk management in t...</w:t>
      </w:r>
    </w:p>
    <w:p>
      <w:pPr>
        <w:numPr>
          <w:ilvl w:val="0"/>
          <w:numId w:val="5"/>
        </w:numPr>
        <w:spacing w:after="210" w:lineRule="auto"/>
      </w:pPr>
      <w:hyperlink r:id="rId29">
        <w:r>
          <w:rPr>
            <w:color w:val="4472C4"/>
          </w:rPr>
          <w:t xml:space="preserve">Achieving regulatory alignment for E2E autonomous driving in China</w:t>
        </w:r>
      </w:hyperlink>
      <w:r>
        <w:rPr/>
        <w:t xml:space="preserve"> - Consequently, MIIT introduced stricter rules in April 2025, banning misleading marketing terms for L...</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cobbcountylaw.com/2025/11/02/how-advanced-driver-assistance-systems-adas-are-changing-car-accident-claims-2/" TargetMode="External"/><Relationship Id="rId6" Type="http://schemas.openxmlformats.org/officeDocument/2006/relationships/hyperlink" Target="https://www.longdom.org/open-access/regulatory-and-legal-aspects-of-advanced-driver-assistance-systems-108645.html" TargetMode="External"/><Relationship Id="rId7" Type="http://schemas.openxmlformats.org/officeDocument/2006/relationships/hyperlink" Target="https://www.hurwitzfine.com/blog/liability-for-defective-advanced-driver-assistance-systems" TargetMode="External"/><Relationship Id="rId8" Type="http://schemas.openxmlformats.org/officeDocument/2006/relationships/hyperlink" Target="https://www.lwmpersonalinjurylawyers.com/blog/florida-crash-involving-driver-assistance-technology/" TargetMode="External"/><Relationship Id="rId9" Type="http://schemas.openxmlformats.org/officeDocument/2006/relationships/hyperlink" Target="https://www.brookings.edu/articles/products-liability-and-driverless-cars-issues-and-guiding-principles-for-legislation/" TargetMode="External"/><Relationship Id="rId10" Type="http://schemas.openxmlformats.org/officeDocument/2006/relationships/hyperlink" Target="https://www.reedsmith.com/articles/the-new-eu-product-liability-key-implications-autonomous-vehicle/" TargetMode="External"/><Relationship Id="rId11" Type="http://schemas.openxmlformats.org/officeDocument/2006/relationships/hyperlink" Target="https://www.reedsmith.com/en/perspectives/2025/10/the-new-eu-product-liability-key-implications-autonomous-vehicle" TargetMode="External"/><Relationship Id="rId12" Type="http://schemas.openxmlformats.org/officeDocument/2006/relationships/hyperlink" Target="https://ilr.law.uiowa.edu/volume-109-issue-4/litigating-partial-autonomy" TargetMode="External"/><Relationship Id="rId13" Type="http://schemas.openxmlformats.org/officeDocument/2006/relationships/hyperlink" Target="https://macsmobileairclimate.org/2025/10/30/adas-ethics-who-is-responsible-for-the-crash/" TargetMode="External"/><Relationship Id="rId14" Type="http://schemas.openxmlformats.org/officeDocument/2006/relationships/hyperlink" Target="https://www.npr.org/2025/08/02/nx-s1-5490930/tesla-autopilot-crash-jury-240-million-florida" TargetMode="External"/><Relationship Id="rId15" Type="http://schemas.openxmlformats.org/officeDocument/2006/relationships/hyperlink" Target="https://www.theguardian.com/technology/2025/aug/01/tesla-fatal-autopilot-crash-verdict" TargetMode="External"/><Relationship Id="rId16" Type="http://schemas.openxmlformats.org/officeDocument/2006/relationships/hyperlink" Target="https://www.cnn.com/2025/08/01/business/tesla-autopilot-crash-lawsuit" TargetMode="External"/><Relationship Id="rId17" Type="http://schemas.openxmlformats.org/officeDocument/2006/relationships/hyperlink" Target="https://www.cnbc.com/2026/02/20/tesla-loses-bid-toss-243-million-verdict-fatal-autopilot-crash-suit.html" TargetMode="External"/><Relationship Id="rId18" Type="http://schemas.openxmlformats.org/officeDocument/2006/relationships/hyperlink" Target="https://www.npr.org/2019/03/06/700801945/uber-not-criminally-liable-in-death-of-woman-hit-by-self-driving-car-says-prosec" TargetMode="External"/><Relationship Id="rId19" Type="http://schemas.openxmlformats.org/officeDocument/2006/relationships/hyperlink" Target="https://www.cbsnews.com/sanfrancisco/news/uber-autonomous-self-driving-fatal-car-crash-backup-driver-pleads-guilty-endangerment-tempe-arizona/" TargetMode="External"/><Relationship Id="rId20" Type="http://schemas.openxmlformats.org/officeDocument/2006/relationships/hyperlink" Target="https://huielaw.com/firm-news/defense-verdict-advanced-driver-assistance-systems-case/" TargetMode="External"/><Relationship Id="rId21" Type="http://schemas.openxmlformats.org/officeDocument/2006/relationships/hyperlink" Target="https://www.nature.com/articles/s41599-020-00644-2" TargetMode="External"/><Relationship Id="rId22" Type="http://schemas.openxmlformats.org/officeDocument/2006/relationships/hyperlink" Target="https://environmentalenergybrief.sidley.com/2025/09/08/the-department-of-transportations-spring-2025-regulatory-agenda-big-announcements-on-autonomous-vehicles-and-automatic-emergency-braking/" TargetMode="External"/><Relationship Id="rId23" Type="http://schemas.openxmlformats.org/officeDocument/2006/relationships/hyperlink" Target="https://enotrans.org/article/2025-autonomous-vehicles-federal-policy-wrapped/" TargetMode="External"/><Relationship Id="rId24" Type="http://schemas.openxmlformats.org/officeDocument/2006/relationships/hyperlink" Target="https://www.clydeco.com/en/insights/2025/12/automated-vehicles-emerging-risks-and-claims-impli" TargetMode="External"/><Relationship Id="rId25" Type="http://schemas.openxmlformats.org/officeDocument/2006/relationships/hyperlink" Target="https://www.simmons-simmons.com/en/publications/cmlzfosf700bgu454589uqmmi/liability-to-licensing-navigating-the-uk-s-new-self-driving-regime" TargetMode="External"/><Relationship Id="rId26" Type="http://schemas.openxmlformats.org/officeDocument/2006/relationships/hyperlink" Target="https://assets.publishing.service.gov.uk/media/693978b77a605b2d61cd9069/developing-the-automated-vehicles-regulatory-framework-cfe.PDF" TargetMode="External"/><Relationship Id="rId27" Type="http://schemas.openxmlformats.org/officeDocument/2006/relationships/hyperlink" Target="https://cleantechnica.com/2025/12/05/chinas-most-updated-autonomous-driving-framework-makes-both-carmakers-operators-owners-included-liable-in-a-crash/" TargetMode="External"/><Relationship Id="rId28" Type="http://schemas.openxmlformats.org/officeDocument/2006/relationships/hyperlink" Target="https://ethicalailawinstitute.org/blog/eus-new-product-liability-directive-pld-explained/" TargetMode="External"/><Relationship Id="rId29" Type="http://schemas.openxmlformats.org/officeDocument/2006/relationships/hyperlink" Target="https://www.sciencedirect.com/science/article/pii/S2212473X2500064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2026-03-02T02:35:52.254Z</dcterms:created>
  <dcterms:modified xsi:type="dcterms:W3CDTF">2026-03-02T02:35:52.254Z</dcterms:modified>
</cp:coreProperties>
</file>