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DDB52">
      <w:pPr>
        <w:spacing w:before="210" w:after="0" w:line="360" w:lineRule="auto"/>
      </w:pPr>
      <w:bookmarkStart w:id="419" w:name="_GoBack"/>
      <w:bookmarkEnd w:id="419"/>
      <w:r>
        <w:pict>
          <v:rect id="_x0000_s1026" o:spid="_x0000_s1026" o:spt="1" style="height:0.05pt;width:475.5pt;" coordsize="21600,21600">
            <v:path/>
            <v:fill focussize="0,0"/>
            <v:stroke weight="1pt" color="#000000" opacity="0f"/>
            <v:imagedata o:title=""/>
            <o:lock v:ext="edit"/>
            <w10:wrap type="none"/>
            <w10:anchorlock/>
          </v:rect>
        </w:pict>
      </w:r>
    </w:p>
    <w:p w14:paraId="159B28C0">
      <w:pPr>
        <w:spacing w:before="315" w:after="105" w:line="360" w:lineRule="auto"/>
        <w:ind w:left="-30"/>
        <w:jc w:val="left"/>
      </w:pPr>
      <w:bookmarkStart w:id="0" w:name="advisory_report_liability_allocat_6a6f91"/>
      <w:r>
        <w:rPr>
          <w:rFonts w:ascii="inter" w:hAnsi="inter" w:eastAsia="inter" w:cs="inter"/>
          <w:b/>
          <w:color w:val="000000"/>
          <w:sz w:val="24"/>
        </w:rPr>
        <w:t>ADVISORY REPORT: LIABILITY ALLOCATION FOR ADAS-INVOLVED ACCIDENTS IN SHARED DRIVING CONTEXTS</w:t>
      </w:r>
      <w:bookmarkEnd w:id="0"/>
    </w:p>
    <w:p w14:paraId="6700C56C">
      <w:pPr>
        <w:spacing w:before="315" w:after="105" w:line="360" w:lineRule="auto"/>
        <w:ind w:left="-30"/>
        <w:jc w:val="left"/>
      </w:pPr>
      <w:bookmarkStart w:id="1" w:name="executive_summary"/>
      <w:r>
        <w:rPr>
          <w:rFonts w:ascii="inter" w:hAnsi="inter" w:eastAsia="inter" w:cs="inter"/>
          <w:b/>
          <w:color w:val="000000"/>
          <w:sz w:val="24"/>
        </w:rPr>
        <w:t>Executive Summary</w:t>
      </w:r>
      <w:bookmarkEnd w:id="1"/>
    </w:p>
    <w:p w14:paraId="5E7152AD">
      <w:pPr>
        <w:spacing w:after="210" w:line="360" w:lineRule="auto"/>
      </w:pPr>
      <w:r>
        <w:rPr>
          <w:rFonts w:ascii="inter" w:hAnsi="inter" w:eastAsia="inter" w:cs="inter"/>
          <w:color w:val="000000"/>
        </w:rPr>
        <w:t>The allocation of liability for accidents involving Advanced Driver Assistance Systems (ADAS) and Automated Driving Systems (ADS) represents one of the most complex legal and technical challenges facing the automotive industry, regulators, and insurers. As vehicles transition from purely human-operated systems to increasingly autonomous platforms, traditional negligence-based liability frameworks prove inadequate for allocating responsibility when system failures, software defects, or ambiguous human-system interactions cause harm.</w:t>
      </w:r>
    </w:p>
    <w:p w14:paraId="26190B50">
      <w:pPr>
        <w:spacing w:after="210" w:line="360" w:lineRule="auto"/>
      </w:pPr>
      <w:r>
        <w:rPr>
          <w:rFonts w:ascii="inter" w:hAnsi="inter" w:eastAsia="inter" w:cs="inter"/>
          <w:color w:val="000000"/>
        </w:rPr>
        <w:t>This report synthesizes current regulatory frameworks, emerging jurisprudence, and technical standards across major jurisdictions to provide decision-makers with a comprehensive understanding of liability allocation mechanisms. The analysis reveals three distinct legal paradigms: the insurer-first model (United Kingdom), strict product liability for defective systems (European Union), and state-based negligence standards (United States). Each approach reflects different policy priorities—victim protection, manufacturer accountability, innovation incentives—with significant implications for insurance markets, capital deployment, and public safety.</w:t>
      </w:r>
    </w:p>
    <w:p w14:paraId="5A71117F">
      <w:pPr>
        <w:spacing w:after="210" w:line="360" w:lineRule="auto"/>
      </w:pPr>
      <w:r>
        <w:rPr>
          <w:rFonts w:ascii="inter" w:hAnsi="inter" w:eastAsia="inter" w:cs="inter"/>
          <w:color w:val="000000"/>
        </w:rPr>
        <w:t>The report identifies critical regulatory gaps, particularly at SAE Levels 3 and 4, where shared responsibility between driver and system creates unprecedented legal ambiguity. Key recommendations focus on harmonizing operational design domain (ODD) definitions, establishing mandatory data recording standards (DSSAD), clarifying transition demand requirements, and developing comprehensive safety assessment frameworks aligned across jurisdictions.</w:t>
      </w:r>
    </w:p>
    <w:p w14:paraId="0A9B6820">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C2A71E6">
      <w:pPr>
        <w:spacing w:before="315" w:after="105" w:line="360" w:lineRule="auto"/>
        <w:ind w:left="-30"/>
        <w:jc w:val="left"/>
      </w:pPr>
      <w:bookmarkStart w:id="2" w:name="i_technical_foundation_adas_archi_66e0ec"/>
      <w:r>
        <w:rPr>
          <w:rFonts w:ascii="inter" w:hAnsi="inter" w:eastAsia="inter" w:cs="inter"/>
          <w:b/>
          <w:color w:val="000000"/>
          <w:sz w:val="24"/>
        </w:rPr>
        <w:t>I. TECHNICAL FOUNDATION: ADAS ARCHITECTURE AND FAILURE MODES</w:t>
      </w:r>
      <w:bookmarkEnd w:id="2"/>
    </w:p>
    <w:p w14:paraId="42996E57">
      <w:pPr>
        <w:spacing w:before="315" w:after="105" w:line="360" w:lineRule="auto"/>
        <w:ind w:left="-30"/>
        <w:jc w:val="left"/>
      </w:pPr>
      <w:bookmarkStart w:id="3" w:name="a_system_components_and_sensor_fusion"/>
      <w:r>
        <w:rPr>
          <w:rFonts w:ascii="inter" w:hAnsi="inter" w:eastAsia="inter" w:cs="inter"/>
          <w:b/>
          <w:color w:val="000000"/>
          <w:sz w:val="24"/>
        </w:rPr>
        <w:t>A. System Components and Sensor Fusion</w:t>
      </w:r>
      <w:bookmarkEnd w:id="3"/>
    </w:p>
    <w:p w14:paraId="5CC64A8A">
      <w:pPr>
        <w:spacing w:after="210" w:line="360" w:lineRule="auto"/>
      </w:pPr>
      <w:r>
        <w:rPr>
          <w:rFonts w:ascii="inter" w:hAnsi="inter" w:eastAsia="inter" w:cs="inter"/>
          <w:color w:val="000000"/>
        </w:rPr>
        <w:t>ADAS architectures integrate multiple sensor modalities through algorithmic fusion to enable decision-making and vehicle control. Core components include:</w:t>
      </w:r>
    </w:p>
    <w:p w14:paraId="522F2279">
      <w:pPr>
        <w:spacing w:after="210" w:line="360" w:lineRule="auto"/>
      </w:pPr>
      <w:r>
        <w:rPr>
          <w:rFonts w:ascii="inter" w:hAnsi="inter" w:eastAsia="inter" w:cs="inter"/>
          <w:b/>
          <w:color w:val="000000"/>
        </w:rPr>
        <w:t>1. Sensing Layer</w:t>
      </w:r>
    </w:p>
    <w:p w14:paraId="76C0A9C8">
      <w:pPr>
        <w:numPr>
          <w:ilvl w:val="0"/>
          <w:numId w:val="1"/>
        </w:numPr>
        <w:spacing w:before="105" w:after="105" w:line="360" w:lineRule="auto"/>
      </w:pPr>
      <w:r>
        <w:rPr>
          <w:rFonts w:ascii="inter" w:hAnsi="inter" w:eastAsia="inter" w:cs="inter"/>
          <w:color w:val="000000"/>
          <w:sz w:val="21"/>
        </w:rPr>
        <w:t>Radar: Long-range object detection; weather-resistant; limited angular resolution</w:t>
      </w:r>
      <w:bookmarkStart w:id="4" w:name="fnref1"/>
      <w:bookmarkEnd w:id="4"/>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44EA0E86">
      <w:pPr>
        <w:numPr>
          <w:ilvl w:val="0"/>
          <w:numId w:val="1"/>
        </w:numPr>
        <w:spacing w:before="105" w:after="105" w:line="360" w:lineRule="auto"/>
      </w:pPr>
      <w:r>
        <w:rPr>
          <w:rFonts w:ascii="inter" w:hAnsi="inter" w:eastAsia="inter" w:cs="inter"/>
          <w:color w:val="000000"/>
          <w:sz w:val="21"/>
        </w:rPr>
        <w:t>Cameras: High-resolution environmental perception; variable in low-light conditions</w:t>
      </w:r>
      <w:bookmarkStart w:id="5" w:name="fnref1_1"/>
      <w:bookmarkEnd w:id="5"/>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0DA1404B">
      <w:pPr>
        <w:numPr>
          <w:ilvl w:val="0"/>
          <w:numId w:val="1"/>
        </w:numPr>
        <w:spacing w:before="105" w:after="105" w:line="360" w:lineRule="auto"/>
      </w:pPr>
      <w:r>
        <w:rPr>
          <w:rFonts w:ascii="inter" w:hAnsi="inter" w:eastAsia="inter" w:cs="inter"/>
          <w:color w:val="000000"/>
          <w:sz w:val="21"/>
        </w:rPr>
        <w:t>LiDAR: Precise 3D point cloud generation; computationally intensive; reduced performance in adverse weather</w:t>
      </w:r>
      <w:bookmarkStart w:id="6" w:name="fnref2"/>
      <w:bookmarkEnd w:id="6"/>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689B2DDF">
      <w:pPr>
        <w:numPr>
          <w:ilvl w:val="0"/>
          <w:numId w:val="1"/>
        </w:numPr>
        <w:spacing w:before="105" w:after="105" w:line="360" w:lineRule="auto"/>
      </w:pPr>
      <w:r>
        <w:rPr>
          <w:rFonts w:ascii="inter" w:hAnsi="inter" w:eastAsia="inter" w:cs="inter"/>
          <w:color w:val="000000"/>
          <w:sz w:val="21"/>
        </w:rPr>
        <w:t>GPS/GNSS: Positioning and mapping; susceptible to signal degradation in urban canyons</w:t>
      </w:r>
      <w:bookmarkStart w:id="7" w:name="fnref2_1"/>
      <w:bookmarkEnd w:id="7"/>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3A2CCDA6">
      <w:pPr>
        <w:numPr>
          <w:ilvl w:val="0"/>
          <w:numId w:val="1"/>
        </w:numPr>
        <w:spacing w:before="105" w:after="105" w:line="360" w:lineRule="auto"/>
      </w:pPr>
      <w:r>
        <w:rPr>
          <w:rFonts w:ascii="inter" w:hAnsi="inter" w:eastAsia="inter" w:cs="inter"/>
          <w:color w:val="000000"/>
          <w:sz w:val="21"/>
        </w:rPr>
        <w:t>V2X Communication: Vehicle-to-vehicle and vehicle-to-infrastructure data exchange; dependent on infrastructure deployment</w:t>
      </w:r>
      <w:bookmarkStart w:id="8" w:name="fnref2_2"/>
      <w:bookmarkEnd w:id="8"/>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17C79598">
      <w:pPr>
        <w:spacing w:after="210" w:line="360" w:lineRule="auto"/>
      </w:pPr>
      <w:r>
        <w:rPr>
          <w:rFonts w:ascii="inter" w:hAnsi="inter" w:eastAsia="inter" w:cs="inter"/>
          <w:b/>
          <w:color w:val="000000"/>
        </w:rPr>
        <w:t>2. Perception and Fusion</w:t>
      </w:r>
      <w:r>
        <w:rPr>
          <w:rFonts w:ascii="inter" w:hAnsi="inter" w:eastAsia="inter" w:cs="inter"/>
          <w:color w:val="000000"/>
        </w:rPr>
        <w:br w:type="textWrapping"/>
      </w:r>
      <w:r>
        <w:rPr>
          <w:rFonts w:ascii="inter" w:hAnsi="inter" w:eastAsia="inter" w:cs="inter"/>
          <w:color w:val="000000"/>
        </w:rPr>
        <w:t>Sensor fusion algorithms integrate multi-modal data to construct vehicle environment models. Misalignment, calibration errors, or sensor degradation can compromise decision quality. Redundancy across modalities mitigates individual sensor failures but introduces computational complexity and latency constraints.</w:t>
      </w:r>
      <w:bookmarkStart w:id="9" w:name="fnref3"/>
      <w:bookmarkEnd w:id="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A2A5844">
      <w:pPr>
        <w:spacing w:after="210" w:line="360" w:lineRule="auto"/>
      </w:pPr>
      <w:r>
        <w:rPr>
          <w:rFonts w:ascii="inter" w:hAnsi="inter" w:eastAsia="inter" w:cs="inter"/>
          <w:b/>
          <w:color w:val="000000"/>
        </w:rPr>
        <w:t>3. Planning and Control Layer</w:t>
      </w:r>
      <w:r>
        <w:rPr>
          <w:rFonts w:ascii="inter" w:hAnsi="inter" w:eastAsia="inter" w:cs="inter"/>
          <w:color w:val="000000"/>
        </w:rPr>
        <w:br w:type="textWrapping"/>
      </w:r>
      <w:r>
        <w:rPr>
          <w:rFonts w:ascii="inter" w:hAnsi="inter" w:eastAsia="inter" w:cs="inter"/>
          <w:color w:val="000000"/>
        </w:rPr>
        <w:t>Deep learning models trained on large datasets determine vehicle behavior. Machine learning systems exhibit black-box characteristics—their decision rationale may be mathematically verifiable but humanly inexplicable. This opacity creates evidentiary challenges for liability determination, as courts cannot easily establish whether defect or acceptable stochastic variation caused a failure.</w:t>
      </w:r>
      <w:bookmarkStart w:id="10" w:name="fnref4"/>
      <w:bookmarkEnd w:id="1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1" w:name="fnref5"/>
      <w:bookmarkEnd w:id="1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10307F5">
      <w:pPr>
        <w:spacing w:before="315" w:after="105" w:line="360" w:lineRule="auto"/>
        <w:ind w:left="-30"/>
        <w:jc w:val="left"/>
      </w:pPr>
      <w:bookmarkStart w:id="12" w:name="b_failure_modes_and_liability_imp_dce7d6"/>
      <w:r>
        <w:rPr>
          <w:rFonts w:ascii="inter" w:hAnsi="inter" w:eastAsia="inter" w:cs="inter"/>
          <w:b/>
          <w:color w:val="000000"/>
          <w:sz w:val="24"/>
        </w:rPr>
        <w:t>B. Failure Modes and Liability Implications</w:t>
      </w:r>
      <w:bookmarkEnd w:id="12"/>
    </w:p>
    <w:p w14:paraId="035A18A2">
      <w:pPr>
        <w:spacing w:after="210" w:line="360" w:lineRule="auto"/>
      </w:pPr>
      <w:r>
        <w:rPr>
          <w:rFonts w:ascii="inter" w:hAnsi="inter" w:eastAsia="inter" w:cs="inter"/>
          <w:b/>
          <w:color w:val="000000"/>
        </w:rPr>
        <w:t>System Failures</w:t>
      </w:r>
    </w:p>
    <w:p w14:paraId="14FD4724">
      <w:pPr>
        <w:numPr>
          <w:ilvl w:val="0"/>
          <w:numId w:val="2"/>
        </w:numPr>
        <w:spacing w:before="105" w:after="105" w:line="360" w:lineRule="auto"/>
      </w:pPr>
      <w:r>
        <w:rPr>
          <w:rFonts w:ascii="inter" w:hAnsi="inter" w:eastAsia="inter" w:cs="inter"/>
          <w:color w:val="000000"/>
          <w:sz w:val="21"/>
        </w:rPr>
        <w:t>Sensor degradation: Calibration drift, optical contamination, electronic failure</w:t>
      </w:r>
      <w:bookmarkStart w:id="13" w:name="fnref3_1"/>
      <w:bookmarkEnd w:id="13"/>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5DA00BC6">
      <w:pPr>
        <w:numPr>
          <w:ilvl w:val="0"/>
          <w:numId w:val="2"/>
        </w:numPr>
        <w:spacing w:before="105" w:after="105" w:line="360" w:lineRule="auto"/>
      </w:pPr>
      <w:r>
        <w:rPr>
          <w:rFonts w:ascii="inter" w:hAnsi="inter" w:eastAsia="inter" w:cs="inter"/>
          <w:color w:val="000000"/>
          <w:sz w:val="21"/>
        </w:rPr>
        <w:t>Software bugs: Code errors in control logic; algorithmic errors in perception; edge-case mishandling</w:t>
      </w:r>
      <w:bookmarkStart w:id="14" w:name="fnref5_1"/>
      <w:bookmarkEnd w:id="14"/>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0F4A7FC1">
      <w:pPr>
        <w:numPr>
          <w:ilvl w:val="0"/>
          <w:numId w:val="2"/>
        </w:numPr>
        <w:spacing w:before="105" w:after="105" w:line="360" w:lineRule="auto"/>
      </w:pPr>
      <w:r>
        <w:rPr>
          <w:rFonts w:ascii="inter" w:hAnsi="inter" w:eastAsia="inter" w:cs="inter"/>
          <w:color w:val="000000"/>
          <w:sz w:val="21"/>
        </w:rPr>
        <w:t>Machine learning drift: Post-deployment model degradation if training data distribution changes</w:t>
      </w:r>
      <w:bookmarkStart w:id="15" w:name="fnref6"/>
      <w:bookmarkEnd w:id="15"/>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65725AFB">
      <w:pPr>
        <w:numPr>
          <w:ilvl w:val="0"/>
          <w:numId w:val="2"/>
        </w:numPr>
        <w:spacing w:before="105" w:after="105" w:line="360" w:lineRule="auto"/>
      </w:pPr>
      <w:r>
        <w:rPr>
          <w:rFonts w:ascii="inter" w:hAnsi="inter" w:eastAsia="inter" w:cs="inter"/>
          <w:color w:val="000000"/>
          <w:sz w:val="21"/>
        </w:rPr>
        <w:t>Integration failures: Incompatibility between components; data synchronization errors; timing violations</w:t>
      </w:r>
      <w:bookmarkStart w:id="16" w:name="fnref3_2"/>
      <w:bookmarkEnd w:id="16"/>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6890F924">
      <w:pPr>
        <w:spacing w:after="210" w:line="360" w:lineRule="auto"/>
      </w:pPr>
      <w:r>
        <w:rPr>
          <w:rFonts w:ascii="inter" w:hAnsi="inter" w:eastAsia="inter" w:cs="inter"/>
          <w:b/>
          <w:color w:val="000000"/>
        </w:rPr>
        <w:t>Cybersecurity Breaches</w:t>
      </w:r>
      <w:r>
        <w:rPr>
          <w:rFonts w:ascii="inter" w:hAnsi="inter" w:eastAsia="inter" w:cs="inter"/>
          <w:color w:val="000000"/>
        </w:rPr>
        <w:br w:type="textWrapping"/>
      </w:r>
      <w:r>
        <w:rPr>
          <w:rFonts w:ascii="inter" w:hAnsi="inter" w:eastAsia="inter" w:cs="inter"/>
          <w:color w:val="000000"/>
        </w:rPr>
        <w:t>The EU Product Liability Directive 2024/2853 explicitly recognizes cybersecurity vulnerabilities and failure to deploy security patches as product defects. This represents fundamental shift—liability now extends to post-sale software updates and networked security remediation.</w:t>
      </w:r>
      <w:bookmarkStart w:id="17" w:name="fnref7"/>
      <w:bookmarkEnd w:id="1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8" w:name="fnref6_1"/>
      <w:bookmarkEnd w:id="1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1858A4A">
      <w:pPr>
        <w:spacing w:after="210" w:line="360" w:lineRule="auto"/>
      </w:pPr>
      <w:r>
        <w:rPr>
          <w:rFonts w:ascii="inter" w:hAnsi="inter" w:eastAsia="inter" w:cs="inter"/>
          <w:b/>
          <w:color w:val="000000"/>
        </w:rPr>
        <w:t>Human-System Interaction Failures</w:t>
      </w:r>
    </w:p>
    <w:p w14:paraId="5059EE6C">
      <w:pPr>
        <w:numPr>
          <w:ilvl w:val="0"/>
          <w:numId w:val="3"/>
        </w:numPr>
        <w:spacing w:before="105" w:after="105" w:line="360" w:lineRule="auto"/>
      </w:pPr>
      <w:r>
        <w:rPr>
          <w:rFonts w:ascii="inter" w:hAnsi="inter" w:eastAsia="inter" w:cs="inter"/>
          <w:color w:val="000000"/>
          <w:sz w:val="21"/>
        </w:rPr>
        <w:t>Driver attention deficits during automation engagement</w:t>
      </w:r>
      <w:bookmarkStart w:id="19" w:name="fnref8"/>
      <w:bookmarkEnd w:id="19"/>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0F72CB5">
      <w:pPr>
        <w:numPr>
          <w:ilvl w:val="0"/>
          <w:numId w:val="3"/>
        </w:numPr>
        <w:spacing w:before="105" w:after="105" w:line="360" w:lineRule="auto"/>
      </w:pPr>
      <w:r>
        <w:rPr>
          <w:rFonts w:ascii="inter" w:hAnsi="inter" w:eastAsia="inter" w:cs="inter"/>
          <w:color w:val="000000"/>
          <w:sz w:val="21"/>
        </w:rPr>
        <w:t>Inadequate transition demand design causing rushed handovers</w:t>
      </w:r>
      <w:bookmarkStart w:id="20" w:name="fnref9"/>
      <w:bookmarkEnd w:id="20"/>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16FDD9A1">
      <w:pPr>
        <w:numPr>
          <w:ilvl w:val="0"/>
          <w:numId w:val="3"/>
        </w:numPr>
        <w:spacing w:before="105" w:after="105" w:line="360" w:lineRule="auto"/>
      </w:pPr>
      <w:r>
        <w:rPr>
          <w:rFonts w:ascii="inter" w:hAnsi="inter" w:eastAsia="inter" w:cs="inter"/>
          <w:color w:val="000000"/>
          <w:sz w:val="21"/>
        </w:rPr>
        <w:t>Mismatched mental models between driver expectations and system capability</w:t>
      </w:r>
      <w:bookmarkStart w:id="21" w:name="fnref10"/>
      <w:bookmarkEnd w:id="2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2" w:name="fnref8_1"/>
      <w:bookmarkEnd w:id="2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071E7FF">
      <w:pPr>
        <w:spacing w:before="315" w:after="105" w:line="360" w:lineRule="auto"/>
        <w:ind w:left="-30"/>
        <w:jc w:val="left"/>
      </w:pPr>
      <w:bookmarkStart w:id="23" w:name="c_data_recording_and_forensic_evidence"/>
      <w:r>
        <w:rPr>
          <w:rFonts w:ascii="inter" w:hAnsi="inter" w:eastAsia="inter" w:cs="inter"/>
          <w:b/>
          <w:color w:val="000000"/>
          <w:sz w:val="24"/>
        </w:rPr>
        <w:t>C. Data Recording and Forensic Evidence</w:t>
      </w:r>
      <w:bookmarkEnd w:id="23"/>
    </w:p>
    <w:p w14:paraId="18756123">
      <w:pPr>
        <w:spacing w:after="210" w:line="360" w:lineRule="auto"/>
      </w:pPr>
      <w:r>
        <w:rPr>
          <w:rFonts w:ascii="inter" w:hAnsi="inter" w:eastAsia="inter" w:cs="inter"/>
          <w:b/>
          <w:color w:val="000000"/>
        </w:rPr>
        <w:t>Event Data Recorder (EDR)</w:t>
      </w:r>
      <w:r>
        <w:rPr>
          <w:rFonts w:ascii="inter" w:hAnsi="inter" w:eastAsia="inter" w:cs="inter"/>
          <w:color w:val="000000"/>
        </w:rPr>
        <w:br w:type="textWrapping"/>
      </w:r>
      <w:r>
        <w:rPr>
          <w:rFonts w:ascii="inter" w:hAnsi="inter" w:eastAsia="inter" w:cs="inter"/>
          <w:color w:val="000000"/>
        </w:rPr>
        <w:t>Mandated under 49 CFR § 563 (US) and equivalent regulations in most jurisdictions, EDRs record 5-20 seconds of pre-crash vehicle telemetry. Data elements include vehicle speed, brake pedal status, throttle position, airbag deployment, and steering angle.</w:t>
      </w:r>
      <w:bookmarkStart w:id="24" w:name="fnref11"/>
      <w:bookmarkEnd w:id="24"/>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F4D9F97">
      <w:pPr>
        <w:spacing w:after="210" w:line="360" w:lineRule="auto"/>
      </w:pPr>
      <w:r>
        <w:rPr>
          <w:rFonts w:ascii="inter" w:hAnsi="inter" w:eastAsia="inter" w:cs="inter"/>
          <w:color w:val="000000"/>
        </w:rPr>
        <w:t>Limitation: EDR data insufficient alone to establish causation in autonomous vehicle accidents. Determination of which party (driver or system) controlled the vehicle during the critical period remains unclear without supplementary data.</w:t>
      </w:r>
      <w:bookmarkStart w:id="25" w:name="fnref4_1"/>
      <w:bookmarkEnd w:id="2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0337FB8D">
      <w:pPr>
        <w:spacing w:after="210" w:line="360" w:lineRule="auto"/>
      </w:pPr>
      <w:r>
        <w:rPr>
          <w:rFonts w:ascii="inter" w:hAnsi="inter" w:eastAsia="inter" w:cs="inter"/>
          <w:b/>
          <w:color w:val="000000"/>
        </w:rPr>
        <w:t>Data Storage System for Automated Driving (DSSAD)</w:t>
      </w:r>
      <w:r>
        <w:rPr>
          <w:rFonts w:ascii="inter" w:hAnsi="inter" w:eastAsia="inter" w:cs="inter"/>
          <w:color w:val="000000"/>
        </w:rPr>
        <w:br w:type="textWrapping"/>
      </w:r>
      <w:r>
        <w:rPr>
          <w:rFonts w:ascii="inter" w:hAnsi="inter" w:eastAsia="inter" w:cs="inter"/>
          <w:color w:val="000000"/>
        </w:rPr>
        <w:t>Mandated under UNECE UN R157 and emerging in global ADS regulations, DSSAD records timestamped flags indicating:</w:t>
      </w:r>
      <w:bookmarkStart w:id="26" w:name="fnref12"/>
      <w:bookmarkEnd w:id="26"/>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27" w:name="fnref13"/>
      <w:bookmarkEnd w:id="2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2203FE5A">
      <w:pPr>
        <w:numPr>
          <w:ilvl w:val="0"/>
          <w:numId w:val="4"/>
        </w:numPr>
        <w:spacing w:before="105" w:after="105" w:line="360" w:lineRule="auto"/>
      </w:pPr>
      <w:r>
        <w:rPr>
          <w:rFonts w:ascii="inter" w:hAnsi="inter" w:eastAsia="inter" w:cs="inter"/>
          <w:color w:val="000000"/>
          <w:sz w:val="21"/>
        </w:rPr>
        <w:t>System activation and mode transitions</w:t>
      </w:r>
    </w:p>
    <w:p w14:paraId="18D9B12A">
      <w:pPr>
        <w:numPr>
          <w:ilvl w:val="0"/>
          <w:numId w:val="4"/>
        </w:numPr>
        <w:spacing w:before="105" w:after="105" w:line="360" w:lineRule="auto"/>
      </w:pPr>
      <w:r>
        <w:rPr>
          <w:rFonts w:ascii="inter" w:hAnsi="inter" w:eastAsia="inter" w:cs="inter"/>
          <w:color w:val="000000"/>
          <w:sz w:val="21"/>
        </w:rPr>
        <w:t>Partial system failures</w:t>
      </w:r>
    </w:p>
    <w:p w14:paraId="5BB0A236">
      <w:pPr>
        <w:numPr>
          <w:ilvl w:val="0"/>
          <w:numId w:val="4"/>
        </w:numPr>
        <w:spacing w:before="105" w:after="105" w:line="360" w:lineRule="auto"/>
      </w:pPr>
      <w:r>
        <w:rPr>
          <w:rFonts w:ascii="inter" w:hAnsi="inter" w:eastAsia="inter" w:cs="inter"/>
          <w:color w:val="000000"/>
          <w:sz w:val="21"/>
        </w:rPr>
        <w:t>Minimal risk maneuver deployments</w:t>
      </w:r>
    </w:p>
    <w:p w14:paraId="39601218">
      <w:pPr>
        <w:numPr>
          <w:ilvl w:val="0"/>
          <w:numId w:val="4"/>
        </w:numPr>
        <w:spacing w:before="105" w:after="105" w:line="360" w:lineRule="auto"/>
      </w:pPr>
      <w:r>
        <w:rPr>
          <w:rFonts w:ascii="inter" w:hAnsi="inter" w:eastAsia="inter" w:cs="inter"/>
          <w:color w:val="000000"/>
          <w:sz w:val="21"/>
        </w:rPr>
        <w:t>Perception and planning data</w:t>
      </w:r>
    </w:p>
    <w:p w14:paraId="4FCA7A61">
      <w:pPr>
        <w:numPr>
          <w:ilvl w:val="0"/>
          <w:numId w:val="4"/>
        </w:numPr>
        <w:spacing w:before="105" w:after="105" w:line="360" w:lineRule="auto"/>
      </w:pPr>
      <w:r>
        <w:rPr>
          <w:rFonts w:ascii="inter" w:hAnsi="inter" w:eastAsia="inter" w:cs="inter"/>
          <w:color w:val="000000"/>
          <w:sz w:val="21"/>
        </w:rPr>
        <w:t>Control signal outputs</w:t>
      </w:r>
    </w:p>
    <w:p w14:paraId="27391DDF">
      <w:pPr>
        <w:spacing w:after="210" w:line="360" w:lineRule="auto"/>
      </w:pPr>
      <w:r>
        <w:rPr>
          <w:rFonts w:ascii="inter" w:hAnsi="inter" w:eastAsia="inter" w:cs="inter"/>
          <w:color w:val="000000"/>
        </w:rPr>
        <w:t>Duration: Approximately 6 months of continuous recording or defined event count. DSSAD data is critical for determining whether driver or system was performing driving tasks at the moment of accident.</w:t>
      </w:r>
      <w:bookmarkStart w:id="28" w:name="fnref13_1"/>
      <w:bookmarkEnd w:id="28"/>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9" w:name="fnref4_2"/>
      <w:bookmarkEnd w:id="2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30" w:name="fnref12_1"/>
      <w:bookmarkEnd w:id="30"/>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7D6C80C5">
      <w:pPr>
        <w:spacing w:after="210" w:line="360" w:lineRule="auto"/>
      </w:pPr>
      <w:r>
        <w:rPr>
          <w:rFonts w:ascii="inter" w:hAnsi="inter" w:eastAsia="inter" w:cs="inter"/>
          <w:b/>
          <w:color w:val="000000"/>
        </w:rPr>
        <w:t>Access and Confidentiality</w:t>
      </w:r>
      <w:r>
        <w:rPr>
          <w:rFonts w:ascii="inter" w:hAnsi="inter" w:eastAsia="inter" w:cs="inter"/>
          <w:color w:val="000000"/>
        </w:rPr>
        <w:br w:type="textWrapping"/>
      </w:r>
      <w:r>
        <w:rPr>
          <w:rFonts w:ascii="inter" w:hAnsi="inter" w:eastAsia="inter" w:cs="inter"/>
          <w:color w:val="000000"/>
        </w:rPr>
        <w:t>Regulatory consensus emerging: DSSAD data must be accessible to accident investigators, law enforcement, and civil litigants for liability determination. Confidentiality protections remain under negotiation, balancing victim compensation access against manufacturer intellectual property and cybersecurity concerns.</w:t>
      </w:r>
      <w:bookmarkStart w:id="31" w:name="fnref13_2"/>
      <w:bookmarkEnd w:id="3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1075B61">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244B4085">
      <w:pPr>
        <w:spacing w:before="315" w:after="105" w:line="360" w:lineRule="auto"/>
        <w:ind w:left="-30"/>
        <w:jc w:val="left"/>
      </w:pPr>
      <w:bookmarkStart w:id="32" w:name="ii_regulatory_frameworks_by_jurisdiction"/>
      <w:r>
        <w:rPr>
          <w:rFonts w:ascii="inter" w:hAnsi="inter" w:eastAsia="inter" w:cs="inter"/>
          <w:b/>
          <w:color w:val="000000"/>
          <w:sz w:val="24"/>
        </w:rPr>
        <w:t>II. REGULATORY FRAMEWORKS BY JURISDICTION</w:t>
      </w:r>
      <w:bookmarkEnd w:id="32"/>
    </w:p>
    <w:p w14:paraId="410473D6">
      <w:pPr>
        <w:spacing w:before="315" w:after="105" w:line="360" w:lineRule="auto"/>
        <w:ind w:left="-30"/>
        <w:jc w:val="left"/>
      </w:pPr>
      <w:bookmarkStart w:id="33" w:name="a_united_kingdom_insurer_first_as_89842c"/>
      <w:r>
        <w:rPr>
          <w:rFonts w:ascii="inter" w:hAnsi="inter" w:eastAsia="inter" w:cs="inter"/>
          <w:b/>
          <w:color w:val="000000"/>
          <w:sz w:val="24"/>
        </w:rPr>
        <w:t>A. United Kingdom: Insurer-First, ASDE-Accountability Model</w:t>
      </w:r>
      <w:bookmarkEnd w:id="33"/>
    </w:p>
    <w:p w14:paraId="1733D2D8">
      <w:pPr>
        <w:spacing w:after="210" w:line="360" w:lineRule="auto"/>
      </w:pPr>
      <w:r>
        <w:rPr>
          <w:rFonts w:ascii="inter" w:hAnsi="inter" w:eastAsia="inter" w:cs="inter"/>
          <w:color w:val="000000"/>
        </w:rPr>
        <w:t>The UK represents the most mature and prescriptive liability regime globally. Two statutes form the foundation:</w:t>
      </w:r>
    </w:p>
    <w:p w14:paraId="1BF983EE">
      <w:pPr>
        <w:spacing w:after="210" w:line="360" w:lineRule="auto"/>
      </w:pPr>
      <w:r>
        <w:rPr>
          <w:rFonts w:ascii="inter" w:hAnsi="inter" w:eastAsia="inter" w:cs="inter"/>
          <w:b/>
          <w:color w:val="000000"/>
        </w:rPr>
        <w:t>Automated and Electric Vehicles Act 2018 (AEVA 2018)</w:t>
      </w:r>
    </w:p>
    <w:p w14:paraId="4AC7D1B2">
      <w:pPr>
        <w:numPr>
          <w:ilvl w:val="0"/>
          <w:numId w:val="5"/>
        </w:numPr>
        <w:spacing w:before="105" w:after="105" w:line="360" w:lineRule="auto"/>
      </w:pPr>
      <w:r>
        <w:rPr>
          <w:rFonts w:ascii="inter" w:hAnsi="inter" w:eastAsia="inter" w:cs="inter"/>
          <w:color w:val="000000"/>
          <w:sz w:val="21"/>
        </w:rPr>
        <w:t>Section 2(1): Insurers of designated automated vehicles are directly liable to victims for deaths, injuries, and property damage from accidents caused by automated vehicles operating in automated mode</w:t>
      </w:r>
      <w:bookmarkStart w:id="34" w:name="fnref8_2"/>
      <w:bookmarkEnd w:id="3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35" w:name="fnref14"/>
      <w:bookmarkEnd w:id="35"/>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1F944E9">
      <w:pPr>
        <w:numPr>
          <w:ilvl w:val="0"/>
          <w:numId w:val="5"/>
        </w:numPr>
        <w:spacing w:before="105" w:after="105" w:line="360" w:lineRule="auto"/>
      </w:pPr>
      <w:r>
        <w:rPr>
          <w:rFonts w:ascii="inter" w:hAnsi="inter" w:eastAsia="inter" w:cs="inter"/>
          <w:color w:val="000000"/>
          <w:sz w:val="21"/>
        </w:rPr>
        <w:t>Section 3(2): Insurer liability subject to reduction for victim contributory negligence</w:t>
      </w:r>
    </w:p>
    <w:p w14:paraId="0F3E6A7C">
      <w:pPr>
        <w:numPr>
          <w:ilvl w:val="0"/>
          <w:numId w:val="5"/>
        </w:numPr>
        <w:spacing w:before="105" w:after="105" w:line="360" w:lineRule="auto"/>
      </w:pPr>
      <w:r>
        <w:rPr>
          <w:rFonts w:ascii="inter" w:hAnsi="inter" w:eastAsia="inter" w:cs="inter"/>
          <w:color w:val="000000"/>
          <w:sz w:val="21"/>
        </w:rPr>
        <w:t>Section 5(1): Insurers retain right to recover from persons liable to victims (manufacturers, ASDE, drivers)</w:t>
      </w:r>
      <w:bookmarkStart w:id="36" w:name="fnref14_1"/>
      <w:bookmarkEnd w:id="36"/>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bookmarkStart w:id="37" w:name="fnref8_3"/>
      <w:bookmarkEnd w:id="3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7CE8BD0">
      <w:pPr>
        <w:spacing w:after="210" w:line="360" w:lineRule="auto"/>
      </w:pPr>
      <w:r>
        <w:rPr>
          <w:rFonts w:ascii="inter" w:hAnsi="inter" w:eastAsia="inter" w:cs="inter"/>
          <w:b/>
          <w:color w:val="000000"/>
        </w:rPr>
        <w:t>Automated Vehicles Act 2024 (AVA 2024)</w:t>
      </w:r>
    </w:p>
    <w:p w14:paraId="5D18660B">
      <w:pPr>
        <w:numPr>
          <w:ilvl w:val="0"/>
          <w:numId w:val="6"/>
        </w:numPr>
        <w:spacing w:before="105" w:after="105" w:line="360" w:lineRule="auto"/>
      </w:pPr>
      <w:r>
        <w:rPr>
          <w:rFonts w:ascii="inter" w:hAnsi="inter" w:eastAsia="inter" w:cs="inter"/>
          <w:color w:val="000000"/>
          <w:sz w:val="21"/>
        </w:rPr>
        <w:t>Section 1-4: Self-driving test establishing whether vehicles "safely and legally" travel autonomously under specified conditions</w:t>
      </w:r>
      <w:bookmarkStart w:id="38" w:name="fnref14_2"/>
      <w:bookmarkEnd w:id="38"/>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73D370A7">
      <w:pPr>
        <w:numPr>
          <w:ilvl w:val="0"/>
          <w:numId w:val="6"/>
        </w:numPr>
        <w:spacing w:before="105" w:after="105" w:line="360" w:lineRule="auto"/>
      </w:pPr>
      <w:r>
        <w:rPr>
          <w:rFonts w:ascii="inter" w:hAnsi="inter" w:eastAsia="inter" w:cs="inter"/>
          <w:color w:val="000000"/>
          <w:sz w:val="21"/>
        </w:rPr>
        <w:t>Section 3: Authorisation regime for AVs; Secretary of State maintains list of approved vehicles</w:t>
      </w:r>
      <w:bookmarkStart w:id="39" w:name="fnref14_3"/>
      <w:bookmarkEnd w:id="39"/>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3E2BA9B4">
      <w:pPr>
        <w:numPr>
          <w:ilvl w:val="0"/>
          <w:numId w:val="6"/>
        </w:numPr>
        <w:spacing w:before="105" w:after="105" w:line="360" w:lineRule="auto"/>
      </w:pPr>
      <w:r>
        <w:rPr>
          <w:rFonts w:ascii="inter" w:hAnsi="inter" w:eastAsia="inter" w:cs="inter"/>
          <w:color w:val="000000"/>
          <w:sz w:val="21"/>
        </w:rPr>
        <w:t>Section 6: Designation of Authorised Self-Driving Entity (ASDE) for each authorized vehicle. ASDE must be:</w:t>
      </w:r>
    </w:p>
    <w:p w14:paraId="5C8C8DE9">
      <w:pPr>
        <w:numPr>
          <w:ilvl w:val="1"/>
          <w:numId w:val="6"/>
        </w:numPr>
        <w:spacing w:before="105" w:after="105" w:line="360" w:lineRule="auto"/>
      </w:pPr>
      <w:r>
        <w:rPr>
          <w:rFonts w:ascii="inter" w:hAnsi="inter" w:eastAsia="inter" w:cs="inter"/>
          <w:color w:val="000000"/>
          <w:sz w:val="21"/>
        </w:rPr>
        <w:t>Of good repute</w:t>
      </w:r>
    </w:p>
    <w:p w14:paraId="09DAABB3">
      <w:pPr>
        <w:numPr>
          <w:ilvl w:val="1"/>
          <w:numId w:val="6"/>
        </w:numPr>
        <w:spacing w:before="105" w:after="105" w:line="360" w:lineRule="auto"/>
      </w:pPr>
      <w:r>
        <w:rPr>
          <w:rFonts w:ascii="inter" w:hAnsi="inter" w:eastAsia="inter" w:cs="inter"/>
          <w:color w:val="000000"/>
          <w:sz w:val="21"/>
        </w:rPr>
        <w:t>Of good financial standing</w:t>
      </w:r>
    </w:p>
    <w:p w14:paraId="3ED9E0E3">
      <w:pPr>
        <w:numPr>
          <w:ilvl w:val="1"/>
          <w:numId w:val="6"/>
        </w:numPr>
        <w:spacing w:before="105" w:after="105" w:line="360" w:lineRule="auto"/>
      </w:pPr>
      <w:r>
        <w:rPr>
          <w:rFonts w:ascii="inter" w:hAnsi="inter" w:eastAsia="inter" w:cs="inter"/>
          <w:color w:val="000000"/>
          <w:sz w:val="21"/>
        </w:rPr>
        <w:t>Capable of competently discharging safety obligations</w:t>
      </w:r>
      <w:bookmarkStart w:id="40" w:name="fnref14_4"/>
      <w:bookmarkEnd w:id="40"/>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39F7EEE5">
      <w:pPr>
        <w:numPr>
          <w:ilvl w:val="0"/>
          <w:numId w:val="6"/>
        </w:numPr>
        <w:spacing w:before="105" w:after="105" w:line="360" w:lineRule="auto"/>
      </w:pPr>
      <w:r>
        <w:rPr>
          <w:rFonts w:ascii="inter" w:hAnsi="inter" w:eastAsia="inter" w:cs="inter"/>
          <w:color w:val="000000"/>
          <w:sz w:val="21"/>
        </w:rPr>
        <w:t>Sections 47-49: Clear liability boundaries—users-in-charge have no criminal or civil liability for AV actions while operating within authorized feature boundaries</w:t>
      </w:r>
      <w:bookmarkStart w:id="41" w:name="fnref14_5"/>
      <w:bookmarkEnd w:id="41"/>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ADE383E">
      <w:pPr>
        <w:numPr>
          <w:ilvl w:val="0"/>
          <w:numId w:val="6"/>
        </w:numPr>
        <w:spacing w:before="105" w:after="105" w:line="360" w:lineRule="auto"/>
      </w:pPr>
      <w:r>
        <w:rPr>
          <w:rFonts w:ascii="inter" w:hAnsi="inter" w:eastAsia="inter" w:cs="inter"/>
          <w:color w:val="000000"/>
          <w:sz w:val="21"/>
        </w:rPr>
        <w:t>Section 7: Transition demand requirements ensuring adequate reaction time and vehicle control during handover</w:t>
      </w:r>
      <w:bookmarkStart w:id="42" w:name="fnref14_6"/>
      <w:bookmarkEnd w:id="42"/>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29AEF589">
      <w:pPr>
        <w:spacing w:after="210" w:line="360" w:lineRule="auto"/>
      </w:pPr>
      <w:r>
        <w:rPr>
          <w:rFonts w:ascii="inter" w:hAnsi="inter" w:eastAsia="inter" w:cs="inter"/>
          <w:b/>
          <w:color w:val="000000"/>
        </w:rPr>
        <w:t>ASDE Accountability Mechanism</w:t>
      </w:r>
      <w:r>
        <w:rPr>
          <w:rFonts w:ascii="inter" w:hAnsi="inter" w:eastAsia="inter" w:cs="inter"/>
          <w:color w:val="000000"/>
        </w:rPr>
        <w:br w:type="textWrapping"/>
      </w:r>
      <w:r>
        <w:rPr>
          <w:rFonts w:ascii="inter" w:hAnsi="inter" w:eastAsia="inter" w:cs="inter"/>
          <w:color w:val="000000"/>
        </w:rPr>
        <w:t>The ASDE (typically the vehicle manufacturer or software developer) assumes ongoing responsibility for ensuring authorized vehicles continue meeting the self-driving test. This provides victims with an easily identifiable, well-resourced entity for recourse. However, practical victim recovery operates through insurer-first channel: insurers compensate victims, then pursue ASDE under AEVA § 5.</w:t>
      </w:r>
      <w:bookmarkStart w:id="43" w:name="fnref14_7"/>
      <w:bookmarkEnd w:id="4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13615E1F">
      <w:pPr>
        <w:spacing w:after="210" w:line="360" w:lineRule="auto"/>
      </w:pPr>
      <w:r>
        <w:rPr>
          <w:rFonts w:ascii="inter" w:hAnsi="inter" w:eastAsia="inter" w:cs="inter"/>
          <w:b/>
          <w:color w:val="000000"/>
        </w:rPr>
        <w:t>Operational Limitations</w:t>
      </w:r>
    </w:p>
    <w:p w14:paraId="030A82EA">
      <w:pPr>
        <w:numPr>
          <w:ilvl w:val="0"/>
          <w:numId w:val="7"/>
        </w:numPr>
        <w:spacing w:before="105" w:after="105" w:line="360" w:lineRule="auto"/>
      </w:pPr>
      <w:r>
        <w:rPr>
          <w:rFonts w:ascii="inter" w:hAnsi="inter" w:eastAsia="inter" w:cs="inter"/>
          <w:color w:val="000000"/>
          <w:sz w:val="21"/>
        </w:rPr>
        <w:t>Clear automation boundaries: AVA 2024 requires that authorization specify which features satisfy the self-driving test, under what circumstances they may be engaged, and geographical/environmental limits</w:t>
      </w:r>
      <w:bookmarkStart w:id="44" w:name="fnref14_8"/>
      <w:bookmarkEnd w:id="44"/>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4D8A5B22">
      <w:pPr>
        <w:numPr>
          <w:ilvl w:val="0"/>
          <w:numId w:val="7"/>
        </w:numPr>
        <w:spacing w:before="105" w:after="105" w:line="360" w:lineRule="auto"/>
      </w:pPr>
      <w:r>
        <w:rPr>
          <w:rFonts w:ascii="inter" w:hAnsi="inter" w:eastAsia="inter" w:cs="inter"/>
          <w:color w:val="000000"/>
          <w:sz w:val="21"/>
        </w:rPr>
        <w:t>No user-in-charge liability: Users disengaged from automation cannot be held liable for vehicle failures within authorized operational domains</w:t>
      </w:r>
      <w:bookmarkStart w:id="45" w:name="fnref14_9"/>
      <w:bookmarkEnd w:id="45"/>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74280980">
      <w:pPr>
        <w:numPr>
          <w:ilvl w:val="0"/>
          <w:numId w:val="7"/>
        </w:numPr>
        <w:spacing w:before="105" w:after="105" w:line="360" w:lineRule="auto"/>
      </w:pPr>
      <w:r>
        <w:rPr>
          <w:rFonts w:ascii="inter" w:hAnsi="inter" w:eastAsia="inter" w:cs="inter"/>
          <w:color w:val="000000"/>
          <w:sz w:val="21"/>
        </w:rPr>
        <w:t>High safety threshold: Requirements for transition demands (adequate reaction time, vehicle control during handover) effectively mandate near-flawless automation before authorization</w:t>
      </w:r>
      <w:bookmarkStart w:id="46" w:name="fnref14_10"/>
      <w:bookmarkEnd w:id="46"/>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4EEEA5AF">
      <w:pPr>
        <w:spacing w:before="315" w:after="105" w:line="360" w:lineRule="auto"/>
        <w:ind w:left="-30"/>
        <w:jc w:val="left"/>
      </w:pPr>
      <w:bookmarkStart w:id="47" w:name="b_european_union_strict_product_l_7c24a2"/>
      <w:r>
        <w:rPr>
          <w:rFonts w:ascii="inter" w:hAnsi="inter" w:eastAsia="inter" w:cs="inter"/>
          <w:b/>
          <w:color w:val="000000"/>
          <w:sz w:val="24"/>
        </w:rPr>
        <w:t>B. European Union: Strict Product Liability Model</w:t>
      </w:r>
      <w:bookmarkEnd w:id="47"/>
    </w:p>
    <w:p w14:paraId="468A2486">
      <w:pPr>
        <w:spacing w:after="210" w:line="360" w:lineRule="auto"/>
      </w:pPr>
      <w:r>
        <w:rPr>
          <w:rFonts w:ascii="inter" w:hAnsi="inter" w:eastAsia="inter" w:cs="inter"/>
          <w:color w:val="000000"/>
        </w:rPr>
        <w:t>The EU Product Liability Directive 2024/2853 (PLD), adopted December 2024 and requiring member-state implementation by December 2026, fundamentally restructures manufacturer accountability.</w:t>
      </w:r>
      <w:bookmarkStart w:id="48" w:name="fnref7_1"/>
      <w:bookmarkEnd w:id="4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49" w:name="fnref6_2"/>
      <w:bookmarkEnd w:id="4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3776992A">
      <w:pPr>
        <w:spacing w:after="210" w:line="360" w:lineRule="auto"/>
      </w:pPr>
      <w:r>
        <w:rPr>
          <w:rFonts w:ascii="inter" w:hAnsi="inter" w:eastAsia="inter" w:cs="inter"/>
          <w:b/>
          <w:color w:val="000000"/>
        </w:rPr>
        <w:t>Core Principles</w:t>
      </w:r>
    </w:p>
    <w:p w14:paraId="6612B4E2">
      <w:pPr>
        <w:numPr>
          <w:ilvl w:val="0"/>
          <w:numId w:val="8"/>
        </w:numPr>
        <w:spacing w:before="105" w:after="105" w:line="360" w:lineRule="auto"/>
      </w:pPr>
      <w:r>
        <w:rPr>
          <w:rFonts w:ascii="inter" w:hAnsi="inter" w:eastAsia="inter" w:cs="inter"/>
          <w:color w:val="000000"/>
          <w:sz w:val="21"/>
        </w:rPr>
        <w:t>Strict liability regardless of manufacturer negligence: Injured parties need only prove defect and causation; manufacturer fault not required</w:t>
      </w:r>
      <w:bookmarkStart w:id="50" w:name="fnref6_3"/>
      <w:bookmarkEnd w:id="5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51" w:name="fnref7_2"/>
      <w:bookmarkEnd w:id="51"/>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6D9C06AA">
      <w:pPr>
        <w:numPr>
          <w:ilvl w:val="0"/>
          <w:numId w:val="8"/>
        </w:numPr>
        <w:spacing w:before="105" w:after="105" w:line="360" w:lineRule="auto"/>
      </w:pPr>
      <w:r>
        <w:rPr>
          <w:rFonts w:ascii="inter" w:hAnsi="inter" w:eastAsia="inter" w:cs="inter"/>
          <w:color w:val="000000"/>
          <w:sz w:val="21"/>
        </w:rPr>
        <w:t>Expanded "product" definition: Explicitly includes embedded, stand-alone, and cloud-based software; AI systems; OTA updates; and firmware</w:t>
      </w:r>
      <w:bookmarkStart w:id="52" w:name="fnref7_3"/>
      <w:bookmarkEnd w:id="5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53" w:name="fnref6_4"/>
      <w:bookmarkEnd w:id="53"/>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2758D26">
      <w:pPr>
        <w:numPr>
          <w:ilvl w:val="0"/>
          <w:numId w:val="8"/>
        </w:numPr>
        <w:spacing w:before="105" w:after="105" w:line="360" w:lineRule="auto"/>
      </w:pPr>
      <w:r>
        <w:rPr>
          <w:rFonts w:ascii="inter" w:hAnsi="inter" w:eastAsia="inter" w:cs="inter"/>
          <w:color w:val="000000"/>
          <w:sz w:val="21"/>
        </w:rPr>
        <w:t>Cybersecurity as explicit defect trigger: Known vulnerabilities left unpatched or failure to deploy security updates can constitute product defects</w:t>
      </w:r>
      <w:bookmarkStart w:id="54" w:name="fnref6_5"/>
      <w:bookmarkEnd w:id="54"/>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55" w:name="fnref7_4"/>
      <w:bookmarkEnd w:id="5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1B5655E8">
      <w:pPr>
        <w:numPr>
          <w:ilvl w:val="0"/>
          <w:numId w:val="8"/>
        </w:numPr>
        <w:spacing w:before="105" w:after="105" w:line="360" w:lineRule="auto"/>
      </w:pPr>
      <w:r>
        <w:rPr>
          <w:rFonts w:ascii="inter" w:hAnsi="inter" w:eastAsia="inter" w:cs="inter"/>
          <w:color w:val="000000"/>
          <w:sz w:val="21"/>
        </w:rPr>
        <w:t>Post-sale liability: Manufacturer liable for harm from machine learning drift, OTA update failures, and behavioral changes from autonomous systems after initial sale</w:t>
      </w:r>
      <w:bookmarkStart w:id="56" w:name="fnref7_5"/>
      <w:bookmarkEnd w:id="5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57" w:name="fnref6_6"/>
      <w:bookmarkEnd w:id="5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07CE8392">
      <w:pPr>
        <w:spacing w:after="210" w:line="360" w:lineRule="auto"/>
      </w:pPr>
      <w:r>
        <w:rPr>
          <w:rFonts w:ascii="inter" w:hAnsi="inter" w:eastAsia="inter" w:cs="inter"/>
          <w:b/>
          <w:color w:val="000000"/>
        </w:rPr>
        <w:t>Extended Liability Chain</w:t>
      </w:r>
      <w:r>
        <w:rPr>
          <w:rFonts w:ascii="inter" w:hAnsi="inter" w:eastAsia="inter" w:cs="inter"/>
          <w:color w:val="000000"/>
        </w:rPr>
        <w:br w:type="textWrapping"/>
      </w:r>
      <w:r>
        <w:rPr>
          <w:rFonts w:ascii="inter" w:hAnsi="inter" w:eastAsia="inter" w:cs="inter"/>
          <w:color w:val="000000"/>
        </w:rPr>
        <w:t>Traditional product liability limited manufacturers. PLD expands the liable pool to include:</w:t>
      </w:r>
      <w:bookmarkStart w:id="58" w:name="fnref15"/>
      <w:bookmarkEnd w:id="58"/>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59" w:name="fnref6_7"/>
      <w:bookmarkEnd w:id="5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60" w:name="fnref7_6"/>
      <w:bookmarkEnd w:id="60"/>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B7E2A97">
      <w:pPr>
        <w:numPr>
          <w:ilvl w:val="0"/>
          <w:numId w:val="9"/>
        </w:numPr>
        <w:spacing w:before="105" w:after="105" w:line="360" w:lineRule="auto"/>
      </w:pPr>
      <w:r>
        <w:rPr>
          <w:rFonts w:ascii="inter" w:hAnsi="inter" w:eastAsia="inter" w:cs="inter"/>
          <w:color w:val="000000"/>
          <w:sz w:val="21"/>
        </w:rPr>
        <w:t>Manufacturers of components (where component manufacturer agreed to component-product integration)</w:t>
      </w:r>
    </w:p>
    <w:p w14:paraId="29174689">
      <w:pPr>
        <w:numPr>
          <w:ilvl w:val="0"/>
          <w:numId w:val="9"/>
        </w:numPr>
        <w:spacing w:before="105" w:after="105" w:line="360" w:lineRule="auto"/>
      </w:pPr>
      <w:r>
        <w:rPr>
          <w:rFonts w:ascii="inter" w:hAnsi="inter" w:eastAsia="inter" w:cs="inter"/>
          <w:color w:val="000000"/>
          <w:sz w:val="21"/>
        </w:rPr>
        <w:t>Importers into EU</w:t>
      </w:r>
    </w:p>
    <w:p w14:paraId="2199C7D1">
      <w:pPr>
        <w:numPr>
          <w:ilvl w:val="0"/>
          <w:numId w:val="9"/>
        </w:numPr>
        <w:spacing w:before="105" w:after="105" w:line="360" w:lineRule="auto"/>
      </w:pPr>
      <w:r>
        <w:rPr>
          <w:rFonts w:ascii="inter" w:hAnsi="inter" w:eastAsia="inter" w:cs="inter"/>
          <w:color w:val="000000"/>
          <w:sz w:val="21"/>
        </w:rPr>
        <w:t>Authorized representatives</w:t>
      </w:r>
    </w:p>
    <w:p w14:paraId="4F90ED16">
      <w:pPr>
        <w:numPr>
          <w:ilvl w:val="0"/>
          <w:numId w:val="9"/>
        </w:numPr>
        <w:spacing w:before="105" w:after="105" w:line="360" w:lineRule="auto"/>
      </w:pPr>
      <w:r>
        <w:rPr>
          <w:rFonts w:ascii="inter" w:hAnsi="inter" w:eastAsia="inter" w:cs="inter"/>
          <w:color w:val="000000"/>
          <w:sz w:val="21"/>
        </w:rPr>
        <w:t>Fulfillment service providers</w:t>
      </w:r>
    </w:p>
    <w:p w14:paraId="4D3D23F5">
      <w:pPr>
        <w:numPr>
          <w:ilvl w:val="0"/>
          <w:numId w:val="9"/>
        </w:numPr>
        <w:spacing w:before="105" w:after="105" w:line="360" w:lineRule="auto"/>
      </w:pPr>
      <w:r>
        <w:rPr>
          <w:rFonts w:ascii="inter" w:hAnsi="inter" w:eastAsia="inter" w:cs="inter"/>
          <w:color w:val="000000"/>
          <w:sz w:val="21"/>
        </w:rPr>
        <w:t>Parties substantially modifying products (including via software updates)</w:t>
      </w:r>
      <w:bookmarkStart w:id="61" w:name="fnref15_1"/>
      <w:bookmarkEnd w:id="61"/>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62" w:name="fnref7_7"/>
      <w:bookmarkEnd w:id="6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65B26BB7">
      <w:pPr>
        <w:spacing w:after="210" w:line="360" w:lineRule="auto"/>
      </w:pPr>
      <w:r>
        <w:rPr>
          <w:rFonts w:ascii="inter" w:hAnsi="inter" w:eastAsia="inter" w:cs="inter"/>
          <w:b/>
          <w:color w:val="000000"/>
        </w:rPr>
        <w:t>Presumption in Complex Cases</w:t>
      </w:r>
      <w:r>
        <w:rPr>
          <w:rFonts w:ascii="inter" w:hAnsi="inter" w:eastAsia="inter" w:cs="inter"/>
          <w:color w:val="000000"/>
        </w:rPr>
        <w:br w:type="textWrapping"/>
      </w:r>
      <w:r>
        <w:rPr>
          <w:rFonts w:ascii="inter" w:hAnsi="inter" w:eastAsia="inter" w:cs="inter"/>
          <w:color w:val="000000"/>
        </w:rPr>
        <w:t>For products involving "excessive difficulties, in particular due to technical or scientific complexity," defectiveness or causation may be presumed in favor of claimants. This provision directly addresses autonomous vehicle litigation, where proving software causation requires deep technical analysis.</w:t>
      </w:r>
      <w:bookmarkStart w:id="63" w:name="fnref7_8"/>
      <w:bookmarkEnd w:id="6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9814710">
      <w:pPr>
        <w:spacing w:after="210" w:line="360" w:lineRule="auto"/>
      </w:pPr>
      <w:r>
        <w:rPr>
          <w:rFonts w:ascii="inter" w:hAnsi="inter" w:eastAsia="inter" w:cs="inter"/>
          <w:b/>
          <w:color w:val="000000"/>
        </w:rPr>
        <w:t>Damage Expansion</w:t>
      </w:r>
      <w:r>
        <w:rPr>
          <w:rFonts w:ascii="inter" w:hAnsi="inter" w:eastAsia="inter" w:cs="inter"/>
          <w:color w:val="000000"/>
        </w:rPr>
        <w:br w:type="textWrapping"/>
      </w:r>
      <w:r>
        <w:rPr>
          <w:rFonts w:ascii="inter" w:hAnsi="inter" w:eastAsia="inter" w:cs="inter"/>
          <w:color w:val="000000"/>
        </w:rPr>
        <w:t>PLD expands recoverable damages beyond traditional product liability to include pure economic loss and data loss—addressing emerging harms from vehicle connectivity and autonomy.</w:t>
      </w:r>
      <w:bookmarkStart w:id="64" w:name="fnref6_8"/>
      <w:bookmarkEnd w:id="64"/>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65" w:name="fnref7_9"/>
      <w:bookmarkEnd w:id="65"/>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39840FE">
      <w:pPr>
        <w:spacing w:after="210" w:line="360" w:lineRule="auto"/>
      </w:pPr>
      <w:r>
        <w:rPr>
          <w:rFonts w:ascii="inter" w:hAnsi="inter" w:eastAsia="inter" w:cs="inter"/>
          <w:b/>
          <w:color w:val="000000"/>
        </w:rPr>
        <w:t>Implementation Challenges</w:t>
      </w:r>
    </w:p>
    <w:p w14:paraId="78B227CC">
      <w:pPr>
        <w:numPr>
          <w:ilvl w:val="0"/>
          <w:numId w:val="10"/>
        </w:numPr>
        <w:spacing w:before="105" w:after="105" w:line="360" w:lineRule="auto"/>
      </w:pPr>
      <w:r>
        <w:rPr>
          <w:rFonts w:ascii="inter" w:hAnsi="inter" w:eastAsia="inter" w:cs="inter"/>
          <w:color w:val="000000"/>
          <w:sz w:val="21"/>
        </w:rPr>
        <w:t>Retroactivity: Products placed on market before December 2024 generally not covered, though software updates to pre-existing products may extend liability</w:t>
      </w:r>
      <w:bookmarkStart w:id="66" w:name="fnref6_9"/>
      <w:bookmarkEnd w:id="66"/>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5F81A532">
      <w:pPr>
        <w:numPr>
          <w:ilvl w:val="0"/>
          <w:numId w:val="10"/>
        </w:numPr>
        <w:spacing w:before="105" w:after="105" w:line="360" w:lineRule="auto"/>
      </w:pPr>
      <w:r>
        <w:rPr>
          <w:rFonts w:ascii="inter" w:hAnsi="inter" w:eastAsia="inter" w:cs="inter"/>
          <w:color w:val="000000"/>
          <w:sz w:val="21"/>
        </w:rPr>
        <w:t>Member-state variations: Implementation discretion may create regulatory arbitrage</w:t>
      </w:r>
    </w:p>
    <w:p w14:paraId="162AA71B">
      <w:pPr>
        <w:numPr>
          <w:ilvl w:val="0"/>
          <w:numId w:val="10"/>
        </w:numPr>
        <w:spacing w:before="105" w:after="105" w:line="360" w:lineRule="auto"/>
      </w:pPr>
      <w:r>
        <w:rPr>
          <w:rFonts w:ascii="inter" w:hAnsi="inter" w:eastAsia="inter" w:cs="inter"/>
          <w:color w:val="000000"/>
          <w:sz w:val="21"/>
        </w:rPr>
        <w:t>Insurance implications: Uncertainty regarding whether traditional product liability insurance covers strict liability under PLD</w:t>
      </w:r>
      <w:bookmarkStart w:id="67" w:name="fnref6_10"/>
      <w:bookmarkEnd w:id="67"/>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3DBF4F79">
      <w:pPr>
        <w:spacing w:before="315" w:after="105" w:line="360" w:lineRule="auto"/>
        <w:ind w:left="-30"/>
        <w:jc w:val="left"/>
      </w:pPr>
      <w:bookmarkStart w:id="68" w:name="c_united_states_state_based_negli_ddf135"/>
      <w:r>
        <w:rPr>
          <w:rFonts w:ascii="inter" w:hAnsi="inter" w:eastAsia="inter" w:cs="inter"/>
          <w:b/>
          <w:color w:val="000000"/>
          <w:sz w:val="24"/>
        </w:rPr>
        <w:t>C. United States: State-Based Negligence Framework with Federal Guidance</w:t>
      </w:r>
      <w:bookmarkEnd w:id="68"/>
    </w:p>
    <w:p w14:paraId="56B95EF8">
      <w:pPr>
        <w:spacing w:after="210" w:line="360" w:lineRule="auto"/>
      </w:pPr>
      <w:r>
        <w:rPr>
          <w:rFonts w:ascii="inter" w:hAnsi="inter" w:eastAsia="inter" w:cs="inter"/>
          <w:color w:val="000000"/>
        </w:rPr>
        <w:t>US liability allocation remains fundamentally state-based, with federal frameworks providing guidance rather than regulatory mandate.</w:t>
      </w:r>
    </w:p>
    <w:p w14:paraId="7E669A5A">
      <w:pPr>
        <w:spacing w:after="210" w:line="360" w:lineRule="auto"/>
      </w:pPr>
      <w:r>
        <w:rPr>
          <w:rFonts w:ascii="inter" w:hAnsi="inter" w:eastAsia="inter" w:cs="inter"/>
          <w:b/>
          <w:color w:val="000000"/>
        </w:rPr>
        <w:t>Federal Framework</w:t>
      </w:r>
      <w:r>
        <w:rPr>
          <w:rFonts w:ascii="inter" w:hAnsi="inter" w:eastAsia="inter" w:cs="inter"/>
          <w:color w:val="000000"/>
        </w:rPr>
        <w:br w:type="textWrapping"/>
      </w:r>
      <w:r>
        <w:rPr>
          <w:rFonts w:ascii="inter" w:hAnsi="inter" w:eastAsia="inter" w:cs="inter"/>
          <w:color w:val="000000"/>
        </w:rPr>
        <w:t>NHTSA's April 2025 Automated Vehicle Framework establishes three regulatory priorities: (1) prioritize safety; (2) unleash innovation; (3) enable commercial deployment. Significantly, the framework does not impose federal liability standards, instead relying on state law and tort principles.</w:t>
      </w:r>
      <w:bookmarkStart w:id="69" w:name="fnref16"/>
      <w:bookmarkEnd w:id="69"/>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70" w:name="fnref17"/>
      <w:bookmarkEnd w:id="7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71" w:name="fnref18"/>
      <w:bookmarkEnd w:id="71"/>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72" w:name="fnref19"/>
      <w:bookmarkEnd w:id="72"/>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3" w:name="fnref20"/>
      <w:bookmarkEnd w:id="73"/>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2D312C50">
      <w:pPr>
        <w:spacing w:after="210" w:line="360" w:lineRule="auto"/>
      </w:pPr>
      <w:r>
        <w:rPr>
          <w:rFonts w:ascii="inter" w:hAnsi="inter" w:eastAsia="inter" w:cs="inter"/>
          <w:color w:val="000000"/>
        </w:rPr>
        <w:t>The AV START Act (proposed federal legislation) allocates authority: federal government controls vehicle design, construction, and ADS performance; states retain traditional authority over licensing, registration, insurance, and common law liability.</w:t>
      </w:r>
      <w:bookmarkStart w:id="74" w:name="fnref17_1"/>
      <w:bookmarkEnd w:id="7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AC7EEB3">
      <w:pPr>
        <w:spacing w:after="210" w:line="360" w:lineRule="auto"/>
      </w:pPr>
      <w:r>
        <w:rPr>
          <w:rFonts w:ascii="inter" w:hAnsi="inter" w:eastAsia="inter" w:cs="inter"/>
          <w:b/>
          <w:color w:val="000000"/>
        </w:rPr>
        <w:t>NHTSA Standing General Order (SGO)</w:t>
      </w:r>
      <w:r>
        <w:rPr>
          <w:rFonts w:ascii="inter" w:hAnsi="inter" w:eastAsia="inter" w:cs="inter"/>
          <w:color w:val="000000"/>
        </w:rPr>
        <w:br w:type="textWrapping"/>
      </w:r>
      <w:r>
        <w:rPr>
          <w:rFonts w:ascii="inter" w:hAnsi="inter" w:eastAsia="inter" w:cs="inter"/>
          <w:color w:val="000000"/>
        </w:rPr>
        <w:t>Amended effective June 16, 2025, the SGO requires manufacturers to report crashes involving Automated Driving Systems and ADAS Level 2+ systems. The amended SGO narrows reportable incident scope, focusing on critical safety information while removing duplicative requirements.</w:t>
      </w:r>
      <w:bookmarkStart w:id="75" w:name="fnref18_1"/>
      <w:bookmarkEnd w:id="7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76" w:name="fnref19_1"/>
      <w:bookmarkEnd w:id="7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19B35C42">
      <w:pPr>
        <w:spacing w:after="210" w:line="360" w:lineRule="auto"/>
      </w:pPr>
      <w:r>
        <w:rPr>
          <w:rFonts w:ascii="inter" w:hAnsi="inter" w:eastAsia="inter" w:cs="inter"/>
          <w:color w:val="000000"/>
        </w:rPr>
        <w:t>Notably, the SGO does not establish liability allocation; it facilitates information gathering for safety oversight.</w:t>
      </w:r>
      <w:bookmarkStart w:id="77" w:name="fnref19_2"/>
      <w:bookmarkEnd w:id="77"/>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78" w:name="fnref18_2"/>
      <w:bookmarkEnd w:id="78"/>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47416898">
      <w:pPr>
        <w:spacing w:after="210" w:line="360" w:lineRule="auto"/>
      </w:pPr>
      <w:r>
        <w:rPr>
          <w:rFonts w:ascii="inter" w:hAnsi="inter" w:eastAsia="inter" w:cs="inter"/>
          <w:b/>
          <w:color w:val="000000"/>
        </w:rPr>
        <w:t>State Law Liability Standards</w:t>
      </w:r>
      <w:r>
        <w:rPr>
          <w:rFonts w:ascii="inter" w:hAnsi="inter" w:eastAsia="inter" w:cs="inter"/>
          <w:color w:val="000000"/>
        </w:rPr>
        <w:br w:type="textWrapping"/>
      </w:r>
      <w:r>
        <w:rPr>
          <w:rFonts w:ascii="inter" w:hAnsi="inter" w:eastAsia="inter" w:cs="inter"/>
          <w:color w:val="000000"/>
        </w:rPr>
        <w:t>All 50 states apply negligence as the primary tort standard for vehicle accidents. Burden: plaintiffs must prove duty, breach, causation, and damages. For ADAS/ADS accidents, drivers typically bear initial liability unless they establish manufacturer defect.</w:t>
      </w:r>
      <w:bookmarkStart w:id="79" w:name="fnref21"/>
      <w:bookmarkEnd w:id="79"/>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80" w:name="fnref22"/>
      <w:bookmarkEnd w:id="80"/>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81" w:name="fnref5_2"/>
      <w:bookmarkEnd w:id="8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C444D0C">
      <w:pPr>
        <w:spacing w:after="210" w:line="360" w:lineRule="auto"/>
      </w:pPr>
      <w:r>
        <w:rPr>
          <w:rFonts w:ascii="inter" w:hAnsi="inter" w:eastAsia="inter" w:cs="inter"/>
          <w:b/>
          <w:color w:val="000000"/>
        </w:rPr>
        <w:t>Product Liability Development</w:t>
      </w:r>
      <w:r>
        <w:rPr>
          <w:rFonts w:ascii="inter" w:hAnsi="inter" w:eastAsia="inter" w:cs="inter"/>
          <w:color w:val="000000"/>
        </w:rPr>
        <w:br w:type="textWrapping"/>
      </w:r>
      <w:r>
        <w:rPr>
          <w:rFonts w:ascii="inter" w:hAnsi="inter" w:eastAsia="inter" w:cs="inter"/>
          <w:color w:val="000000"/>
        </w:rPr>
        <w:t>US jurisdictions recognize three categories of product defects:</w:t>
      </w:r>
      <w:bookmarkStart w:id="82" w:name="fnref5_3"/>
      <w:bookmarkEnd w:id="8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91D9DEE">
      <w:pPr>
        <w:numPr>
          <w:ilvl w:val="0"/>
          <w:numId w:val="11"/>
        </w:numPr>
        <w:spacing w:before="105" w:after="105" w:line="360" w:lineRule="auto"/>
      </w:pPr>
      <w:r>
        <w:rPr>
          <w:rFonts w:ascii="inter" w:hAnsi="inter" w:eastAsia="inter" w:cs="inter"/>
          <w:color w:val="000000"/>
          <w:sz w:val="21"/>
        </w:rPr>
        <w:t>Manufacturing defects (actual deviation from design)</w:t>
      </w:r>
    </w:p>
    <w:p w14:paraId="64BC6521">
      <w:pPr>
        <w:numPr>
          <w:ilvl w:val="0"/>
          <w:numId w:val="11"/>
        </w:numPr>
        <w:spacing w:before="105" w:after="105" w:line="360" w:lineRule="auto"/>
      </w:pPr>
      <w:r>
        <w:rPr>
          <w:rFonts w:ascii="inter" w:hAnsi="inter" w:eastAsia="inter" w:cs="inter"/>
          <w:color w:val="000000"/>
          <w:sz w:val="21"/>
        </w:rPr>
        <w:t>Design defects (foreseeable risks could be reduced by reasonable alternative design)</w:t>
      </w:r>
    </w:p>
    <w:p w14:paraId="0C6735BF">
      <w:pPr>
        <w:numPr>
          <w:ilvl w:val="0"/>
          <w:numId w:val="11"/>
        </w:numPr>
        <w:spacing w:before="105" w:after="105" w:line="360" w:lineRule="auto"/>
      </w:pPr>
      <w:r>
        <w:rPr>
          <w:rFonts w:ascii="inter" w:hAnsi="inter" w:eastAsia="inter" w:cs="inter"/>
          <w:color w:val="000000"/>
          <w:sz w:val="21"/>
        </w:rPr>
        <w:t>Failure-to-warn defects (inadequate instructions or warnings)</w:t>
      </w:r>
      <w:bookmarkStart w:id="83" w:name="fnref5_4"/>
      <w:bookmarkEnd w:id="83"/>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52311E48">
      <w:pPr>
        <w:spacing w:after="210" w:line="360" w:lineRule="auto"/>
      </w:pPr>
      <w:r>
        <w:rPr>
          <w:rFonts w:ascii="inter" w:hAnsi="inter" w:eastAsia="inter" w:cs="inter"/>
          <w:color w:val="000000"/>
        </w:rPr>
        <w:t>For ADAS/ADS, establishing defects requires expert testimony regarding algorithmic correctness, training data quality, testing protocols, and adherence to industry standards. Courts face novel evidentiary challenges in assessing software defect claims.</w:t>
      </w:r>
      <w:bookmarkStart w:id="84" w:name="fnref23"/>
      <w:bookmarkEnd w:id="84"/>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85" w:name="fnref5_5"/>
      <w:bookmarkEnd w:id="8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1BBD5F4">
      <w:pPr>
        <w:spacing w:after="210" w:line="360" w:lineRule="auto"/>
      </w:pPr>
      <w:r>
        <w:rPr>
          <w:rFonts w:ascii="inter" w:hAnsi="inter" w:eastAsia="inter" w:cs="inter"/>
          <w:b/>
          <w:color w:val="000000"/>
        </w:rPr>
        <w:t>Strict Liability Emergence</w:t>
      </w:r>
      <w:r>
        <w:rPr>
          <w:rFonts w:ascii="inter" w:hAnsi="inter" w:eastAsia="inter" w:cs="inter"/>
          <w:color w:val="000000"/>
        </w:rPr>
        <w:br w:type="textWrapping"/>
      </w:r>
      <w:r>
        <w:rPr>
          <w:rFonts w:ascii="inter" w:hAnsi="inter" w:eastAsia="inter" w:cs="inter"/>
          <w:color w:val="000000"/>
        </w:rPr>
        <w:t>Several academic and policy proposals advocate shifting from negligence to strict liability for manufacturers of autonomous vehicles. Rationale: strict liability encourages superior quality assurance; consumers are risk-averse under uncertainty; manufacturer bears appropriate risk given control over system design.</w:t>
      </w:r>
      <w:bookmarkStart w:id="86" w:name="fnref22_1"/>
      <w:bookmarkEnd w:id="8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1C9AAC22">
      <w:pPr>
        <w:spacing w:after="210" w:line="360" w:lineRule="auto"/>
      </w:pPr>
      <w:r>
        <w:rPr>
          <w:rFonts w:ascii="inter" w:hAnsi="inter" w:eastAsia="inter" w:cs="inter"/>
          <w:color w:val="000000"/>
        </w:rPr>
        <w:t>However, no US jurisdiction has adopted strict liability as default standard for autonomous vehicle accidents. Most litigation remains grounded in negligence and product liability frameworks.</w:t>
      </w:r>
      <w:bookmarkStart w:id="87" w:name="fnref21_1"/>
      <w:bookmarkEnd w:id="87"/>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349108D3">
      <w:pPr>
        <w:spacing w:before="315" w:after="105" w:line="360" w:lineRule="auto"/>
        <w:ind w:left="-30"/>
        <w:jc w:val="left"/>
      </w:pPr>
      <w:bookmarkStart w:id="88" w:name="d_germany_continental_europe_pres_bcfbce"/>
      <w:r>
        <w:rPr>
          <w:rFonts w:ascii="inter" w:hAnsi="inter" w:eastAsia="inter" w:cs="inter"/>
          <w:b/>
          <w:color w:val="000000"/>
          <w:sz w:val="24"/>
        </w:rPr>
        <w:t>D. Germany &amp; Continental Europe: Preserved Operator Liability Model</w:t>
      </w:r>
      <w:bookmarkEnd w:id="88"/>
    </w:p>
    <w:p w14:paraId="31F5CD30">
      <w:pPr>
        <w:spacing w:after="210" w:line="360" w:lineRule="auto"/>
      </w:pPr>
      <w:r>
        <w:rPr>
          <w:rFonts w:ascii="inter" w:hAnsi="inter" w:eastAsia="inter" w:cs="inter"/>
          <w:color w:val="000000"/>
        </w:rPr>
        <w:t>Germany and continental European approaches maintain driver/operator as primary liable party, even for autonomous system failures.</w:t>
      </w:r>
    </w:p>
    <w:p w14:paraId="1CF0A0BE">
      <w:pPr>
        <w:spacing w:after="210" w:line="360" w:lineRule="auto"/>
      </w:pPr>
      <w:r>
        <w:rPr>
          <w:rFonts w:ascii="inter" w:hAnsi="inter" w:eastAsia="inter" w:cs="inter"/>
          <w:b/>
          <w:color w:val="000000"/>
        </w:rPr>
        <w:t>Liability Structure</w:t>
      </w:r>
    </w:p>
    <w:p w14:paraId="37802BC4">
      <w:pPr>
        <w:numPr>
          <w:ilvl w:val="0"/>
          <w:numId w:val="12"/>
        </w:numPr>
        <w:spacing w:before="105" w:after="105" w:line="360" w:lineRule="auto"/>
      </w:pPr>
      <w:r>
        <w:rPr>
          <w:rFonts w:ascii="inter" w:hAnsi="inter" w:eastAsia="inter" w:cs="inter"/>
          <w:color w:val="000000"/>
          <w:sz w:val="21"/>
        </w:rPr>
        <w:t>Strict operator liability: Vehicle owner remains liable for accidents regardless of automation mode</w:t>
      </w:r>
      <w:bookmarkStart w:id="89" w:name="fnref24"/>
      <w:bookmarkEnd w:id="89"/>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bookmarkStart w:id="90" w:name="fnref8_4"/>
      <w:bookmarkEnd w:id="9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1171E58">
      <w:pPr>
        <w:numPr>
          <w:ilvl w:val="0"/>
          <w:numId w:val="12"/>
        </w:numPr>
        <w:spacing w:before="105" w:after="105" w:line="360" w:lineRule="auto"/>
      </w:pPr>
      <w:r>
        <w:rPr>
          <w:rFonts w:ascii="inter" w:hAnsi="inter" w:eastAsia="inter" w:cs="inter"/>
          <w:color w:val="000000"/>
          <w:sz w:val="21"/>
        </w:rPr>
        <w:t>Mandatory insurance: Operators must carry liability insurance; limits doubled for vehicles with autonomous systems</w:t>
      </w:r>
      <w:bookmarkStart w:id="91" w:name="fnref24_1"/>
      <w:bookmarkEnd w:id="91"/>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322F71B8">
      <w:pPr>
        <w:numPr>
          <w:ilvl w:val="0"/>
          <w:numId w:val="12"/>
        </w:numPr>
        <w:spacing w:before="105" w:after="105" w:line="360" w:lineRule="auto"/>
      </w:pPr>
      <w:r>
        <w:rPr>
          <w:rFonts w:ascii="inter" w:hAnsi="inter" w:eastAsia="inter" w:cs="inter"/>
          <w:color w:val="000000"/>
          <w:sz w:val="21"/>
        </w:rPr>
        <w:t>Manufacturer product liability: Secondary path; manufacturer liable only upon proof of product defect under applicable product liability law</w:t>
      </w:r>
      <w:bookmarkStart w:id="92" w:name="fnref24_2"/>
      <w:bookmarkEnd w:id="92"/>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72AC6BE1">
      <w:pPr>
        <w:spacing w:after="210" w:line="360" w:lineRule="auto"/>
      </w:pPr>
      <w:r>
        <w:rPr>
          <w:rFonts w:ascii="inter" w:hAnsi="inter" w:eastAsia="inter" w:cs="inter"/>
          <w:b/>
          <w:color w:val="000000"/>
        </w:rPr>
        <w:t>Rationale</w:t>
      </w:r>
      <w:r>
        <w:rPr>
          <w:rFonts w:ascii="inter" w:hAnsi="inter" w:eastAsia="inter" w:cs="inter"/>
          <w:color w:val="000000"/>
        </w:rPr>
        <w:br w:type="textWrapping"/>
      </w:r>
      <w:r>
        <w:rPr>
          <w:rFonts w:ascii="inter" w:hAnsi="inter" w:eastAsia="inter" w:cs="inter"/>
          <w:color w:val="000000"/>
        </w:rPr>
        <w:t>The preserved operator liability model reflects legal tradition viewing the vehicle as an inherently dangerous instrument. The party controlling the vehicle (even if control is delegated to automation) bears responsibility for ensuring safe operation.</w:t>
      </w:r>
      <w:bookmarkStart w:id="93" w:name="fnref24_3"/>
      <w:bookmarkEnd w:id="9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3BABB331">
      <w:pPr>
        <w:spacing w:after="210" w:line="360" w:lineRule="auto"/>
      </w:pPr>
      <w:r>
        <w:rPr>
          <w:rFonts w:ascii="inter" w:hAnsi="inter" w:eastAsia="inter" w:cs="inter"/>
          <w:b/>
          <w:color w:val="000000"/>
        </w:rPr>
        <w:t>Product Liability Integration</w:t>
      </w:r>
      <w:r>
        <w:rPr>
          <w:rFonts w:ascii="inter" w:hAnsi="inter" w:eastAsia="inter" w:cs="inter"/>
          <w:color w:val="000000"/>
        </w:rPr>
        <w:br w:type="textWrapping"/>
      </w:r>
      <w:r>
        <w:rPr>
          <w:rFonts w:ascii="inter" w:hAnsi="inter" w:eastAsia="inter" w:cs="inter"/>
          <w:color w:val="000000"/>
        </w:rPr>
        <w:t>Product liability for manufacturers follows EU Product Liability Directive 2024/2853 framework, providing strict liability independent of operator liability. This dual liability structure—operator liable to victims, manufacturer liable for product defects—creates potential overlaps and recourse complications.</w:t>
      </w:r>
      <w:bookmarkStart w:id="94" w:name="fnref25"/>
      <w:bookmarkEnd w:id="9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95" w:name="fnref24_4"/>
      <w:bookmarkEnd w:id="95"/>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5190175B">
      <w:pPr>
        <w:spacing w:after="210" w:line="360" w:lineRule="auto"/>
      </w:pPr>
      <w:r>
        <w:rPr>
          <w:rFonts w:ascii="inter" w:hAnsi="inter" w:eastAsia="inter" w:cs="inter"/>
          <w:b/>
          <w:color w:val="000000"/>
        </w:rPr>
        <w:t>Insurance Practice</w:t>
      </w:r>
      <w:r>
        <w:rPr>
          <w:rFonts w:ascii="inter" w:hAnsi="inter" w:eastAsia="inter" w:cs="inter"/>
          <w:color w:val="000000"/>
        </w:rPr>
        <w:br w:type="textWrapping"/>
      </w:r>
      <w:r>
        <w:rPr>
          <w:rFonts w:ascii="inter" w:hAnsi="inter" w:eastAsia="inter" w:cs="inter"/>
          <w:color w:val="000000"/>
        </w:rPr>
        <w:t>German insurers compensate victims from operator's mandatory insurance, then pursue manufacturer through separate product liability channel if defect established. This bifurcated recovery process differs markedly from UK insurer-first model.</w:t>
      </w:r>
      <w:bookmarkStart w:id="96" w:name="fnref26"/>
      <w:bookmarkEnd w:id="96"/>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97" w:name="fnref27"/>
      <w:bookmarkEnd w:id="97"/>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6BC7F671">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206A89E8">
      <w:pPr>
        <w:spacing w:before="315" w:after="105" w:line="360" w:lineRule="auto"/>
        <w:ind w:left="-30"/>
        <w:jc w:val="left"/>
      </w:pPr>
      <w:bookmarkStart w:id="98" w:name="iii_level_specific_liability_analysis"/>
      <w:r>
        <w:rPr>
          <w:rFonts w:ascii="inter" w:hAnsi="inter" w:eastAsia="inter" w:cs="inter"/>
          <w:b/>
          <w:color w:val="000000"/>
          <w:sz w:val="24"/>
        </w:rPr>
        <w:t>III. LEVEL-SPECIFIC LIABILITY ANALYSIS</w:t>
      </w:r>
      <w:bookmarkEnd w:id="98"/>
    </w:p>
    <w:p w14:paraId="2DBF2772">
      <w:pPr>
        <w:spacing w:before="315" w:after="105" w:line="360" w:lineRule="auto"/>
        <w:ind w:left="-30"/>
        <w:jc w:val="left"/>
      </w:pPr>
      <w:bookmarkStart w:id="99" w:name="a_levels_0_2_driver_centric_respo_e45d05"/>
      <w:r>
        <w:rPr>
          <w:rFonts w:ascii="inter" w:hAnsi="inter" w:eastAsia="inter" w:cs="inter"/>
          <w:b/>
          <w:color w:val="000000"/>
          <w:sz w:val="24"/>
        </w:rPr>
        <w:t>A. Levels 0-2: Driver-Centric Responsibility</w:t>
      </w:r>
      <w:bookmarkEnd w:id="99"/>
    </w:p>
    <w:p w14:paraId="54F6B9D9">
      <w:pPr>
        <w:spacing w:after="210" w:line="360" w:lineRule="auto"/>
      </w:pPr>
      <w:r>
        <w:rPr>
          <w:rFonts w:ascii="inter" w:hAnsi="inter" w:eastAsia="inter" w:cs="inter"/>
          <w:color w:val="000000"/>
        </w:rPr>
        <w:t>For Levels 0 (no automation), 1 (driver assistance), and 2 (partial automation), driver liability remains primary.</w:t>
      </w:r>
      <w:bookmarkStart w:id="100" w:name="fnref24_5"/>
      <w:bookmarkEnd w:id="100"/>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101" w:name="fnref8_5"/>
      <w:bookmarkEnd w:id="10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02" w:name="fnref21_2"/>
      <w:bookmarkEnd w:id="102"/>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315E5221">
      <w:pPr>
        <w:spacing w:after="210" w:line="360" w:lineRule="auto"/>
      </w:pPr>
      <w:r>
        <w:rPr>
          <w:rFonts w:ascii="inter" w:hAnsi="inter" w:eastAsia="inter" w:cs="inter"/>
          <w:b/>
          <w:color w:val="000000"/>
        </w:rPr>
        <w:t>Duty of Care</w:t>
      </w:r>
      <w:r>
        <w:rPr>
          <w:rFonts w:ascii="inter" w:hAnsi="inter" w:eastAsia="inter" w:cs="inter"/>
          <w:color w:val="000000"/>
        </w:rPr>
        <w:br w:type="textWrapping"/>
      </w:r>
      <w:r>
        <w:rPr>
          <w:rFonts w:ascii="inter" w:hAnsi="inter" w:eastAsia="inter" w:cs="inter"/>
          <w:color w:val="000000"/>
        </w:rPr>
        <w:t>Drivers must exercise attention and control consistent with traffic laws. Assistance systems do not diminish driver duty; failure to monitor or override failures renders drivers liable. In Sweden, courts have rejected driver claims that ADAS malfunction excuses liability; drivers cannot delegate responsibility.</w:t>
      </w:r>
      <w:bookmarkStart w:id="103" w:name="fnref10_1"/>
      <w:bookmarkEnd w:id="103"/>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64A72869">
      <w:pPr>
        <w:spacing w:after="210" w:line="360" w:lineRule="auto"/>
      </w:pPr>
      <w:r>
        <w:rPr>
          <w:rFonts w:ascii="inter" w:hAnsi="inter" w:eastAsia="inter" w:cs="inter"/>
          <w:b/>
          <w:color w:val="000000"/>
        </w:rPr>
        <w:t>Manufacturer Liability Exposure</w:t>
      </w:r>
      <w:r>
        <w:rPr>
          <w:rFonts w:ascii="inter" w:hAnsi="inter" w:eastAsia="inter" w:cs="inter"/>
          <w:color w:val="000000"/>
        </w:rPr>
        <w:br w:type="textWrapping"/>
      </w:r>
      <w:r>
        <w:rPr>
          <w:rFonts w:ascii="inter" w:hAnsi="inter" w:eastAsia="inter" w:cs="inter"/>
          <w:color w:val="000000"/>
        </w:rPr>
        <w:t>Limited to defective design, manufacturing flaws, or inadequate warnings. Drivers may recover for manufacturer negligence if system failed to warn or function as represented. However, proving negligence requires establishing that manufacturer conduct fell below the standard of care—typically requiring expert testimony regarding design standards and industry practice.</w:t>
      </w:r>
      <w:bookmarkStart w:id="104" w:name="fnref21_3"/>
      <w:bookmarkEnd w:id="104"/>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041CD1D3">
      <w:pPr>
        <w:spacing w:after="210" w:line="360" w:lineRule="auto"/>
      </w:pPr>
      <w:r>
        <w:rPr>
          <w:rFonts w:ascii="inter" w:hAnsi="inter" w:eastAsia="inter" w:cs="inter"/>
          <w:b/>
          <w:color w:val="000000"/>
        </w:rPr>
        <w:t>Practical Liability Allocation</w:t>
      </w:r>
    </w:p>
    <w:p w14:paraId="62DF9D5E">
      <w:pPr>
        <w:numPr>
          <w:ilvl w:val="0"/>
          <w:numId w:val="13"/>
        </w:numPr>
        <w:spacing w:before="105" w:after="105" w:line="360" w:lineRule="auto"/>
      </w:pPr>
      <w:r>
        <w:rPr>
          <w:rFonts w:ascii="inter" w:hAnsi="inter" w:eastAsia="inter" w:cs="inter"/>
          <w:color w:val="000000"/>
          <w:sz w:val="21"/>
        </w:rPr>
        <w:t>Most claims: Driver liability for inadequate monitoring or failure to intervene</w:t>
      </w:r>
      <w:bookmarkStart w:id="105" w:name="fnref10_2"/>
      <w:bookmarkEnd w:id="105"/>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1D5B3C89">
      <w:pPr>
        <w:numPr>
          <w:ilvl w:val="0"/>
          <w:numId w:val="13"/>
        </w:numPr>
        <w:spacing w:before="105" w:after="105" w:line="360" w:lineRule="auto"/>
      </w:pPr>
      <w:r>
        <w:rPr>
          <w:rFonts w:ascii="inter" w:hAnsi="inter" w:eastAsia="inter" w:cs="inter"/>
          <w:color w:val="000000"/>
          <w:sz w:val="21"/>
        </w:rPr>
        <w:t>Secondary claims: Manufacturer product liability if system malfunction contributed</w:t>
      </w:r>
    </w:p>
    <w:p w14:paraId="08209C2F">
      <w:pPr>
        <w:numPr>
          <w:ilvl w:val="0"/>
          <w:numId w:val="13"/>
        </w:numPr>
        <w:spacing w:before="105" w:after="105" w:line="360" w:lineRule="auto"/>
      </w:pPr>
      <w:r>
        <w:rPr>
          <w:rFonts w:ascii="inter" w:hAnsi="inter" w:eastAsia="inter" w:cs="inter"/>
          <w:color w:val="000000"/>
          <w:sz w:val="21"/>
        </w:rPr>
        <w:t>Insurance: Standard automotive liability applies; ADAS-specific policies emerging with discounts for systems reducing claim frequency</w:t>
      </w:r>
      <w:bookmarkStart w:id="106" w:name="fnref27_1"/>
      <w:bookmarkEnd w:id="106"/>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2439CC53">
      <w:pPr>
        <w:spacing w:after="210" w:line="360" w:lineRule="auto"/>
      </w:pPr>
      <w:r>
        <w:rPr>
          <w:rFonts w:ascii="inter" w:hAnsi="inter" w:eastAsia="inter" w:cs="inter"/>
          <w:b/>
          <w:color w:val="000000"/>
        </w:rPr>
        <w:t>Insurance Data</w:t>
      </w:r>
      <w:r>
        <w:rPr>
          <w:rFonts w:ascii="inter" w:hAnsi="inter" w:eastAsia="inter" w:cs="inter"/>
          <w:color w:val="000000"/>
        </w:rPr>
        <w:br w:type="textWrapping"/>
      </w:r>
      <w:r>
        <w:rPr>
          <w:rFonts w:ascii="inter" w:hAnsi="inter" w:eastAsia="inter" w:cs="inter"/>
          <w:color w:val="000000"/>
        </w:rPr>
        <w:t>Allianz analysis of 2022-2024 claims in Germany shows:</w:t>
      </w:r>
    </w:p>
    <w:p w14:paraId="3389FEBB">
      <w:pPr>
        <w:numPr>
          <w:ilvl w:val="0"/>
          <w:numId w:val="14"/>
        </w:numPr>
        <w:spacing w:before="105" w:after="105" w:line="360" w:lineRule="auto"/>
      </w:pPr>
      <w:r>
        <w:rPr>
          <w:rFonts w:ascii="inter" w:hAnsi="inter" w:eastAsia="inter" w:cs="inter"/>
          <w:color w:val="000000"/>
          <w:sz w:val="21"/>
        </w:rPr>
        <w:t>Vehicles with autonomous emergency braking (AEB) standard: 66% reduction in reverse collision claims</w:t>
      </w:r>
      <w:bookmarkStart w:id="107" w:name="fnref1_2"/>
      <w:bookmarkEnd w:id="10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5F4E767D">
      <w:pPr>
        <w:numPr>
          <w:ilvl w:val="0"/>
          <w:numId w:val="14"/>
        </w:numPr>
        <w:spacing w:before="105" w:after="105" w:line="360" w:lineRule="auto"/>
      </w:pPr>
      <w:r>
        <w:rPr>
          <w:rFonts w:ascii="inter" w:hAnsi="inter" w:eastAsia="inter" w:cs="inter"/>
          <w:color w:val="000000"/>
          <w:sz w:val="21"/>
        </w:rPr>
        <w:t>Models with optional AEB: 29% reduction</w:t>
      </w:r>
      <w:bookmarkStart w:id="108" w:name="fnref1_3"/>
      <w:bookmarkEnd w:id="108"/>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49A9B312">
      <w:pPr>
        <w:numPr>
          <w:ilvl w:val="0"/>
          <w:numId w:val="14"/>
        </w:numPr>
        <w:spacing w:before="105" w:after="105" w:line="360" w:lineRule="auto"/>
      </w:pPr>
      <w:r>
        <w:rPr>
          <w:rFonts w:ascii="inter" w:hAnsi="inter" w:eastAsia="inter" w:cs="inter"/>
          <w:color w:val="000000"/>
          <w:sz w:val="21"/>
        </w:rPr>
        <w:t>Models without AEB: minimal improvement</w:t>
      </w:r>
      <w:bookmarkStart w:id="109" w:name="fnref1_4"/>
      <w:bookmarkEnd w:id="109"/>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73886BDB">
      <w:pPr>
        <w:spacing w:after="210" w:line="360" w:lineRule="auto"/>
      </w:pPr>
      <w:r>
        <w:rPr>
          <w:rFonts w:ascii="inter" w:hAnsi="inter" w:eastAsia="inter" w:cs="inter"/>
          <w:color w:val="000000"/>
        </w:rPr>
        <w:t>This data supports regulatory interest in standardizing ADAS as baseline safety features.</w:t>
      </w:r>
      <w:bookmarkStart w:id="110" w:name="fnref1_5"/>
      <w:bookmarkEnd w:id="11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1B25F1B">
      <w:pPr>
        <w:spacing w:before="315" w:after="105" w:line="360" w:lineRule="auto"/>
        <w:ind w:left="-30"/>
        <w:jc w:val="left"/>
      </w:pPr>
      <w:bookmarkStart w:id="111" w:name="b_level_3_the_critical_transition_zone"/>
      <w:r>
        <w:rPr>
          <w:rFonts w:ascii="inter" w:hAnsi="inter" w:eastAsia="inter" w:cs="inter"/>
          <w:b/>
          <w:color w:val="000000"/>
          <w:sz w:val="24"/>
        </w:rPr>
        <w:t>B. Level 3: The Critical Transition Zone</w:t>
      </w:r>
      <w:bookmarkEnd w:id="111"/>
    </w:p>
    <w:p w14:paraId="166FEA66">
      <w:pPr>
        <w:spacing w:after="210" w:line="360" w:lineRule="auto"/>
      </w:pPr>
      <w:r>
        <w:rPr>
          <w:rFonts w:ascii="inter" w:hAnsi="inter" w:eastAsia="inter" w:cs="inter"/>
          <w:color w:val="000000"/>
        </w:rPr>
        <w:t>Level 3 conditional automation represents the most legally and technically challenging domain. The vehicle performs most driving tasks under defined conditions but requires driver intervention when conditions exceed its operational design domain (ODD) or when explicitly requested.</w:t>
      </w:r>
      <w:bookmarkStart w:id="112" w:name="fnref24_6"/>
      <w:bookmarkEnd w:id="112"/>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113" w:name="fnref8_6"/>
      <w:bookmarkEnd w:id="11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78F81D5">
      <w:pPr>
        <w:spacing w:after="210" w:line="360" w:lineRule="auto"/>
      </w:pPr>
      <w:r>
        <w:rPr>
          <w:rFonts w:ascii="inter" w:hAnsi="inter" w:eastAsia="inter" w:cs="inter"/>
          <w:b/>
          <w:color w:val="000000"/>
        </w:rPr>
        <w:t>The Reaction Time Problem</w:t>
      </w:r>
      <w:r>
        <w:rPr>
          <w:rFonts w:ascii="inter" w:hAnsi="inter" w:eastAsia="inter" w:cs="inter"/>
          <w:color w:val="000000"/>
        </w:rPr>
        <w:br w:type="textWrapping"/>
      </w:r>
      <w:r>
        <w:rPr>
          <w:rFonts w:ascii="inter" w:hAnsi="inter" w:eastAsia="inter" w:cs="inter"/>
          <w:color w:val="000000"/>
        </w:rPr>
        <w:t>Critical vulnerability: drivers must respond to transition demands within approximately 1.5-10 seconds, depending on circumstances. Studies demonstrate that occupants not actively engaged in driving cannot be expected to achieve full situational awareness within this window. This creates a legal gap: drivers cannot fully disengage from liability (they must respond to transition requests) but also cannot be expected to exercise perfect vigilance.</w:t>
      </w:r>
      <w:bookmarkStart w:id="114" w:name="fnref8_7"/>
      <w:bookmarkEnd w:id="1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15" w:name="fnref9_1"/>
      <w:bookmarkEnd w:id="1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5CBAB957">
      <w:pPr>
        <w:spacing w:after="210" w:line="360" w:lineRule="auto"/>
      </w:pPr>
      <w:r>
        <w:rPr>
          <w:rFonts w:ascii="inter" w:hAnsi="inter" w:eastAsia="inter" w:cs="inter"/>
          <w:b/>
          <w:color w:val="000000"/>
        </w:rPr>
        <w:t>Legal Frameworks for Level 3</w:t>
      </w:r>
    </w:p>
    <w:p w14:paraId="6F8E4A6E">
      <w:pPr>
        <w:spacing w:after="210" w:line="360" w:lineRule="auto"/>
      </w:pPr>
      <w:r>
        <w:rPr>
          <w:rFonts w:ascii="inter" w:hAnsi="inter" w:eastAsia="inter" w:cs="inter"/>
          <w:color w:val="000000"/>
        </w:rPr>
        <w:t>Under UK AVA 2024, Level 3 vehicles can be authorized only if transition demands provide adequate reaction time and vehicle control safeguards. Specifically:</w:t>
      </w:r>
      <w:bookmarkStart w:id="116" w:name="fnref9_2"/>
      <w:bookmarkEnd w:id="1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17" w:name="fnref14_11"/>
      <w:bookmarkEnd w:id="11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4EBA7885">
      <w:pPr>
        <w:numPr>
          <w:ilvl w:val="0"/>
          <w:numId w:val="15"/>
        </w:numPr>
        <w:spacing w:before="105" w:after="105" w:line="360" w:lineRule="auto"/>
      </w:pPr>
      <w:r>
        <w:rPr>
          <w:rFonts w:ascii="inter" w:hAnsi="inter" w:eastAsia="inter" w:cs="inter"/>
          <w:color w:val="000000"/>
          <w:sz w:val="21"/>
        </w:rPr>
        <w:t>Transition demand must be perceivable to any legally-qualified user-in-charge</w:t>
      </w:r>
    </w:p>
    <w:p w14:paraId="5AB8779E">
      <w:pPr>
        <w:numPr>
          <w:ilvl w:val="0"/>
          <w:numId w:val="15"/>
        </w:numPr>
        <w:spacing w:before="105" w:after="105" w:line="360" w:lineRule="auto"/>
      </w:pPr>
      <w:r>
        <w:rPr>
          <w:rFonts w:ascii="inter" w:hAnsi="inter" w:eastAsia="inter" w:cs="inter"/>
          <w:color w:val="000000"/>
          <w:sz w:val="21"/>
        </w:rPr>
        <w:t>Transition period must allow sufficient preparation time</w:t>
      </w:r>
    </w:p>
    <w:p w14:paraId="7B8A978B">
      <w:pPr>
        <w:numPr>
          <w:ilvl w:val="0"/>
          <w:numId w:val="15"/>
        </w:numPr>
        <w:spacing w:before="105" w:after="105" w:line="360" w:lineRule="auto"/>
      </w:pPr>
      <w:r>
        <w:rPr>
          <w:rFonts w:ascii="inter" w:hAnsi="inter" w:eastAsia="inter" w:cs="inter"/>
          <w:color w:val="000000"/>
          <w:sz w:val="21"/>
        </w:rPr>
        <w:t>Vehicle must continue safely and legally during transition period</w:t>
      </w:r>
    </w:p>
    <w:p w14:paraId="22C31F00">
      <w:pPr>
        <w:numPr>
          <w:ilvl w:val="0"/>
          <w:numId w:val="15"/>
        </w:numPr>
        <w:spacing w:before="105" w:after="105" w:line="360" w:lineRule="auto"/>
      </w:pPr>
      <w:r>
        <w:rPr>
          <w:rFonts w:ascii="inter" w:hAnsi="inter" w:eastAsia="inter" w:cs="inter"/>
          <w:color w:val="000000"/>
          <w:sz w:val="21"/>
        </w:rPr>
        <w:t>Further alert must signal end of transition period</w:t>
      </w:r>
    </w:p>
    <w:p w14:paraId="0CC9C369">
      <w:pPr>
        <w:numPr>
          <w:ilvl w:val="0"/>
          <w:numId w:val="15"/>
        </w:numPr>
        <w:spacing w:before="105" w:after="105" w:line="360" w:lineRule="auto"/>
      </w:pPr>
      <w:r>
        <w:rPr>
          <w:rFonts w:ascii="inter" w:hAnsi="inter" w:eastAsia="inter" w:cs="inter"/>
          <w:color w:val="000000"/>
          <w:sz w:val="21"/>
        </w:rPr>
        <w:t>Vehicle must handle situations where user-in-charge fails to resume control</w:t>
      </w:r>
      <w:bookmarkStart w:id="118" w:name="fnref14_12"/>
      <w:bookmarkEnd w:id="118"/>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45E774DB">
      <w:pPr>
        <w:spacing w:after="210" w:line="360" w:lineRule="auto"/>
      </w:pPr>
      <w:r>
        <w:rPr>
          <w:rFonts w:ascii="inter" w:hAnsi="inter" w:eastAsia="inter" w:cs="inter"/>
          <w:color w:val="000000"/>
        </w:rPr>
        <w:t>These requirements effectively mandate near-Level 4 capability (vehicle control during transition period) before Level 3 authorization.</w:t>
      </w:r>
      <w:bookmarkStart w:id="119" w:name="fnref14_13"/>
      <w:bookmarkEnd w:id="11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2E62700A">
      <w:pPr>
        <w:spacing w:after="210" w:line="360" w:lineRule="auto"/>
      </w:pPr>
      <w:r>
        <w:rPr>
          <w:rFonts w:ascii="inter" w:hAnsi="inter" w:eastAsia="inter" w:cs="inter"/>
          <w:b/>
          <w:color w:val="000000"/>
        </w:rPr>
        <w:t>Liability Determination Triggers</w:t>
      </w:r>
    </w:p>
    <w:p w14:paraId="3B0D1766">
      <w:pPr>
        <w:spacing w:after="210" w:line="360" w:lineRule="auto"/>
      </w:pPr>
      <w:r>
        <w:rPr>
          <w:rFonts w:ascii="inter" w:hAnsi="inter" w:eastAsia="inter" w:cs="inter"/>
          <w:color w:val="000000"/>
        </w:rPr>
        <w:t>Critical questions determining liability allocation for Level 3 accidents:</w:t>
      </w:r>
      <w:bookmarkStart w:id="120" w:name="fnref10_3"/>
      <w:bookmarkEnd w:id="12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21" w:name="fnref8_8"/>
      <w:bookmarkEnd w:id="121"/>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9EBA7B3">
      <w:pPr>
        <w:numPr>
          <w:ilvl w:val="0"/>
          <w:numId w:val="16"/>
        </w:numPr>
        <w:spacing w:before="105" w:after="105" w:line="360" w:lineRule="auto"/>
      </w:pPr>
      <w:r>
        <w:rPr>
          <w:rFonts w:ascii="inter" w:hAnsi="inter" w:eastAsia="inter" w:cs="inter"/>
          <w:color w:val="000000"/>
          <w:sz w:val="21"/>
        </w:rPr>
        <w:t>Was transition demand issued? (DSSAD data critical)</w:t>
      </w:r>
    </w:p>
    <w:p w14:paraId="3321949D">
      <w:pPr>
        <w:numPr>
          <w:ilvl w:val="0"/>
          <w:numId w:val="16"/>
        </w:numPr>
        <w:spacing w:before="105" w:after="105" w:line="360" w:lineRule="auto"/>
      </w:pPr>
      <w:r>
        <w:rPr>
          <w:rFonts w:ascii="inter" w:hAnsi="inter" w:eastAsia="inter" w:cs="inter"/>
          <w:color w:val="000000"/>
          <w:sz w:val="21"/>
        </w:rPr>
        <w:t>Did driver have adequate time to respond? (System design review needed)</w:t>
      </w:r>
    </w:p>
    <w:p w14:paraId="2F97E2F9">
      <w:pPr>
        <w:numPr>
          <w:ilvl w:val="0"/>
          <w:numId w:val="16"/>
        </w:numPr>
        <w:spacing w:before="105" w:after="105" w:line="360" w:lineRule="auto"/>
      </w:pPr>
      <w:r>
        <w:rPr>
          <w:rFonts w:ascii="inter" w:hAnsi="inter" w:eastAsia="inter" w:cs="inter"/>
          <w:color w:val="000000"/>
          <w:sz w:val="21"/>
        </w:rPr>
        <w:t>Did driver receive adequate warning? (HMI analysis required)</w:t>
      </w:r>
    </w:p>
    <w:p w14:paraId="5EFFB238">
      <w:pPr>
        <w:numPr>
          <w:ilvl w:val="0"/>
          <w:numId w:val="16"/>
        </w:numPr>
        <w:spacing w:before="105" w:after="105" w:line="360" w:lineRule="auto"/>
      </w:pPr>
      <w:r>
        <w:rPr>
          <w:rFonts w:ascii="inter" w:hAnsi="inter" w:eastAsia="inter" w:cs="inter"/>
          <w:color w:val="000000"/>
          <w:sz w:val="21"/>
        </w:rPr>
        <w:t>Did driver have reasonable capability to respond? (Visibility, accessibility, cognitive load assessment)</w:t>
      </w:r>
    </w:p>
    <w:p w14:paraId="4F18E3BF">
      <w:pPr>
        <w:numPr>
          <w:ilvl w:val="0"/>
          <w:numId w:val="16"/>
        </w:numPr>
        <w:spacing w:before="105" w:after="105" w:line="360" w:lineRule="auto"/>
      </w:pPr>
      <w:r>
        <w:rPr>
          <w:rFonts w:ascii="inter" w:hAnsi="inter" w:eastAsia="inter" w:cs="inter"/>
          <w:color w:val="000000"/>
          <w:sz w:val="21"/>
        </w:rPr>
        <w:t>What was system state during accident? (DSSAD essential)</w:t>
      </w:r>
    </w:p>
    <w:p w14:paraId="7D85C42C">
      <w:pPr>
        <w:spacing w:after="210" w:line="360" w:lineRule="auto"/>
      </w:pPr>
      <w:r>
        <w:rPr>
          <w:rFonts w:ascii="inter" w:hAnsi="inter" w:eastAsia="inter" w:cs="inter"/>
          <w:b/>
          <w:color w:val="000000"/>
        </w:rPr>
        <w:t>Manufacturer Liability at Level 3</w:t>
      </w:r>
      <w:r>
        <w:rPr>
          <w:rFonts w:ascii="inter" w:hAnsi="inter" w:eastAsia="inter" w:cs="inter"/>
          <w:color w:val="000000"/>
        </w:rPr>
        <w:br w:type="textWrapping"/>
      </w:r>
      <w:r>
        <w:rPr>
          <w:rFonts w:ascii="inter" w:hAnsi="inter" w:eastAsia="inter" w:cs="inter"/>
          <w:color w:val="000000"/>
        </w:rPr>
        <w:t>Manufacturers face elevated liability exposure if:</w:t>
      </w:r>
      <w:bookmarkStart w:id="122" w:name="fnref4_3"/>
      <w:bookmarkEnd w:id="122"/>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23" w:name="fnref8_9"/>
      <w:bookmarkEnd w:id="12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24" w:name="fnref10_4"/>
      <w:bookmarkEnd w:id="12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1BD60CF">
      <w:pPr>
        <w:numPr>
          <w:ilvl w:val="0"/>
          <w:numId w:val="17"/>
        </w:numPr>
        <w:spacing w:before="105" w:after="105" w:line="360" w:lineRule="auto"/>
      </w:pPr>
      <w:r>
        <w:rPr>
          <w:rFonts w:ascii="inter" w:hAnsi="inter" w:eastAsia="inter" w:cs="inter"/>
          <w:color w:val="000000"/>
          <w:sz w:val="21"/>
        </w:rPr>
        <w:t>Transition demand design inadequate (insufficient warning duration or clarity)</w:t>
      </w:r>
    </w:p>
    <w:p w14:paraId="0936EA7F">
      <w:pPr>
        <w:numPr>
          <w:ilvl w:val="0"/>
          <w:numId w:val="17"/>
        </w:numPr>
        <w:spacing w:before="105" w:after="105" w:line="360" w:lineRule="auto"/>
      </w:pPr>
      <w:r>
        <w:rPr>
          <w:rFonts w:ascii="inter" w:hAnsi="inter" w:eastAsia="inter" w:cs="inter"/>
          <w:color w:val="000000"/>
          <w:sz w:val="21"/>
        </w:rPr>
        <w:t>System capable of continuing control during transition period but not utilized</w:t>
      </w:r>
    </w:p>
    <w:p w14:paraId="43FC838F">
      <w:pPr>
        <w:numPr>
          <w:ilvl w:val="0"/>
          <w:numId w:val="17"/>
        </w:numPr>
        <w:spacing w:before="105" w:after="105" w:line="360" w:lineRule="auto"/>
      </w:pPr>
      <w:r>
        <w:rPr>
          <w:rFonts w:ascii="inter" w:hAnsi="inter" w:eastAsia="inter" w:cs="inter"/>
          <w:color w:val="000000"/>
          <w:sz w:val="21"/>
        </w:rPr>
        <w:t>Transition warning not compatible with accessibility standards</w:t>
      </w:r>
    </w:p>
    <w:p w14:paraId="5F581A93">
      <w:pPr>
        <w:numPr>
          <w:ilvl w:val="0"/>
          <w:numId w:val="17"/>
        </w:numPr>
        <w:spacing w:before="105" w:after="105" w:line="360" w:lineRule="auto"/>
      </w:pPr>
      <w:r>
        <w:rPr>
          <w:rFonts w:ascii="inter" w:hAnsi="inter" w:eastAsia="inter" w:cs="inter"/>
          <w:color w:val="000000"/>
          <w:sz w:val="21"/>
        </w:rPr>
        <w:t>DSSAD data unavailable, preventing determination of system state</w:t>
      </w:r>
    </w:p>
    <w:p w14:paraId="1275C5E1">
      <w:pPr>
        <w:spacing w:after="210" w:line="360" w:lineRule="auto"/>
      </w:pPr>
      <w:r>
        <w:rPr>
          <w:rFonts w:ascii="inter" w:hAnsi="inter" w:eastAsia="inter" w:cs="inter"/>
          <w:b/>
          <w:color w:val="000000"/>
        </w:rPr>
        <w:t>Driver Liability at Level 3</w:t>
      </w:r>
      <w:r>
        <w:rPr>
          <w:rFonts w:ascii="inter" w:hAnsi="inter" w:eastAsia="inter" w:cs="inter"/>
          <w:color w:val="000000"/>
        </w:rPr>
        <w:br w:type="textWrapping"/>
      </w:r>
      <w:r>
        <w:rPr>
          <w:rFonts w:ascii="inter" w:hAnsi="inter" w:eastAsia="inter" w:cs="inter"/>
          <w:color w:val="000000"/>
        </w:rPr>
        <w:t>Drivers may be liable if:</w:t>
      </w:r>
      <w:bookmarkStart w:id="125" w:name="fnref8_10"/>
      <w:bookmarkEnd w:id="12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26" w:name="fnref10_5"/>
      <w:bookmarkEnd w:id="12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06FB2AC">
      <w:pPr>
        <w:numPr>
          <w:ilvl w:val="0"/>
          <w:numId w:val="18"/>
        </w:numPr>
        <w:spacing w:before="105" w:after="105" w:line="360" w:lineRule="auto"/>
      </w:pPr>
      <w:r>
        <w:rPr>
          <w:rFonts w:ascii="inter" w:hAnsi="inter" w:eastAsia="inter" w:cs="inter"/>
          <w:color w:val="000000"/>
          <w:sz w:val="21"/>
        </w:rPr>
        <w:t>They failed to resume control despite adequate transition demand</w:t>
      </w:r>
    </w:p>
    <w:p w14:paraId="7A979C7F">
      <w:pPr>
        <w:numPr>
          <w:ilvl w:val="0"/>
          <w:numId w:val="18"/>
        </w:numPr>
        <w:spacing w:before="105" w:after="105" w:line="360" w:lineRule="auto"/>
      </w:pPr>
      <w:r>
        <w:rPr>
          <w:rFonts w:ascii="inter" w:hAnsi="inter" w:eastAsia="inter" w:cs="inter"/>
          <w:color w:val="000000"/>
          <w:sz w:val="21"/>
        </w:rPr>
        <w:t>They deliberately engaged Level 3 mode in inappropriate conditions (outside ODD)</w:t>
      </w:r>
    </w:p>
    <w:p w14:paraId="3A4D70C3">
      <w:pPr>
        <w:numPr>
          <w:ilvl w:val="0"/>
          <w:numId w:val="18"/>
        </w:numPr>
        <w:spacing w:before="105" w:after="105" w:line="360" w:lineRule="auto"/>
      </w:pPr>
      <w:r>
        <w:rPr>
          <w:rFonts w:ascii="inter" w:hAnsi="inter" w:eastAsia="inter" w:cs="inter"/>
          <w:color w:val="000000"/>
          <w:sz w:val="21"/>
        </w:rPr>
        <w:t>Evidence shows distraction or incapacity to respond</w:t>
      </w:r>
    </w:p>
    <w:p w14:paraId="67C7DF15">
      <w:pPr>
        <w:spacing w:after="210" w:line="360" w:lineRule="auto"/>
      </w:pPr>
      <w:r>
        <w:rPr>
          <w:rFonts w:ascii="inter" w:hAnsi="inter" w:eastAsia="inter" w:cs="inter"/>
          <w:color w:val="000000"/>
        </w:rPr>
        <w:t>Critically, drivers may escape liability if they establish insufficient reaction time or system design defects.</w:t>
      </w:r>
      <w:bookmarkStart w:id="127" w:name="fnref10_6"/>
      <w:bookmarkEnd w:id="12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28" w:name="fnref8_11"/>
      <w:bookmarkEnd w:id="128"/>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2F48921C">
      <w:pPr>
        <w:spacing w:after="210" w:line="360" w:lineRule="auto"/>
      </w:pPr>
      <w:r>
        <w:rPr>
          <w:rFonts w:ascii="inter" w:hAnsi="inter" w:eastAsia="inter" w:cs="inter"/>
          <w:b/>
          <w:color w:val="000000"/>
        </w:rPr>
        <w:t>Singapore Legal Position</w:t>
      </w:r>
      <w:r>
        <w:rPr>
          <w:rFonts w:ascii="inter" w:hAnsi="inter" w:eastAsia="inter" w:cs="inter"/>
          <w:color w:val="000000"/>
        </w:rPr>
        <w:br w:type="textWrapping"/>
      </w:r>
      <w:r>
        <w:rPr>
          <w:rFonts w:ascii="inter" w:hAnsi="inter" w:eastAsia="inter" w:cs="inter"/>
          <w:color w:val="000000"/>
        </w:rPr>
        <w:t>Singapore's legal framework, detailed in the Road Traffic (Amendment) Act 2017, does not establish specific liability standards for Level 3 accidents. Instead, courts will apply traditional negligence principles, requiring case-by-case determination of whether driver or manufacturer fell below standard of care. The determination will likely depend on factors including transition demand adequacy, data recording clarity, and system design consistency with industry standards.</w:t>
      </w:r>
      <w:bookmarkStart w:id="129" w:name="fnref8_12"/>
      <w:bookmarkEnd w:id="12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062C43B">
      <w:pPr>
        <w:spacing w:before="315" w:after="105" w:line="360" w:lineRule="auto"/>
        <w:ind w:left="-30"/>
        <w:jc w:val="left"/>
      </w:pPr>
      <w:bookmarkStart w:id="130" w:name="c_levels_4_5_manufacturer_centric_763894"/>
      <w:r>
        <w:rPr>
          <w:rFonts w:ascii="inter" w:hAnsi="inter" w:eastAsia="inter" w:cs="inter"/>
          <w:b/>
          <w:color w:val="000000"/>
          <w:sz w:val="24"/>
        </w:rPr>
        <w:t>C. Levels 4-5: Manufacturer-Centric Liability</w:t>
      </w:r>
      <w:bookmarkEnd w:id="130"/>
    </w:p>
    <w:p w14:paraId="0CB73CAE">
      <w:pPr>
        <w:spacing w:after="210" w:line="360" w:lineRule="auto"/>
      </w:pPr>
      <w:r>
        <w:rPr>
          <w:rFonts w:ascii="inter" w:hAnsi="inter" w:eastAsia="inter" w:cs="inter"/>
          <w:color w:val="000000"/>
        </w:rPr>
        <w:t>For high driving automation (Level 4) and full automation (Level 5), manufacturer liability becomes primary.</w:t>
      </w:r>
    </w:p>
    <w:p w14:paraId="6282E4B9">
      <w:pPr>
        <w:spacing w:after="210" w:line="360" w:lineRule="auto"/>
      </w:pPr>
      <w:r>
        <w:rPr>
          <w:rFonts w:ascii="inter" w:hAnsi="inter" w:eastAsia="inter" w:cs="inter"/>
          <w:b/>
          <w:color w:val="000000"/>
        </w:rPr>
        <w:t>Level 4: Within ODD</w:t>
      </w:r>
      <w:r>
        <w:rPr>
          <w:rFonts w:ascii="inter" w:hAnsi="inter" w:eastAsia="inter" w:cs="inter"/>
          <w:color w:val="000000"/>
        </w:rPr>
        <w:br w:type="textWrapping"/>
      </w:r>
      <w:r>
        <w:rPr>
          <w:rFonts w:ascii="inter" w:hAnsi="inter" w:eastAsia="inter" w:cs="inter"/>
          <w:color w:val="000000"/>
        </w:rPr>
        <w:t>When Level 4 vehicles operate within their authorized operational design domain, manufacturers assume primary liability for accidents. Drivers/operators are passengers; they cannot be held liable for system decisions made within ODD.</w:t>
      </w:r>
      <w:bookmarkStart w:id="131" w:name="fnref24_7"/>
      <w:bookmarkEnd w:id="13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132" w:name="fnref14_14"/>
      <w:bookmarkEnd w:id="13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7D450E9">
      <w:pPr>
        <w:spacing w:after="210" w:line="360" w:lineRule="auto"/>
      </w:pPr>
      <w:r>
        <w:rPr>
          <w:rFonts w:ascii="inter" w:hAnsi="inter" w:eastAsia="inter" w:cs="inter"/>
          <w:color w:val="000000"/>
        </w:rPr>
        <w:t>ODD defines the operational envelope—roadway types (highways vs. urban streets), speed ranges, environmental conditions (weather, lighting), and geographical areas—within which the system is certified to operate safely. Accidents occurring within ODD parameters generally trigger manufacturer liability.</w:t>
      </w:r>
      <w:bookmarkStart w:id="133" w:name="fnref2_3"/>
      <w:bookmarkEnd w:id="13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134" w:name="fnref28"/>
      <w:bookmarkEnd w:id="134"/>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27B11637">
      <w:pPr>
        <w:spacing w:after="210" w:line="360" w:lineRule="auto"/>
      </w:pPr>
      <w:r>
        <w:rPr>
          <w:rFonts w:ascii="inter" w:hAnsi="inter" w:eastAsia="inter" w:cs="inter"/>
          <w:b/>
          <w:color w:val="000000"/>
        </w:rPr>
        <w:t>Level 4: Outside ODD</w:t>
      </w:r>
      <w:r>
        <w:rPr>
          <w:rFonts w:ascii="inter" w:hAnsi="inter" w:eastAsia="inter" w:cs="inter"/>
          <w:color w:val="000000"/>
        </w:rPr>
        <w:br w:type="textWrapping"/>
      </w:r>
      <w:r>
        <w:rPr>
          <w:rFonts w:ascii="inter" w:hAnsi="inter" w:eastAsia="inter" w:cs="inter"/>
          <w:color w:val="000000"/>
        </w:rPr>
        <w:t>If accidents occur when vehicle operated outside authorized ODD, liability allocation depends on causation:</w:t>
      </w:r>
      <w:bookmarkStart w:id="135" w:name="fnref2_4"/>
      <w:bookmarkEnd w:id="13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EFDDA8C">
      <w:pPr>
        <w:numPr>
          <w:ilvl w:val="0"/>
          <w:numId w:val="19"/>
        </w:numPr>
        <w:spacing w:before="105" w:after="105" w:line="360" w:lineRule="auto"/>
      </w:pPr>
      <w:r>
        <w:rPr>
          <w:rFonts w:ascii="inter" w:hAnsi="inter" w:eastAsia="inter" w:cs="inter"/>
          <w:color w:val="000000"/>
          <w:sz w:val="21"/>
        </w:rPr>
        <w:t>If operator deliberately engaged Level 4 mode outside ODD (e.g., using highway system on urban streets), operator may bear liability for misuse</w:t>
      </w:r>
    </w:p>
    <w:p w14:paraId="255FA4E5">
      <w:pPr>
        <w:numPr>
          <w:ilvl w:val="0"/>
          <w:numId w:val="19"/>
        </w:numPr>
        <w:spacing w:before="105" w:after="105" w:line="360" w:lineRule="auto"/>
      </w:pPr>
      <w:r>
        <w:rPr>
          <w:rFonts w:ascii="inter" w:hAnsi="inter" w:eastAsia="inter" w:cs="inter"/>
          <w:color w:val="000000"/>
          <w:sz w:val="21"/>
        </w:rPr>
        <w:t>If system failed to disengage outside ODD boundaries, manufacturer liable for system design defect</w:t>
      </w:r>
    </w:p>
    <w:p w14:paraId="4ECEDEB8">
      <w:pPr>
        <w:numPr>
          <w:ilvl w:val="0"/>
          <w:numId w:val="19"/>
        </w:numPr>
        <w:spacing w:before="105" w:after="105" w:line="360" w:lineRule="auto"/>
      </w:pPr>
      <w:r>
        <w:rPr>
          <w:rFonts w:ascii="inter" w:hAnsi="inter" w:eastAsia="inter" w:cs="inter"/>
          <w:color w:val="000000"/>
          <w:sz w:val="21"/>
        </w:rPr>
        <w:t>Mixed liability possible if both operator misuse and system design weakness contributed</w:t>
      </w:r>
      <w:bookmarkStart w:id="136" w:name="fnref2_5"/>
      <w:bookmarkEnd w:id="136"/>
      <w:r>
        <w:fldChar w:fldCharType="begin"/>
      </w:r>
      <w:r>
        <w:instrText xml:space="preserve"> HYPERLINK \l "fn2" \h </w:instrText>
      </w:r>
      <w:r>
        <w:fldChar w:fldCharType="separate"/>
      </w:r>
      <w:r>
        <w:rPr>
          <w:rFonts w:ascii="inter" w:hAnsi="inter" w:eastAsia="inter" w:cs="inter"/>
          <w:color w:val="000000"/>
          <w:sz w:val="21"/>
          <w:u w:val="single"/>
          <w:vertAlign w:val="superscript"/>
        </w:rPr>
        <w:t>[2]</w:t>
      </w:r>
      <w:r>
        <w:rPr>
          <w:rFonts w:ascii="inter" w:hAnsi="inter" w:eastAsia="inter" w:cs="inter"/>
          <w:color w:val="000000"/>
          <w:sz w:val="21"/>
          <w:u w:val="single"/>
          <w:vertAlign w:val="superscript"/>
        </w:rPr>
        <w:fldChar w:fldCharType="end"/>
      </w:r>
    </w:p>
    <w:p w14:paraId="518EA1DB">
      <w:pPr>
        <w:spacing w:after="210" w:line="360" w:lineRule="auto"/>
      </w:pPr>
      <w:r>
        <w:rPr>
          <w:rFonts w:ascii="inter" w:hAnsi="inter" w:eastAsia="inter" w:cs="inter"/>
          <w:b/>
          <w:color w:val="000000"/>
        </w:rPr>
        <w:t>Level 5: Strict Manufacturer Liability</w:t>
      </w:r>
      <w:r>
        <w:rPr>
          <w:rFonts w:ascii="inter" w:hAnsi="inter" w:eastAsia="inter" w:cs="inter"/>
          <w:color w:val="000000"/>
        </w:rPr>
        <w:br w:type="textWrapping"/>
      </w:r>
      <w:r>
        <w:rPr>
          <w:rFonts w:ascii="inter" w:hAnsi="inter" w:eastAsia="inter" w:cs="inter"/>
          <w:color w:val="000000"/>
        </w:rPr>
        <w:t>At Level 5, drivers are passengers equivalent to taxi riders. No driver negligence defense exists; manufacturer is strictly liable for accidents. Vehicle system design, software quality, testing protocols, and maintenance become controlling liability factors.</w:t>
      </w:r>
      <w:bookmarkStart w:id="137" w:name="fnref22_2"/>
      <w:bookmarkEnd w:id="13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138" w:name="fnref5_6"/>
      <w:bookmarkEnd w:id="13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4143461A">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2D37C0C8">
      <w:pPr>
        <w:spacing w:before="315" w:after="105" w:line="360" w:lineRule="auto"/>
        <w:ind w:left="-30"/>
        <w:jc w:val="left"/>
      </w:pPr>
      <w:bookmarkStart w:id="139" w:name="iv_comparative_litigation_framework"/>
      <w:r>
        <w:rPr>
          <w:rFonts w:ascii="inter" w:hAnsi="inter" w:eastAsia="inter" w:cs="inter"/>
          <w:b/>
          <w:color w:val="000000"/>
          <w:sz w:val="24"/>
        </w:rPr>
        <w:t>IV. COMPARATIVE LITIGATION FRAMEWORK</w:t>
      </w:r>
      <w:bookmarkEnd w:id="139"/>
    </w:p>
    <w:p w14:paraId="5B64C4B8">
      <w:pPr>
        <w:spacing w:after="0" w:line="360" w:lineRule="auto"/>
        <w:jc w:val="center"/>
      </w:pPr>
      <w:r>
        <w:rPr>
          <w:rFonts w:ascii="inter" w:hAnsi="inter" w:eastAsia="inter" w:cs="inter"/>
          <w:color w:val="000000"/>
        </w:rPr>
        <w:drawing>
          <wp:inline distT="0" distB="0" distL="0" distR="0">
            <wp:extent cx="6038850" cy="4025900"/>
            <wp:effectExtent l="0" t="0" r="0" b="0"/>
            <wp:docPr id="2" name="image-1313c2e832650ffd4a3a385b810f86157533e5e5.png" descr="Comparative Analysis of Liability Allocation Frameworks for ADAS and Autonomous Vehicles Across Major Jurisdictions"/>
            <wp:cNvGraphicFramePr/>
            <a:graphic xmlns:a="http://schemas.openxmlformats.org/drawingml/2006/main">
              <a:graphicData uri="http://schemas.openxmlformats.org/drawingml/2006/picture">
                <pic:pic xmlns:pic="http://schemas.openxmlformats.org/drawingml/2006/picture">
                  <pic:nvPicPr>
                    <pic:cNvPr id="2" name="image-1313c2e832650ffd4a3a385b810f86157533e5e5.png" descr="Comparative Analysis of Liability Allocation Frameworks for ADAS and Autonomous Vehicles Across Major Jurisdictions"/>
                    <pic:cNvPicPr/>
                  </pic:nvPicPr>
                  <pic:blipFill>
                    <a:blip r:embed="rId6" cstate="print"/>
                    <a:srcRect/>
                    <a:stretch>
                      <a:fillRect/>
                    </a:stretch>
                  </pic:blipFill>
                  <pic:spPr>
                    <a:xfrm>
                      <a:off x="0" y="0"/>
                      <a:ext cx="6038850" cy="4025900"/>
                    </a:xfrm>
                    <a:prstGeom prst="rect">
                      <a:avLst/>
                    </a:prstGeom>
                  </pic:spPr>
                </pic:pic>
              </a:graphicData>
            </a:graphic>
          </wp:inline>
        </w:drawing>
      </w:r>
    </w:p>
    <w:p w14:paraId="5C67F0FF">
      <w:pPr>
        <w:spacing w:after="210" w:line="360" w:lineRule="auto"/>
      </w:pPr>
      <w:r>
        <w:rPr>
          <w:rFonts w:ascii="inter" w:hAnsi="inter" w:eastAsia="inter" w:cs="inter"/>
          <w:color w:val="000000"/>
        </w:rPr>
        <w:t>Comparative Analysis of Liability Allocation Frameworks for ADAS and Autonomous Vehicles Across Major Jurisdictions</w:t>
      </w:r>
    </w:p>
    <w:p w14:paraId="5714C8BA">
      <w:pPr>
        <w:spacing w:after="210" w:line="360" w:lineRule="auto"/>
      </w:pPr>
      <w:r>
        <w:rPr>
          <w:rFonts w:ascii="inter" w:hAnsi="inter" w:eastAsia="inter" w:cs="inter"/>
          <w:color w:val="000000"/>
        </w:rPr>
        <w:t>The table above synthesizes liability allocation across major jurisdictions, revealing fundamental policy differences in victim protection, manufacturer accountability, and innovation facilitation.</w:t>
      </w:r>
    </w:p>
    <w:p w14:paraId="320B5940">
      <w:pPr>
        <w:spacing w:after="210" w:line="360" w:lineRule="auto"/>
      </w:pPr>
      <w:r>
        <w:rPr>
          <w:rFonts w:ascii="inter" w:hAnsi="inter" w:eastAsia="inter" w:cs="inter"/>
          <w:b/>
          <w:color w:val="000000"/>
        </w:rPr>
        <w:t>Key Distinguishing Features</w:t>
      </w:r>
    </w:p>
    <w:p w14:paraId="1DEA60E7">
      <w:pPr>
        <w:spacing w:after="210" w:line="360" w:lineRule="auto"/>
      </w:pPr>
      <w:r>
        <w:rPr>
          <w:rFonts w:ascii="inter" w:hAnsi="inter" w:eastAsia="inter" w:cs="inter"/>
          <w:b/>
          <w:color w:val="000000"/>
        </w:rPr>
        <w:t>United Kingdom (Insurer-First)</w:t>
      </w:r>
    </w:p>
    <w:p w14:paraId="04B359A0">
      <w:pPr>
        <w:numPr>
          <w:ilvl w:val="0"/>
          <w:numId w:val="20"/>
        </w:numPr>
        <w:spacing w:before="105" w:after="105" w:line="360" w:lineRule="auto"/>
      </w:pPr>
      <w:r>
        <w:rPr>
          <w:rFonts w:ascii="inter" w:hAnsi="inter" w:eastAsia="inter" w:cs="inter"/>
          <w:color w:val="000000"/>
          <w:sz w:val="21"/>
        </w:rPr>
        <w:t>Victim compensation guaranteed through mandatory insurance</w:t>
      </w:r>
    </w:p>
    <w:p w14:paraId="775B2441">
      <w:pPr>
        <w:numPr>
          <w:ilvl w:val="0"/>
          <w:numId w:val="20"/>
        </w:numPr>
        <w:spacing w:before="105" w:after="105" w:line="360" w:lineRule="auto"/>
      </w:pPr>
      <w:r>
        <w:rPr>
          <w:rFonts w:ascii="inter" w:hAnsi="inter" w:eastAsia="inter" w:cs="inter"/>
          <w:color w:val="000000"/>
          <w:sz w:val="21"/>
        </w:rPr>
        <w:t>ASDE provides clear accountability entity for ongoing safety responsibility</w:t>
      </w:r>
    </w:p>
    <w:p w14:paraId="524D51D5">
      <w:pPr>
        <w:numPr>
          <w:ilvl w:val="0"/>
          <w:numId w:val="20"/>
        </w:numPr>
        <w:spacing w:before="105" w:after="105" w:line="360" w:lineRule="auto"/>
      </w:pPr>
      <w:r>
        <w:rPr>
          <w:rFonts w:ascii="inter" w:hAnsi="inter" w:eastAsia="inter" w:cs="inter"/>
          <w:color w:val="000000"/>
          <w:sz w:val="21"/>
        </w:rPr>
        <w:t>High authorization bar limits Level 3/4 deployment until near-perfect automation achieved</w:t>
      </w:r>
    </w:p>
    <w:p w14:paraId="1074F81C">
      <w:pPr>
        <w:numPr>
          <w:ilvl w:val="0"/>
          <w:numId w:val="20"/>
        </w:numPr>
        <w:spacing w:before="105" w:after="105" w:line="360" w:lineRule="auto"/>
      </w:pPr>
      <w:r>
        <w:rPr>
          <w:rFonts w:ascii="inter" w:hAnsi="inter" w:eastAsia="inter" w:cs="inter"/>
          <w:color w:val="000000"/>
          <w:sz w:val="21"/>
        </w:rPr>
        <w:t>Strong regulatory oversight through AV Inspectorate</w:t>
      </w:r>
    </w:p>
    <w:p w14:paraId="3F3B5D70">
      <w:pPr>
        <w:spacing w:after="210" w:line="360" w:lineRule="auto"/>
      </w:pPr>
      <w:r>
        <w:rPr>
          <w:rFonts w:ascii="inter" w:hAnsi="inter" w:eastAsia="inter" w:cs="inter"/>
          <w:b/>
          <w:color w:val="000000"/>
        </w:rPr>
        <w:t>European Union (Strict Product Liability)</w:t>
      </w:r>
    </w:p>
    <w:p w14:paraId="0E49ACE0">
      <w:pPr>
        <w:numPr>
          <w:ilvl w:val="0"/>
          <w:numId w:val="21"/>
        </w:numPr>
        <w:spacing w:before="105" w:after="105" w:line="360" w:lineRule="auto"/>
      </w:pPr>
      <w:r>
        <w:rPr>
          <w:rFonts w:ascii="inter" w:hAnsi="inter" w:eastAsia="inter" w:cs="inter"/>
          <w:color w:val="000000"/>
          <w:sz w:val="21"/>
        </w:rPr>
        <w:t>Manufacturer liable regardless of negligence; defect and causation sufficient</w:t>
      </w:r>
    </w:p>
    <w:p w14:paraId="771B55D4">
      <w:pPr>
        <w:numPr>
          <w:ilvl w:val="0"/>
          <w:numId w:val="21"/>
        </w:numPr>
        <w:spacing w:before="105" w:after="105" w:line="360" w:lineRule="auto"/>
      </w:pPr>
      <w:r>
        <w:rPr>
          <w:rFonts w:ascii="inter" w:hAnsi="inter" w:eastAsia="inter" w:cs="inter"/>
          <w:color w:val="000000"/>
          <w:sz w:val="21"/>
        </w:rPr>
        <w:t>Expanded liable parties (importers, modifiers, integrators)</w:t>
      </w:r>
    </w:p>
    <w:p w14:paraId="137A6D2C">
      <w:pPr>
        <w:numPr>
          <w:ilvl w:val="0"/>
          <w:numId w:val="21"/>
        </w:numPr>
        <w:spacing w:before="105" w:after="105" w:line="360" w:lineRule="auto"/>
      </w:pPr>
      <w:r>
        <w:rPr>
          <w:rFonts w:ascii="inter" w:hAnsi="inter" w:eastAsia="inter" w:cs="inter"/>
          <w:color w:val="000000"/>
          <w:sz w:val="21"/>
        </w:rPr>
        <w:t>Presumption of defect in complex technical cases aids claimants</w:t>
      </w:r>
    </w:p>
    <w:p w14:paraId="7499AF00">
      <w:pPr>
        <w:numPr>
          <w:ilvl w:val="0"/>
          <w:numId w:val="21"/>
        </w:numPr>
        <w:spacing w:before="105" w:after="105" w:line="360" w:lineRule="auto"/>
      </w:pPr>
      <w:r>
        <w:rPr>
          <w:rFonts w:ascii="inter" w:hAnsi="inter" w:eastAsia="inter" w:cs="inter"/>
          <w:color w:val="000000"/>
          <w:sz w:val="21"/>
        </w:rPr>
        <w:t>Implementation creates liability for cybersecurity failures and post-sale software changes</w:t>
      </w:r>
    </w:p>
    <w:p w14:paraId="6839F578">
      <w:pPr>
        <w:spacing w:after="210" w:line="360" w:lineRule="auto"/>
      </w:pPr>
      <w:r>
        <w:rPr>
          <w:rFonts w:ascii="inter" w:hAnsi="inter" w:eastAsia="inter" w:cs="inter"/>
          <w:b/>
          <w:color w:val="000000"/>
        </w:rPr>
        <w:t>United States (Negligence, State-Based)</w:t>
      </w:r>
    </w:p>
    <w:p w14:paraId="4DE57248">
      <w:pPr>
        <w:numPr>
          <w:ilvl w:val="0"/>
          <w:numId w:val="22"/>
        </w:numPr>
        <w:spacing w:before="105" w:after="105" w:line="360" w:lineRule="auto"/>
      </w:pPr>
      <w:r>
        <w:rPr>
          <w:rFonts w:ascii="inter" w:hAnsi="inter" w:eastAsia="inter" w:cs="inter"/>
          <w:color w:val="000000"/>
          <w:sz w:val="21"/>
        </w:rPr>
        <w:t>Flexibility for technological development; manufacturers not burdened by strict liability default</w:t>
      </w:r>
    </w:p>
    <w:p w14:paraId="64B68A6C">
      <w:pPr>
        <w:numPr>
          <w:ilvl w:val="0"/>
          <w:numId w:val="22"/>
        </w:numPr>
        <w:spacing w:before="105" w:after="105" w:line="360" w:lineRule="auto"/>
      </w:pPr>
      <w:r>
        <w:rPr>
          <w:rFonts w:ascii="inter" w:hAnsi="inter" w:eastAsia="inter" w:cs="inter"/>
          <w:color w:val="000000"/>
          <w:sz w:val="21"/>
        </w:rPr>
        <w:t>Victim compensation dependent on proving manufacturer negligence or product defect</w:t>
      </w:r>
    </w:p>
    <w:p w14:paraId="5C2C3F72">
      <w:pPr>
        <w:numPr>
          <w:ilvl w:val="0"/>
          <w:numId w:val="22"/>
        </w:numPr>
        <w:spacing w:before="105" w:after="105" w:line="360" w:lineRule="auto"/>
      </w:pPr>
      <w:r>
        <w:rPr>
          <w:rFonts w:ascii="inter" w:hAnsi="inter" w:eastAsia="inter" w:cs="inter"/>
          <w:color w:val="000000"/>
          <w:sz w:val="21"/>
        </w:rPr>
        <w:t>State variation creates regulatory arbitrage opportunities and uncertainty for multi-state manufacturers</w:t>
      </w:r>
    </w:p>
    <w:p w14:paraId="055D4D3F">
      <w:pPr>
        <w:numPr>
          <w:ilvl w:val="0"/>
          <w:numId w:val="22"/>
        </w:numPr>
        <w:spacing w:before="105" w:after="105" w:line="360" w:lineRule="auto"/>
      </w:pPr>
      <w:r>
        <w:rPr>
          <w:rFonts w:ascii="inter" w:hAnsi="inter" w:eastAsia="inter" w:cs="inter"/>
          <w:color w:val="000000"/>
          <w:sz w:val="21"/>
        </w:rPr>
        <w:t>NHTSA framework focuses on safety assurance, not liability allocation</w:t>
      </w:r>
    </w:p>
    <w:p w14:paraId="79AF12E6">
      <w:pPr>
        <w:spacing w:after="210" w:line="360" w:lineRule="auto"/>
      </w:pPr>
      <w:r>
        <w:rPr>
          <w:rFonts w:ascii="inter" w:hAnsi="inter" w:eastAsia="inter" w:cs="inter"/>
          <w:b/>
          <w:color w:val="000000"/>
        </w:rPr>
        <w:t>Germany/Continental (Operator Liability Preserved)</w:t>
      </w:r>
    </w:p>
    <w:p w14:paraId="20A26400">
      <w:pPr>
        <w:numPr>
          <w:ilvl w:val="0"/>
          <w:numId w:val="23"/>
        </w:numPr>
        <w:spacing w:before="105" w:after="105" w:line="360" w:lineRule="auto"/>
      </w:pPr>
      <w:r>
        <w:rPr>
          <w:rFonts w:ascii="inter" w:hAnsi="inter" w:eastAsia="inter" w:cs="inter"/>
          <w:color w:val="000000"/>
          <w:sz w:val="21"/>
        </w:rPr>
        <w:t>Operator remains liable even for system failures; preserves traditional automotive responsibility model</w:t>
      </w:r>
    </w:p>
    <w:p w14:paraId="3128DB35">
      <w:pPr>
        <w:numPr>
          <w:ilvl w:val="0"/>
          <w:numId w:val="23"/>
        </w:numPr>
        <w:spacing w:before="105" w:after="105" w:line="360" w:lineRule="auto"/>
      </w:pPr>
      <w:r>
        <w:rPr>
          <w:rFonts w:ascii="inter" w:hAnsi="inter" w:eastAsia="inter" w:cs="inter"/>
          <w:color w:val="000000"/>
          <w:sz w:val="21"/>
        </w:rPr>
        <w:t>Manufacturer product liability secondary path</w:t>
      </w:r>
    </w:p>
    <w:p w14:paraId="7A97640D">
      <w:pPr>
        <w:numPr>
          <w:ilvl w:val="0"/>
          <w:numId w:val="23"/>
        </w:numPr>
        <w:spacing w:before="105" w:after="105" w:line="360" w:lineRule="auto"/>
      </w:pPr>
      <w:r>
        <w:rPr>
          <w:rFonts w:ascii="inter" w:hAnsi="inter" w:eastAsia="inter" w:cs="inter"/>
          <w:color w:val="000000"/>
          <w:sz w:val="21"/>
        </w:rPr>
        <w:t>Insurance structure reflects single liable party (operator)</w:t>
      </w:r>
    </w:p>
    <w:p w14:paraId="6E1BD5D0">
      <w:pPr>
        <w:numPr>
          <w:ilvl w:val="0"/>
          <w:numId w:val="23"/>
        </w:numPr>
        <w:spacing w:before="105" w:after="105" w:line="360" w:lineRule="auto"/>
      </w:pPr>
      <w:r>
        <w:rPr>
          <w:rFonts w:ascii="inter" w:hAnsi="inter" w:eastAsia="inter" w:cs="inter"/>
          <w:color w:val="000000"/>
          <w:sz w:val="21"/>
        </w:rPr>
        <w:t>Difficult victim recovery if insolvency concerns exist</w:t>
      </w:r>
    </w:p>
    <w:p w14:paraId="1F6F1C8B">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2F1ECD43">
      <w:pPr>
        <w:spacing w:before="315" w:after="105" w:line="360" w:lineRule="auto"/>
        <w:ind w:left="-30"/>
        <w:jc w:val="left"/>
      </w:pPr>
      <w:bookmarkStart w:id="140" w:name="v_technical_standards_and_safety_4096fe"/>
      <w:r>
        <w:rPr>
          <w:rFonts w:ascii="inter" w:hAnsi="inter" w:eastAsia="inter" w:cs="inter"/>
          <w:b/>
          <w:color w:val="000000"/>
          <w:sz w:val="24"/>
        </w:rPr>
        <w:t>V. TECHNICAL STANDARDS AND SAFETY FRAMEWORKS</w:t>
      </w:r>
      <w:bookmarkEnd w:id="140"/>
    </w:p>
    <w:p w14:paraId="402F6D5E">
      <w:pPr>
        <w:spacing w:before="315" w:after="105" w:line="360" w:lineRule="auto"/>
        <w:ind w:left="-30"/>
        <w:jc w:val="left"/>
      </w:pPr>
      <w:bookmarkStart w:id="141" w:name="a_sae_j3016_and_odd_definition"/>
      <w:r>
        <w:rPr>
          <w:rFonts w:ascii="inter" w:hAnsi="inter" w:eastAsia="inter" w:cs="inter"/>
          <w:b/>
          <w:color w:val="000000"/>
          <w:sz w:val="24"/>
        </w:rPr>
        <w:t>A. SAE J3016 and ODD Definition</w:t>
      </w:r>
      <w:bookmarkEnd w:id="141"/>
    </w:p>
    <w:p w14:paraId="25A415B3">
      <w:pPr>
        <w:spacing w:after="210" w:line="360" w:lineRule="auto"/>
      </w:pPr>
      <w:r>
        <w:rPr>
          <w:rFonts w:ascii="inter" w:hAnsi="inter" w:eastAsia="inter" w:cs="inter"/>
          <w:color w:val="000000"/>
        </w:rPr>
        <w:t>The Society of Automotive Engineers' J3016 standard defines six levels of driving automation (0-5) and introduces the concept of Operational Design Domain. ODD specifies operating conditions—roadway types, speed ranges, environmental factors, traffic scenarios—within which automation systems are certified to perform safely.</w:t>
      </w:r>
      <w:bookmarkStart w:id="142" w:name="fnref29"/>
      <w:bookmarkEnd w:id="14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143" w:name="fnref2_6"/>
      <w:bookmarkEnd w:id="14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54C0737">
      <w:pPr>
        <w:spacing w:after="210" w:line="360" w:lineRule="auto"/>
      </w:pPr>
      <w:r>
        <w:rPr>
          <w:rFonts w:ascii="inter" w:hAnsi="inter" w:eastAsia="inter" w:cs="inter"/>
          <w:color w:val="000000"/>
        </w:rPr>
        <w:t>ODD is critical for liability determination. Accidents occurring within ODD boundaries generally trigger manufacturer liability; accidents outside ODD may shift responsibility to operators who engaged automation inappropriately.</w:t>
      </w:r>
      <w:bookmarkStart w:id="144" w:name="fnref2_7"/>
      <w:bookmarkEnd w:id="14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5489E80E">
      <w:pPr>
        <w:spacing w:after="210" w:line="360" w:lineRule="auto"/>
      </w:pPr>
      <w:r>
        <w:rPr>
          <w:rFonts w:ascii="inter" w:hAnsi="inter" w:eastAsia="inter" w:cs="inter"/>
          <w:b/>
          <w:color w:val="000000"/>
        </w:rPr>
        <w:t>Defining ODD Boundaries</w:t>
      </w:r>
      <w:r>
        <w:rPr>
          <w:rFonts w:ascii="inter" w:hAnsi="inter" w:eastAsia="inter" w:cs="inter"/>
          <w:color w:val="000000"/>
        </w:rPr>
        <w:br w:type="textWrapping"/>
      </w:r>
      <w:r>
        <w:rPr>
          <w:rFonts w:ascii="inter" w:hAnsi="inter" w:eastAsia="inter" w:cs="inter"/>
          <w:color w:val="000000"/>
        </w:rPr>
        <w:t>Establishing precise ODD boundaries requires identifying critical operational dimensions and acceptable risk thresholds. MIT research proposes a risk-based framework: ODD boundaries demarcate conditions where system reliability is acceptable from those where risks are unreasonable.</w:t>
      </w:r>
      <w:bookmarkStart w:id="145" w:name="fnref2_8"/>
      <w:bookmarkEnd w:id="14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61F3C98">
      <w:pPr>
        <w:spacing w:after="210" w:line="360" w:lineRule="auto"/>
      </w:pPr>
      <w:r>
        <w:rPr>
          <w:rFonts w:ascii="inter" w:hAnsi="inter" w:eastAsia="inter" w:cs="inter"/>
          <w:color w:val="000000"/>
        </w:rPr>
        <w:t>Practical ODD parameters include:</w:t>
      </w:r>
    </w:p>
    <w:p w14:paraId="737FD778">
      <w:pPr>
        <w:numPr>
          <w:ilvl w:val="0"/>
          <w:numId w:val="24"/>
        </w:numPr>
        <w:spacing w:before="105" w:after="105" w:line="360" w:lineRule="auto"/>
      </w:pPr>
      <w:r>
        <w:rPr>
          <w:rFonts w:ascii="inter" w:hAnsi="inter" w:eastAsia="inter" w:cs="inter"/>
          <w:color w:val="000000"/>
          <w:sz w:val="21"/>
        </w:rPr>
        <w:t>Roadway types: limited-access highways vs. urban streets with complex intersections</w:t>
      </w:r>
    </w:p>
    <w:p w14:paraId="715914A4">
      <w:pPr>
        <w:numPr>
          <w:ilvl w:val="0"/>
          <w:numId w:val="24"/>
        </w:numPr>
        <w:spacing w:before="105" w:after="105" w:line="360" w:lineRule="auto"/>
      </w:pPr>
      <w:r>
        <w:rPr>
          <w:rFonts w:ascii="inter" w:hAnsi="inter" w:eastAsia="inter" w:cs="inter"/>
          <w:color w:val="000000"/>
          <w:sz w:val="21"/>
        </w:rPr>
        <w:t>Speed ranges: low-speed parking (up to 5 mph) vs. freeway operation (70+ mph)</w:t>
      </w:r>
    </w:p>
    <w:p w14:paraId="42680F1E">
      <w:pPr>
        <w:numPr>
          <w:ilvl w:val="0"/>
          <w:numId w:val="24"/>
        </w:numPr>
        <w:spacing w:before="105" w:after="105" w:line="360" w:lineRule="auto"/>
      </w:pPr>
      <w:r>
        <w:rPr>
          <w:rFonts w:ascii="inter" w:hAnsi="inter" w:eastAsia="inter" w:cs="inter"/>
          <w:color w:val="000000"/>
          <w:sz w:val="21"/>
        </w:rPr>
        <w:t>Environmental conditions: daylight vs. darkness; dry vs. wet conditions; clear vs. adverse weather</w:t>
      </w:r>
      <w:bookmarkStart w:id="146" w:name="fnref13_3"/>
      <w:bookmarkEnd w:id="146"/>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4CA71B96">
      <w:pPr>
        <w:numPr>
          <w:ilvl w:val="0"/>
          <w:numId w:val="24"/>
        </w:numPr>
        <w:spacing w:before="105" w:after="105" w:line="360" w:lineRule="auto"/>
      </w:pPr>
      <w:r>
        <w:rPr>
          <w:rFonts w:ascii="inter" w:hAnsi="inter" w:eastAsia="inter" w:cs="inter"/>
          <w:color w:val="000000"/>
          <w:sz w:val="21"/>
        </w:rPr>
        <w:t>Traffic complexity: light traffic vs. congested urban environments</w:t>
      </w:r>
      <w:bookmarkStart w:id="147" w:name="fnref13_4"/>
      <w:bookmarkEnd w:id="147"/>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3E8AC662">
      <w:pPr>
        <w:numPr>
          <w:ilvl w:val="0"/>
          <w:numId w:val="24"/>
        </w:numPr>
        <w:spacing w:before="105" w:after="105" w:line="360" w:lineRule="auto"/>
      </w:pPr>
      <w:r>
        <w:rPr>
          <w:rFonts w:ascii="inter" w:hAnsi="inter" w:eastAsia="inter" w:cs="inter"/>
          <w:color w:val="000000"/>
          <w:sz w:val="21"/>
        </w:rPr>
        <w:t>Geographical restrictions: specific mapped regions with validated infrastructure</w:t>
      </w:r>
      <w:bookmarkStart w:id="148" w:name="fnref13_5"/>
      <w:bookmarkEnd w:id="148"/>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646F53F0">
      <w:pPr>
        <w:spacing w:before="315" w:after="105" w:line="360" w:lineRule="auto"/>
        <w:ind w:left="-30"/>
        <w:jc w:val="left"/>
      </w:pPr>
      <w:bookmarkStart w:id="149" w:name="b_unece_global_technical_regulation_gtr"/>
      <w:r>
        <w:rPr>
          <w:rFonts w:ascii="inter" w:hAnsi="inter" w:eastAsia="inter" w:cs="inter"/>
          <w:b/>
          <w:color w:val="000000"/>
          <w:sz w:val="24"/>
        </w:rPr>
        <w:t>B. UNECE Global Technical Regulation (GTR)</w:t>
      </w:r>
      <w:bookmarkEnd w:id="149"/>
    </w:p>
    <w:p w14:paraId="37F9B647">
      <w:pPr>
        <w:spacing w:after="210" w:line="360" w:lineRule="auto"/>
      </w:pPr>
      <w:r>
        <w:rPr>
          <w:rFonts w:ascii="inter" w:hAnsi="inter" w:eastAsia="inter" w:cs="inter"/>
          <w:color w:val="000000"/>
        </w:rPr>
        <w:t>UNECE has developed guidance for a Global Technical Regulation on Automated Driving Systems, establishing harmonized requirements for:</w:t>
      </w:r>
      <w:bookmarkStart w:id="150" w:name="fnref30"/>
      <w:bookmarkEnd w:id="150"/>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1DD14728">
      <w:pPr>
        <w:numPr>
          <w:ilvl w:val="0"/>
          <w:numId w:val="25"/>
        </w:numPr>
        <w:spacing w:before="105" w:after="105" w:line="360" w:lineRule="auto"/>
      </w:pPr>
      <w:r>
        <w:rPr>
          <w:rFonts w:ascii="inter" w:hAnsi="inter" w:eastAsia="inter" w:cs="inter"/>
          <w:color w:val="000000"/>
          <w:sz w:val="21"/>
        </w:rPr>
        <w:t>System Safety: vehicles must be free of unreasonable risks; compliance with traffic regulations</w:t>
      </w:r>
    </w:p>
    <w:p w14:paraId="41A90058">
      <w:pPr>
        <w:numPr>
          <w:ilvl w:val="0"/>
          <w:numId w:val="25"/>
        </w:numPr>
        <w:spacing w:before="105" w:after="105" w:line="360" w:lineRule="auto"/>
      </w:pPr>
      <w:r>
        <w:rPr>
          <w:rFonts w:ascii="inter" w:hAnsi="inter" w:eastAsia="inter" w:cs="inter"/>
          <w:color w:val="000000"/>
          <w:sz w:val="21"/>
        </w:rPr>
        <w:t>Failsafe Response: systems must detect failures and ODD violations; transition to safe state</w:t>
      </w:r>
    </w:p>
    <w:p w14:paraId="0794C60B">
      <w:pPr>
        <w:numPr>
          <w:ilvl w:val="0"/>
          <w:numId w:val="25"/>
        </w:numPr>
        <w:spacing w:before="105" w:after="105" w:line="360" w:lineRule="auto"/>
      </w:pPr>
      <w:r>
        <w:rPr>
          <w:rFonts w:ascii="inter" w:hAnsi="inter" w:eastAsia="inter" w:cs="inter"/>
          <w:color w:val="000000"/>
          <w:sz w:val="21"/>
        </w:rPr>
        <w:t>Object and Event Detection Response (OEDR): perception system sufficiency</w:t>
      </w:r>
    </w:p>
    <w:p w14:paraId="35C29B88">
      <w:pPr>
        <w:numPr>
          <w:ilvl w:val="0"/>
          <w:numId w:val="25"/>
        </w:numPr>
        <w:spacing w:before="105" w:after="105" w:line="360" w:lineRule="auto"/>
      </w:pPr>
      <w:r>
        <w:rPr>
          <w:rFonts w:ascii="inter" w:hAnsi="inter" w:eastAsia="inter" w:cs="inter"/>
          <w:color w:val="000000"/>
          <w:sz w:val="21"/>
        </w:rPr>
        <w:t>ODD clarity: explicit specification of operational boundaries</w:t>
      </w:r>
    </w:p>
    <w:p w14:paraId="75936F08">
      <w:pPr>
        <w:numPr>
          <w:ilvl w:val="0"/>
          <w:numId w:val="25"/>
        </w:numPr>
        <w:spacing w:before="105" w:after="105" w:line="360" w:lineRule="auto"/>
      </w:pPr>
      <w:r>
        <w:rPr>
          <w:rFonts w:ascii="inter" w:hAnsi="inter" w:eastAsia="inter" w:cs="inter"/>
          <w:color w:val="000000"/>
          <w:sz w:val="21"/>
        </w:rPr>
        <w:t>Validation for System Safety: robust design and testing protocols</w:t>
      </w:r>
    </w:p>
    <w:p w14:paraId="73390F6E">
      <w:pPr>
        <w:numPr>
          <w:ilvl w:val="0"/>
          <w:numId w:val="25"/>
        </w:numPr>
        <w:spacing w:before="105" w:after="105" w:line="360" w:lineRule="auto"/>
      </w:pPr>
      <w:r>
        <w:rPr>
          <w:rFonts w:ascii="inter" w:hAnsi="inter" w:eastAsia="inter" w:cs="inter"/>
          <w:color w:val="000000"/>
          <w:sz w:val="21"/>
        </w:rPr>
        <w:t>Software Updates: safe, secure post-sale update mechanisms</w:t>
      </w:r>
    </w:p>
    <w:p w14:paraId="4E60B2BC">
      <w:pPr>
        <w:numPr>
          <w:ilvl w:val="0"/>
          <w:numId w:val="25"/>
        </w:numPr>
        <w:spacing w:before="105" w:after="105" w:line="360" w:lineRule="auto"/>
      </w:pPr>
      <w:r>
        <w:rPr>
          <w:rFonts w:ascii="inter" w:hAnsi="inter" w:eastAsia="inter" w:cs="inter"/>
          <w:color w:val="000000"/>
          <w:sz w:val="21"/>
        </w:rPr>
        <w:t>EDR/DSSAD: mandatory data recording for accident investigation</w:t>
      </w:r>
      <w:bookmarkStart w:id="151" w:name="fnref30_1"/>
      <w:bookmarkEnd w:id="151"/>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12D65C8D">
      <w:pPr>
        <w:spacing w:after="210" w:line="360" w:lineRule="auto"/>
      </w:pPr>
      <w:r>
        <w:rPr>
          <w:rFonts w:ascii="inter" w:hAnsi="inter" w:eastAsia="inter" w:cs="inter"/>
          <w:color w:val="000000"/>
        </w:rPr>
        <w:t>These principles, while not yet incorporated into binding regulations globally, represent emerging consensus on technical requirements for safe autonomous operation.</w:t>
      </w:r>
      <w:bookmarkStart w:id="152" w:name="fnref30_2"/>
      <w:bookmarkEnd w:id="152"/>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44EC94DF">
      <w:pPr>
        <w:spacing w:before="315" w:after="105" w:line="360" w:lineRule="auto"/>
        <w:ind w:left="-30"/>
        <w:jc w:val="left"/>
      </w:pPr>
      <w:bookmarkStart w:id="153" w:name="c_iso_26262_and_asil"/>
      <w:r>
        <w:rPr>
          <w:rFonts w:ascii="inter" w:hAnsi="inter" w:eastAsia="inter" w:cs="inter"/>
          <w:b/>
          <w:color w:val="000000"/>
          <w:sz w:val="24"/>
        </w:rPr>
        <w:t>C. ISO 26262 and ASIL</w:t>
      </w:r>
      <w:bookmarkEnd w:id="153"/>
    </w:p>
    <w:p w14:paraId="3B5C9810">
      <w:pPr>
        <w:spacing w:after="210" w:line="360" w:lineRule="auto"/>
      </w:pPr>
      <w:r>
        <w:rPr>
          <w:rFonts w:ascii="inter" w:hAnsi="inter" w:eastAsia="inter" w:cs="inter"/>
          <w:color w:val="000000"/>
        </w:rPr>
        <w:t>Automotive Safety Integrity Level (ASIL) framework, defined in ISO 26262, establishes risk-based design assurance levels (A-D, where D is highest). ASIL determination involves:</w:t>
      </w:r>
      <w:bookmarkStart w:id="154" w:name="fnref31"/>
      <w:bookmarkEnd w:id="154"/>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095A4F59">
      <w:pPr>
        <w:numPr>
          <w:ilvl w:val="0"/>
          <w:numId w:val="26"/>
        </w:numPr>
        <w:spacing w:before="105" w:after="105" w:line="360" w:lineRule="auto"/>
      </w:pPr>
      <w:r>
        <w:rPr>
          <w:rFonts w:ascii="inter" w:hAnsi="inter" w:eastAsia="inter" w:cs="inter"/>
          <w:color w:val="000000"/>
          <w:sz w:val="21"/>
        </w:rPr>
        <w:t>Severity classification: from no injury (S0) to life-threatening/fatal (S3)</w:t>
      </w:r>
    </w:p>
    <w:p w14:paraId="518D80CC">
      <w:pPr>
        <w:numPr>
          <w:ilvl w:val="0"/>
          <w:numId w:val="26"/>
        </w:numPr>
        <w:spacing w:before="105" w:after="105" w:line="360" w:lineRule="auto"/>
      </w:pPr>
      <w:r>
        <w:rPr>
          <w:rFonts w:ascii="inter" w:hAnsi="inter" w:eastAsia="inter" w:cs="inter"/>
          <w:color w:val="000000"/>
          <w:sz w:val="21"/>
        </w:rPr>
        <w:t>Exposure classification: frequency and duration of exposure to hazard</w:t>
      </w:r>
    </w:p>
    <w:p w14:paraId="2AF149DE">
      <w:pPr>
        <w:numPr>
          <w:ilvl w:val="0"/>
          <w:numId w:val="26"/>
        </w:numPr>
        <w:spacing w:before="105" w:after="105" w:line="360" w:lineRule="auto"/>
      </w:pPr>
      <w:r>
        <w:rPr>
          <w:rFonts w:ascii="inter" w:hAnsi="inter" w:eastAsia="inter" w:cs="inter"/>
          <w:color w:val="000000"/>
          <w:sz w:val="21"/>
        </w:rPr>
        <w:t>Controllability assessment: driver capability to mitigate or avoid hazard</w:t>
      </w:r>
      <w:bookmarkStart w:id="155" w:name="fnref31_1"/>
      <w:bookmarkEnd w:id="155"/>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p>
    <w:p w14:paraId="5C64C7D7">
      <w:pPr>
        <w:spacing w:after="210" w:line="360" w:lineRule="auto"/>
      </w:pPr>
      <w:r>
        <w:rPr>
          <w:rFonts w:ascii="inter" w:hAnsi="inter" w:eastAsia="inter" w:cs="inter"/>
          <w:color w:val="000000"/>
        </w:rPr>
        <w:t>ADAS safety-critical systems typically require ASIL D (highest assurance level), requiring rigorous design validation, testing, and documentation. Failure to achieve ASIL D targets may constitute design defect under product liability law.</w:t>
      </w:r>
      <w:bookmarkStart w:id="156" w:name="fnref31_2"/>
      <w:bookmarkEnd w:id="156"/>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681929DD">
      <w:pPr>
        <w:spacing w:before="315" w:after="105" w:line="360" w:lineRule="auto"/>
        <w:ind w:left="-30"/>
        <w:jc w:val="left"/>
      </w:pPr>
      <w:bookmarkStart w:id="157" w:name="d_sotif_safety_of_the_intended_fu_d26005"/>
      <w:r>
        <w:rPr>
          <w:rFonts w:ascii="inter" w:hAnsi="inter" w:eastAsia="inter" w:cs="inter"/>
          <w:b/>
          <w:color w:val="000000"/>
          <w:sz w:val="24"/>
        </w:rPr>
        <w:t>D. SOTIF (Safety of the Intended Functionality)</w:t>
      </w:r>
      <w:bookmarkEnd w:id="157"/>
    </w:p>
    <w:p w14:paraId="2C1E663D">
      <w:pPr>
        <w:spacing w:after="210" w:line="360" w:lineRule="auto"/>
      </w:pPr>
      <w:r>
        <w:rPr>
          <w:rFonts w:ascii="inter" w:hAnsi="inter" w:eastAsia="inter" w:cs="inter"/>
          <w:color w:val="000000"/>
        </w:rPr>
        <w:t>ISO 26262 technical safety addresses failures; ISO 26262 Part 10 (SOTIF) addresses unsafe behavior of correctly functioning systems. SOTIF requirements ensure that autonomous systems handle edge cases and intentional but unsafe operations safely.</w:t>
      </w:r>
      <w:bookmarkStart w:id="158" w:name="fnref31_3"/>
      <w:bookmarkEnd w:id="158"/>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66F4EC89">
      <w:pPr>
        <w:spacing w:after="210" w:line="360" w:lineRule="auto"/>
      </w:pPr>
      <w:r>
        <w:rPr>
          <w:rFonts w:ascii="inter" w:hAnsi="inter" w:eastAsia="inter" w:cs="inter"/>
          <w:color w:val="000000"/>
        </w:rPr>
        <w:t>SOTIF compliance is increasingly scrutinized in autonomous vehicle litigation as courts assess whether manufacturers adequately tested systems against foreseeable misuse scenarios.</w:t>
      </w:r>
      <w:bookmarkStart w:id="159" w:name="fnref31_4"/>
      <w:bookmarkEnd w:id="159"/>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55595D0D">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3B906C0E">
      <w:pPr>
        <w:spacing w:before="315" w:after="105" w:line="360" w:lineRule="auto"/>
        <w:ind w:left="-30"/>
        <w:jc w:val="left"/>
      </w:pPr>
      <w:bookmarkStart w:id="160" w:name="vi_insurance_implications_and_mar_231152"/>
      <w:r>
        <w:rPr>
          <w:rFonts w:ascii="inter" w:hAnsi="inter" w:eastAsia="inter" w:cs="inter"/>
          <w:b/>
          <w:color w:val="000000"/>
          <w:sz w:val="24"/>
        </w:rPr>
        <w:t>VI. INSURANCE IMPLICATIONS AND MARKET ADAPTATION</w:t>
      </w:r>
      <w:bookmarkEnd w:id="160"/>
    </w:p>
    <w:p w14:paraId="1DE1088D">
      <w:pPr>
        <w:spacing w:before="315" w:after="105" w:line="360" w:lineRule="auto"/>
        <w:ind w:left="-30"/>
        <w:jc w:val="left"/>
      </w:pPr>
      <w:bookmarkStart w:id="161" w:name="a_claims_frequency_and_severity_shifts"/>
      <w:r>
        <w:rPr>
          <w:rFonts w:ascii="inter" w:hAnsi="inter" w:eastAsia="inter" w:cs="inter"/>
          <w:b/>
          <w:color w:val="000000"/>
          <w:sz w:val="24"/>
        </w:rPr>
        <w:t>A. Claims Frequency and Severity Shifts</w:t>
      </w:r>
      <w:bookmarkEnd w:id="161"/>
    </w:p>
    <w:p w14:paraId="0057051E">
      <w:pPr>
        <w:spacing w:after="210" w:line="360" w:lineRule="auto"/>
      </w:pPr>
      <w:r>
        <w:rPr>
          <w:rFonts w:ascii="inter" w:hAnsi="inter" w:eastAsia="inter" w:cs="inter"/>
          <w:color w:val="000000"/>
        </w:rPr>
        <w:t>Allianz analysis of 20,000 motor liability claims (2022-2024) reveals a critical paradox: ADAS systems dramatically reduce certain accident frequencies (66% reduction for reverse collision with standard AEB; 30% average reduction for rear-end collisions) but do not proportionally reduce overall claims costs.</w:t>
      </w:r>
      <w:bookmarkStart w:id="162" w:name="fnref1_6"/>
      <w:bookmarkEnd w:id="16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63" w:name="fnref32"/>
      <w:bookmarkEnd w:id="163"/>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61252390">
      <w:pPr>
        <w:spacing w:after="210" w:line="360" w:lineRule="auto"/>
      </w:pPr>
      <w:r>
        <w:rPr>
          <w:rFonts w:ascii="inter" w:hAnsi="inter" w:eastAsia="inter" w:cs="inter"/>
          <w:b/>
          <w:color w:val="000000"/>
        </w:rPr>
        <w:t>Root Cause: Repair Cost Inflation</w:t>
      </w:r>
      <w:r>
        <w:rPr>
          <w:rFonts w:ascii="inter" w:hAnsi="inter" w:eastAsia="inter" w:cs="inter"/>
          <w:color w:val="000000"/>
        </w:rPr>
        <w:br w:type="textWrapping"/>
      </w:r>
      <w:r>
        <w:rPr>
          <w:rFonts w:ascii="inter" w:hAnsi="inter" w:eastAsia="inter" w:cs="inter"/>
          <w:color w:val="000000"/>
        </w:rPr>
        <w:t>Vehicles equipped with ADAS contain expensive sensors and software requiring specialized repair expertise and parts. Repair costs exceed traditional mechanical repairs by 30-50% for ADAS-equipped vehicles. Consequently, despite fewer accidents, total claims costs remain elevated until Level 4 automation achieves such dramatic frequency reductions that cost offsets apply.</w:t>
      </w:r>
      <w:bookmarkStart w:id="164" w:name="fnref32_1"/>
      <w:bookmarkEnd w:id="164"/>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165" w:name="fnref33"/>
      <w:bookmarkEnd w:id="165"/>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166" w:name="fnref27_2"/>
      <w:bookmarkEnd w:id="166"/>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35FEBC84">
      <w:pPr>
        <w:spacing w:after="210" w:line="360" w:lineRule="auto"/>
      </w:pPr>
      <w:r>
        <w:rPr>
          <w:rFonts w:ascii="inter" w:hAnsi="inter" w:eastAsia="inter" w:cs="inter"/>
          <w:b/>
          <w:color w:val="000000"/>
        </w:rPr>
        <w:t>Insurance Premium Implications</w:t>
      </w:r>
      <w:r>
        <w:rPr>
          <w:rFonts w:ascii="inter" w:hAnsi="inter" w:eastAsia="inter" w:cs="inter"/>
          <w:color w:val="000000"/>
        </w:rPr>
        <w:br w:type="textWrapping"/>
      </w:r>
      <w:r>
        <w:rPr>
          <w:rFonts w:ascii="inter" w:hAnsi="inter" w:eastAsia="inter" w:cs="inter"/>
          <w:color w:val="000000"/>
        </w:rPr>
        <w:t>Allianz now offers differentiated ADAS-specific insurance policies in Europe, reflecting systems' demonstrated safety benefits. Premium reductions for vehicles with standard ADAS exceed reductions for vehicles with optional ADAS, incentivizing manufacturer standardization.</w:t>
      </w:r>
      <w:bookmarkStart w:id="167" w:name="fnref27_3"/>
      <w:bookmarkEnd w:id="167"/>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168" w:name="fnref1_7"/>
      <w:bookmarkEnd w:id="16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169" w:name="fnref32_2"/>
      <w:bookmarkEnd w:id="16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51BF8DE7">
      <w:pPr>
        <w:spacing w:before="315" w:after="105" w:line="360" w:lineRule="auto"/>
        <w:ind w:left="-30"/>
        <w:jc w:val="left"/>
      </w:pPr>
      <w:bookmarkStart w:id="170" w:name="b_liability_framework_impacts_on_11d085"/>
      <w:r>
        <w:rPr>
          <w:rFonts w:ascii="inter" w:hAnsi="inter" w:eastAsia="inter" w:cs="inter"/>
          <w:b/>
          <w:color w:val="000000"/>
          <w:sz w:val="24"/>
        </w:rPr>
        <w:t>B. Liability Framework Impacts on Insurance Markets</w:t>
      </w:r>
      <w:bookmarkEnd w:id="170"/>
    </w:p>
    <w:p w14:paraId="2A58BE78">
      <w:pPr>
        <w:spacing w:after="210" w:line="360" w:lineRule="auto"/>
      </w:pPr>
      <w:r>
        <w:rPr>
          <w:rFonts w:ascii="inter" w:hAnsi="inter" w:eastAsia="inter" w:cs="inter"/>
          <w:b/>
          <w:color w:val="000000"/>
        </w:rPr>
        <w:t>UK Framework (Insurer-First)</w:t>
      </w:r>
      <w:r>
        <w:rPr>
          <w:rFonts w:ascii="inter" w:hAnsi="inter" w:eastAsia="inter" w:cs="inter"/>
          <w:color w:val="000000"/>
        </w:rPr>
        <w:br w:type="textWrapping"/>
      </w:r>
      <w:r>
        <w:rPr>
          <w:rFonts w:ascii="inter" w:hAnsi="inter" w:eastAsia="inter" w:cs="inter"/>
          <w:color w:val="000000"/>
        </w:rPr>
        <w:t>Insurers become first respondent to all autonomous vehicle claims, substantially increasing exposure. However, clear recourse rights against ASDE and manufacturers provide hedging mechanisms. UK insurers developing specialized autonomous vehicle underwriting expertise and enhanced data analysis capabilities.</w:t>
      </w:r>
      <w:bookmarkStart w:id="171" w:name="fnref34"/>
      <w:bookmarkEnd w:id="171"/>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3B3D6CB9">
      <w:pPr>
        <w:spacing w:after="210" w:line="360" w:lineRule="auto"/>
      </w:pPr>
      <w:r>
        <w:rPr>
          <w:rFonts w:ascii="inter" w:hAnsi="inter" w:eastAsia="inter" w:cs="inter"/>
          <w:b/>
          <w:color w:val="000000"/>
        </w:rPr>
        <w:t>EU Framework (Strict Manufacturer Liability)</w:t>
      </w:r>
      <w:r>
        <w:rPr>
          <w:rFonts w:ascii="inter" w:hAnsi="inter" w:eastAsia="inter" w:cs="inter"/>
          <w:color w:val="000000"/>
        </w:rPr>
        <w:br w:type="textWrapping"/>
      </w:r>
      <w:r>
        <w:rPr>
          <w:rFonts w:ascii="inter" w:hAnsi="inter" w:eastAsia="inter" w:cs="inter"/>
          <w:color w:val="000000"/>
        </w:rPr>
        <w:t>EU strict liability increases manufacturer product liability exposure and insurance requirements. Insurers expanding coverage for cybersecurity and software update failures—novel exposures absent from traditional auto insurance policies.</w:t>
      </w:r>
      <w:bookmarkStart w:id="172" w:name="fnref6_11"/>
      <w:bookmarkEnd w:id="172"/>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2DA8E55">
      <w:pPr>
        <w:spacing w:after="210" w:line="360" w:lineRule="auto"/>
      </w:pPr>
      <w:r>
        <w:rPr>
          <w:rFonts w:ascii="inter" w:hAnsi="inter" w:eastAsia="inter" w:cs="inter"/>
          <w:b/>
          <w:color w:val="000000"/>
        </w:rPr>
        <w:t>US Framework (State-Based Negligence)</w:t>
      </w:r>
      <w:r>
        <w:rPr>
          <w:rFonts w:ascii="inter" w:hAnsi="inter" w:eastAsia="inter" w:cs="inter"/>
          <w:color w:val="000000"/>
        </w:rPr>
        <w:br w:type="textWrapping"/>
      </w:r>
      <w:r>
        <w:rPr>
          <w:rFonts w:ascii="inter" w:hAnsi="inter" w:eastAsia="inter" w:cs="inter"/>
          <w:color w:val="000000"/>
        </w:rPr>
        <w:t>US insurers face uncertainty regarding liability allocation variation by state. Multi-state manufacturers must navigate 50 different negligence standards. This fragmentation incentivizes federal legislation establishing uniform standards.</w:t>
      </w:r>
      <w:bookmarkStart w:id="173" w:name="fnref18_3"/>
      <w:bookmarkEnd w:id="173"/>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2B7308BE">
      <w:pPr>
        <w:spacing w:before="315" w:after="105" w:line="360" w:lineRule="auto"/>
        <w:ind w:left="-30"/>
        <w:jc w:val="left"/>
      </w:pPr>
      <w:bookmarkStart w:id="174" w:name="c_alternative_compensation_proposals"/>
      <w:r>
        <w:rPr>
          <w:rFonts w:ascii="inter" w:hAnsi="inter" w:eastAsia="inter" w:cs="inter"/>
          <w:b/>
          <w:color w:val="000000"/>
          <w:sz w:val="24"/>
        </w:rPr>
        <w:t>C. Alternative Compensation Proposals</w:t>
      </w:r>
      <w:bookmarkEnd w:id="174"/>
    </w:p>
    <w:p w14:paraId="25CBE81A">
      <w:pPr>
        <w:spacing w:after="210" w:line="360" w:lineRule="auto"/>
      </w:pPr>
      <w:r>
        <w:rPr>
          <w:rFonts w:ascii="inter" w:hAnsi="inter" w:eastAsia="inter" w:cs="inter"/>
          <w:color w:val="000000"/>
        </w:rPr>
        <w:t>Recognizing litigation's inefficiency and cost for autonomous vehicle victims, policy scholars propose alternative compensation models:</w:t>
      </w:r>
      <w:bookmarkStart w:id="175" w:name="fnref35"/>
      <w:bookmarkEnd w:id="17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176" w:name="fnref36"/>
      <w:bookmarkEnd w:id="176"/>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p>
    <w:p w14:paraId="6F77758E">
      <w:pPr>
        <w:spacing w:after="210" w:line="360" w:lineRule="auto"/>
      </w:pPr>
      <w:r>
        <w:rPr>
          <w:rFonts w:ascii="inter" w:hAnsi="inter" w:eastAsia="inter" w:cs="inter"/>
          <w:b/>
          <w:color w:val="000000"/>
        </w:rPr>
        <w:t>Victim Compensation Fund (Brookings/William &amp; Mary Law)</w:t>
      </w:r>
      <w:r>
        <w:rPr>
          <w:rFonts w:ascii="inter" w:hAnsi="inter" w:eastAsia="inter" w:cs="inter"/>
          <w:color w:val="000000"/>
        </w:rPr>
        <w:br w:type="textWrapping"/>
      </w:r>
      <w:r>
        <w:rPr>
          <w:rFonts w:ascii="inter" w:hAnsi="inter" w:eastAsia="inter" w:cs="inter"/>
          <w:color w:val="000000"/>
        </w:rPr>
        <w:t>Establish federal no-fault victim fund administered by NHTSA, financed by tax on autonomous vehicle sales. Benefits:</w:t>
      </w:r>
      <w:bookmarkStart w:id="177" w:name="fnref36_1"/>
      <w:bookmarkEnd w:id="177"/>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178" w:name="fnref35_1"/>
      <w:bookmarkEnd w:id="178"/>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40582257">
      <w:pPr>
        <w:numPr>
          <w:ilvl w:val="0"/>
          <w:numId w:val="27"/>
        </w:numPr>
        <w:spacing w:before="105" w:after="105" w:line="360" w:lineRule="auto"/>
      </w:pPr>
      <w:r>
        <w:rPr>
          <w:rFonts w:ascii="inter" w:hAnsi="inter" w:eastAsia="inter" w:cs="inter"/>
          <w:color w:val="000000"/>
          <w:sz w:val="21"/>
        </w:rPr>
        <w:t>Expedited victim compensation without litigation</w:t>
      </w:r>
      <w:bookmarkStart w:id="179" w:name="fnref35_2"/>
      <w:bookmarkEnd w:id="179"/>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180" w:name="fnref36_2"/>
      <w:bookmarkEnd w:id="180"/>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1F897696">
      <w:pPr>
        <w:numPr>
          <w:ilvl w:val="0"/>
          <w:numId w:val="27"/>
        </w:numPr>
        <w:spacing w:before="105" w:after="105" w:line="360" w:lineRule="auto"/>
      </w:pPr>
      <w:r>
        <w:rPr>
          <w:rFonts w:ascii="inter" w:hAnsi="inter" w:eastAsia="inter" w:cs="inter"/>
          <w:color w:val="000000"/>
          <w:sz w:val="21"/>
        </w:rPr>
        <w:t>Reduced litigation costs and uncertainty</w:t>
      </w:r>
      <w:bookmarkStart w:id="181" w:name="fnref36_3"/>
      <w:bookmarkEnd w:id="181"/>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bookmarkStart w:id="182" w:name="fnref35_3"/>
      <w:bookmarkEnd w:id="182"/>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5F82C14D">
      <w:pPr>
        <w:numPr>
          <w:ilvl w:val="0"/>
          <w:numId w:val="27"/>
        </w:numPr>
        <w:spacing w:before="105" w:after="105" w:line="360" w:lineRule="auto"/>
      </w:pPr>
      <w:r>
        <w:rPr>
          <w:rFonts w:ascii="inter" w:hAnsi="inter" w:eastAsia="inter" w:cs="inter"/>
          <w:color w:val="000000"/>
          <w:sz w:val="21"/>
        </w:rPr>
        <w:t>Manufacturer protection from catastrophic liability exposure (subject to eligibility conditions)</w:t>
      </w:r>
      <w:bookmarkStart w:id="183" w:name="fnref35_4"/>
      <w:bookmarkEnd w:id="183"/>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184" w:name="fnref36_4"/>
      <w:bookmarkEnd w:id="184"/>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p>
    <w:p w14:paraId="4E54F2AB">
      <w:pPr>
        <w:numPr>
          <w:ilvl w:val="0"/>
          <w:numId w:val="27"/>
        </w:numPr>
        <w:spacing w:before="105" w:after="105" w:line="360" w:lineRule="auto"/>
      </w:pPr>
      <w:r>
        <w:rPr>
          <w:rFonts w:ascii="inter" w:hAnsi="inter" w:eastAsia="inter" w:cs="inter"/>
          <w:color w:val="000000"/>
          <w:sz w:val="21"/>
        </w:rPr>
        <w:t>Incentive for data sharing and safety improvements as participation condition</w:t>
      </w:r>
      <w:bookmarkStart w:id="185" w:name="fnref36_5"/>
      <w:bookmarkEnd w:id="185"/>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bookmarkStart w:id="186" w:name="fnref35_5"/>
      <w:bookmarkEnd w:id="186"/>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4B001966">
      <w:pPr>
        <w:spacing w:after="210" w:line="360" w:lineRule="auto"/>
      </w:pPr>
      <w:r>
        <w:rPr>
          <w:rFonts w:ascii="inter" w:hAnsi="inter" w:eastAsia="inter" w:cs="inter"/>
          <w:color w:val="000000"/>
        </w:rPr>
        <w:t>Limitations: eliminates tort system's deterrent function; may undermine manufacturer incentives for safety investment if liability caps apply.</w:t>
      </w:r>
      <w:bookmarkStart w:id="187" w:name="fnref35_6"/>
      <w:bookmarkEnd w:id="187"/>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49A48A74">
      <w:pPr>
        <w:spacing w:after="210" w:line="360" w:lineRule="auto"/>
      </w:pPr>
      <w:r>
        <w:rPr>
          <w:rFonts w:ascii="inter" w:hAnsi="inter" w:eastAsia="inter" w:cs="inter"/>
          <w:b/>
          <w:color w:val="000000"/>
        </w:rPr>
        <w:t>Enterprise Liability Model</w:t>
      </w:r>
      <w:r>
        <w:rPr>
          <w:rFonts w:ascii="inter" w:hAnsi="inter" w:eastAsia="inter" w:cs="inter"/>
          <w:color w:val="000000"/>
        </w:rPr>
        <w:br w:type="textWrapping"/>
      </w:r>
      <w:r>
        <w:rPr>
          <w:rFonts w:ascii="inter" w:hAnsi="inter" w:eastAsia="inter" w:cs="inter"/>
          <w:color w:val="000000"/>
        </w:rPr>
        <w:t>Extend liability to all vehicle manufacturers regardless of automation level; manufacturers directly reimburse victims of accidents involving their vehicles. Rationale: manufacturers control design and deployment; traditional negligence burden inadequate for safety assurance.</w:t>
      </w:r>
      <w:bookmarkStart w:id="188" w:name="fnref37"/>
      <w:bookmarkEnd w:id="188"/>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19202760">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338F94FA">
      <w:pPr>
        <w:spacing w:before="315" w:after="105" w:line="360" w:lineRule="auto"/>
        <w:ind w:left="-30"/>
        <w:jc w:val="left"/>
      </w:pPr>
      <w:bookmarkStart w:id="189" w:name="vii_critical_regulatory_gaps_and_a03074"/>
      <w:r>
        <w:rPr>
          <w:rFonts w:ascii="inter" w:hAnsi="inter" w:eastAsia="inter" w:cs="inter"/>
          <w:b/>
          <w:color w:val="000000"/>
          <w:sz w:val="24"/>
        </w:rPr>
        <w:t>VII. CRITICAL REGULATORY GAPS AND HARMONIZATION IMPERATIVES</w:t>
      </w:r>
      <w:bookmarkEnd w:id="189"/>
    </w:p>
    <w:p w14:paraId="3C77BD79">
      <w:pPr>
        <w:spacing w:before="315" w:after="105" w:line="360" w:lineRule="auto"/>
        <w:ind w:left="-30"/>
        <w:jc w:val="left"/>
      </w:pPr>
      <w:bookmarkStart w:id="190" w:name="a_data_access_and_forensic_eviden_e4631f"/>
      <w:r>
        <w:rPr>
          <w:rFonts w:ascii="inter" w:hAnsi="inter" w:eastAsia="inter" w:cs="inter"/>
          <w:b/>
          <w:color w:val="000000"/>
          <w:sz w:val="24"/>
        </w:rPr>
        <w:t>A. Data Access and Forensic Evidence Standards</w:t>
      </w:r>
      <w:bookmarkEnd w:id="190"/>
    </w:p>
    <w:p w14:paraId="2A4A8E6C">
      <w:pPr>
        <w:spacing w:after="210" w:line="360" w:lineRule="auto"/>
      </w:pPr>
      <w:r>
        <w:rPr>
          <w:rFonts w:ascii="inter" w:hAnsi="inter" w:eastAsia="inter" w:cs="inter"/>
          <w:color w:val="000000"/>
        </w:rPr>
        <w:t>Current regulatory framework contains significant gaps regarding data access and confidentiality:</w:t>
      </w:r>
    </w:p>
    <w:p w14:paraId="62FFE29F">
      <w:pPr>
        <w:spacing w:after="210" w:line="360" w:lineRule="auto"/>
      </w:pPr>
      <w:r>
        <w:rPr>
          <w:rFonts w:ascii="inter" w:hAnsi="inter" w:eastAsia="inter" w:cs="inter"/>
          <w:b/>
          <w:color w:val="000000"/>
        </w:rPr>
        <w:t>Gap 1: DSSAD Mandates</w:t>
      </w:r>
      <w:r>
        <w:rPr>
          <w:rFonts w:ascii="inter" w:hAnsi="inter" w:eastAsia="inter" w:cs="inter"/>
          <w:color w:val="000000"/>
        </w:rPr>
        <w:br w:type="textWrapping"/>
      </w:r>
      <w:r>
        <w:rPr>
          <w:rFonts w:ascii="inter" w:hAnsi="inter" w:eastAsia="inter" w:cs="inter"/>
          <w:color w:val="000000"/>
        </w:rPr>
        <w:t>While UNECE recommends DSSAD for Level 3+ vehicles, global implementation remains incomplete. US federal requirement absent; state-by-state variation continues. EU PLD mandates data accessibility without specifying DSSAD standards.</w:t>
      </w:r>
      <w:bookmarkStart w:id="191" w:name="fnref19_3"/>
      <w:bookmarkEnd w:id="19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192" w:name="fnref15_2"/>
      <w:bookmarkEnd w:id="19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193" w:name="fnref13_6"/>
      <w:bookmarkEnd w:id="193"/>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421BD811">
      <w:pPr>
        <w:spacing w:after="210" w:line="360" w:lineRule="auto"/>
      </w:pPr>
      <w:r>
        <w:rPr>
          <w:rFonts w:ascii="inter" w:hAnsi="inter" w:eastAsia="inter" w:cs="inter"/>
          <w:b/>
          <w:color w:val="000000"/>
        </w:rPr>
        <w:t>Recommendation</w:t>
      </w:r>
      <w:r>
        <w:rPr>
          <w:rFonts w:ascii="inter" w:hAnsi="inter" w:eastAsia="inter" w:cs="inter"/>
          <w:color w:val="000000"/>
        </w:rPr>
        <w:t>: Establish global minimum DSSAD standards specifying data elements (sensing, perception, planning, control outputs), recording duration, access procedures, and confidentiality protections. International harmonization through UNECE GTR would facilitate cross-border liability determination.</w:t>
      </w:r>
      <w:bookmarkStart w:id="194" w:name="fnref13_7"/>
      <w:bookmarkEnd w:id="194"/>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01F201D7">
      <w:pPr>
        <w:spacing w:after="210" w:line="360" w:lineRule="auto"/>
      </w:pPr>
      <w:r>
        <w:rPr>
          <w:rFonts w:ascii="inter" w:hAnsi="inter" w:eastAsia="inter" w:cs="inter"/>
          <w:b/>
          <w:color w:val="000000"/>
        </w:rPr>
        <w:t>Gap 2: Cybersecurity Vulnerability Reporting</w:t>
      </w:r>
      <w:r>
        <w:rPr>
          <w:rFonts w:ascii="inter" w:hAnsi="inter" w:eastAsia="inter" w:cs="inter"/>
          <w:color w:val="000000"/>
        </w:rPr>
        <w:br w:type="textWrapping"/>
      </w:r>
      <w:r>
        <w:rPr>
          <w:rFonts w:ascii="inter" w:hAnsi="inter" w:eastAsia="inter" w:cs="inter"/>
          <w:color w:val="000000"/>
        </w:rPr>
        <w:t>EU PLD recognizes unpatched cybersecurity vulnerabilities as defects, but standards for vulnerability assessment, disclosure requirements, and remediation timelines remain undefined.</w:t>
      </w:r>
      <w:bookmarkStart w:id="195" w:name="fnref6_12"/>
      <w:bookmarkEnd w:id="19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1617796C">
      <w:pPr>
        <w:spacing w:after="210" w:line="360" w:lineRule="auto"/>
      </w:pPr>
      <w:r>
        <w:rPr>
          <w:rFonts w:ascii="inter" w:hAnsi="inter" w:eastAsia="inter" w:cs="inter"/>
          <w:b/>
          <w:color w:val="000000"/>
        </w:rPr>
        <w:t>Recommendation</w:t>
      </w:r>
      <w:r>
        <w:rPr>
          <w:rFonts w:ascii="inter" w:hAnsi="inter" w:eastAsia="inter" w:cs="inter"/>
          <w:color w:val="000000"/>
        </w:rPr>
        <w:t>: Establish industry standards for security patch development and deployment timelines (e.g., 30-day remediation for known vulnerabilities). Require manufacturers to maintain vulnerability databases accessible to investigators and insurers for accident causation assessment.</w:t>
      </w:r>
    </w:p>
    <w:p w14:paraId="20B82E51">
      <w:pPr>
        <w:spacing w:after="210" w:line="360" w:lineRule="auto"/>
      </w:pPr>
      <w:r>
        <w:rPr>
          <w:rFonts w:ascii="inter" w:hAnsi="inter" w:eastAsia="inter" w:cs="inter"/>
          <w:b/>
          <w:color w:val="000000"/>
        </w:rPr>
        <w:t>Gap 3: Transparency in Machine Learning Systems</w:t>
      </w:r>
      <w:r>
        <w:rPr>
          <w:rFonts w:ascii="inter" w:hAnsi="inter" w:eastAsia="inter" w:cs="inter"/>
          <w:color w:val="000000"/>
        </w:rPr>
        <w:br w:type="textWrapping"/>
      </w:r>
      <w:r>
        <w:rPr>
          <w:rFonts w:ascii="inter" w:hAnsi="inter" w:eastAsia="inter" w:cs="inter"/>
          <w:color w:val="000000"/>
        </w:rPr>
        <w:t>Deep learning systems make decisions through non-interpretable algorithms. Courts struggle to assess whether decisions reflect defective design or acceptable stochastic variation.</w:t>
      </w:r>
      <w:bookmarkStart w:id="196" w:name="fnref4_4"/>
      <w:bookmarkEnd w:id="19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197" w:name="fnref5_7"/>
      <w:bookmarkEnd w:id="19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727D8527">
      <w:pPr>
        <w:spacing w:after="210" w:line="360" w:lineRule="auto"/>
      </w:pPr>
      <w:r>
        <w:rPr>
          <w:rFonts w:ascii="inter" w:hAnsi="inter" w:eastAsia="inter" w:cs="inter"/>
          <w:b/>
          <w:color w:val="000000"/>
        </w:rPr>
        <w:t>Recommendation</w:t>
      </w:r>
      <w:r>
        <w:rPr>
          <w:rFonts w:ascii="inter" w:hAnsi="inter" w:eastAsia="inter" w:cs="inter"/>
          <w:color w:val="000000"/>
        </w:rPr>
        <w:t>: Require manufacturers to maintain decision-logic documentation, training data provenance, and algorithmic audit trails. Establish expert witness standards for assessing algorithmic defect claims. Consider regulatory requirement that critical safety decisions be explainable by design.</w:t>
      </w:r>
      <w:bookmarkStart w:id="198" w:name="fnref5_8"/>
      <w:bookmarkEnd w:id="19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27F0721B">
      <w:pPr>
        <w:spacing w:before="315" w:after="105" w:line="360" w:lineRule="auto"/>
        <w:ind w:left="-30"/>
        <w:jc w:val="left"/>
      </w:pPr>
      <w:bookmarkStart w:id="199" w:name="b_odd_clarity_and_transition_dema_40892b"/>
      <w:r>
        <w:rPr>
          <w:rFonts w:ascii="inter" w:hAnsi="inter" w:eastAsia="inter" w:cs="inter"/>
          <w:b/>
          <w:color w:val="000000"/>
          <w:sz w:val="24"/>
        </w:rPr>
        <w:t>B. ODD Clarity and Transition Demand Standards</w:t>
      </w:r>
      <w:bookmarkEnd w:id="199"/>
    </w:p>
    <w:p w14:paraId="523B1030">
      <w:pPr>
        <w:spacing w:after="210" w:line="360" w:lineRule="auto"/>
      </w:pPr>
      <w:r>
        <w:rPr>
          <w:rFonts w:ascii="inter" w:hAnsi="inter" w:eastAsia="inter" w:cs="inter"/>
          <w:color w:val="000000"/>
        </w:rPr>
        <w:t>Wide variation exists in how manufacturers specify ODD parameters and transition demands.</w:t>
      </w:r>
      <w:bookmarkStart w:id="200" w:name="fnref9_3"/>
      <w:bookmarkEnd w:id="20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201" w:name="fnref14_15"/>
      <w:bookmarkEnd w:id="20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02" w:name="fnref2_9"/>
      <w:bookmarkEnd w:id="20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60CB1DE">
      <w:pPr>
        <w:spacing w:after="210" w:line="360" w:lineRule="auto"/>
      </w:pPr>
      <w:r>
        <w:rPr>
          <w:rFonts w:ascii="inter" w:hAnsi="inter" w:eastAsia="inter" w:cs="inter"/>
          <w:b/>
          <w:color w:val="000000"/>
        </w:rPr>
        <w:t>Gap 1: ODD Definition Standardization</w:t>
      </w:r>
      <w:r>
        <w:rPr>
          <w:rFonts w:ascii="inter" w:hAnsi="inter" w:eastAsia="inter" w:cs="inter"/>
          <w:color w:val="000000"/>
        </w:rPr>
        <w:br w:type="textWrapping"/>
      </w:r>
      <w:r>
        <w:rPr>
          <w:rFonts w:ascii="inter" w:hAnsi="inter" w:eastAsia="inter" w:cs="inter"/>
          <w:color w:val="000000"/>
        </w:rPr>
        <w:t>Manufacturers describe ODD using different parameter sets, making cross-vehicle comparison and regulatory assessment difficult. No uniform framework exists for determining ODD boundaries.</w:t>
      </w:r>
      <w:bookmarkStart w:id="203" w:name="fnref2_10"/>
      <w:bookmarkEnd w:id="20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B8C74DF">
      <w:pPr>
        <w:spacing w:after="210" w:line="360" w:lineRule="auto"/>
      </w:pPr>
      <w:r>
        <w:rPr>
          <w:rFonts w:ascii="inter" w:hAnsi="inter" w:eastAsia="inter" w:cs="inter"/>
          <w:b/>
          <w:color w:val="000000"/>
        </w:rPr>
        <w:t>Recommendation</w:t>
      </w:r>
      <w:r>
        <w:rPr>
          <w:rFonts w:ascii="inter" w:hAnsi="inter" w:eastAsia="inter" w:cs="inter"/>
          <w:color w:val="000000"/>
        </w:rPr>
        <w:t>: Establish standardized ODD specification framework through UNECE GTR, specifying mandatory parameters (roadway types, speed ranges, environmental conditions, traffic complexity, geographic extent). Require manufacturers to publish ODD specifications in standardized format accessible to regulators and consumers.</w:t>
      </w:r>
    </w:p>
    <w:p w14:paraId="2C1AC5FC">
      <w:pPr>
        <w:spacing w:after="210" w:line="360" w:lineRule="auto"/>
      </w:pPr>
      <w:r>
        <w:rPr>
          <w:rFonts w:ascii="inter" w:hAnsi="inter" w:eastAsia="inter" w:cs="inter"/>
          <w:b/>
          <w:color w:val="000000"/>
        </w:rPr>
        <w:t>Gap 2: Transition Demand Design Standards</w:t>
      </w:r>
      <w:r>
        <w:rPr>
          <w:rFonts w:ascii="inter" w:hAnsi="inter" w:eastAsia="inter" w:cs="inter"/>
          <w:color w:val="000000"/>
        </w:rPr>
        <w:br w:type="textWrapping"/>
      </w:r>
      <w:r>
        <w:rPr>
          <w:rFonts w:ascii="inter" w:hAnsi="inter" w:eastAsia="inter" w:cs="inter"/>
          <w:color w:val="000000"/>
        </w:rPr>
        <w:t>UK AVA 2024 requires transition demands provide "adequate" reaction time, but precision definition absent. Vary by driver age, disabilities, familiarity with system.</w:t>
      </w:r>
      <w:bookmarkStart w:id="204" w:name="fnref9_4"/>
      <w:bookmarkEnd w:id="20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6F50EDBB">
      <w:pPr>
        <w:spacing w:after="210" w:line="360" w:lineRule="auto"/>
      </w:pPr>
      <w:r>
        <w:rPr>
          <w:rFonts w:ascii="inter" w:hAnsi="inter" w:eastAsia="inter" w:cs="inter"/>
          <w:b/>
          <w:color w:val="000000"/>
        </w:rPr>
        <w:t>Recommendation</w:t>
      </w:r>
      <w:r>
        <w:rPr>
          <w:rFonts w:ascii="inter" w:hAnsi="inter" w:eastAsia="inter" w:cs="inter"/>
          <w:color w:val="000000"/>
        </w:rPr>
        <w:t>: Establish empirical research establishing transition reaction time requirements across diverse driver populations. Specify minimum notification duration and perceptual clarity standards. Require vehicle control maintenance during transition period as standard (effectively mandating Level 4 capability before Level 3 authorization).</w:t>
      </w:r>
    </w:p>
    <w:p w14:paraId="13011045">
      <w:pPr>
        <w:spacing w:before="315" w:after="105" w:line="360" w:lineRule="auto"/>
        <w:ind w:left="-30"/>
        <w:jc w:val="left"/>
      </w:pPr>
      <w:bookmarkStart w:id="205" w:name="c_insurance_framework_harmonization"/>
      <w:r>
        <w:rPr>
          <w:rFonts w:ascii="inter" w:hAnsi="inter" w:eastAsia="inter" w:cs="inter"/>
          <w:b/>
          <w:color w:val="000000"/>
          <w:sz w:val="24"/>
        </w:rPr>
        <w:t>C. Insurance Framework Harmonization</w:t>
      </w:r>
      <w:bookmarkEnd w:id="205"/>
    </w:p>
    <w:p w14:paraId="6C3C4050">
      <w:pPr>
        <w:spacing w:after="210" w:line="360" w:lineRule="auto"/>
      </w:pPr>
      <w:r>
        <w:rPr>
          <w:rFonts w:ascii="inter" w:hAnsi="inter" w:eastAsia="inter" w:cs="inter"/>
          <w:color w:val="000000"/>
        </w:rPr>
        <w:t>Significant divergence exists between jurisdiction's insurance requirements for autonomous vehicles.</w:t>
      </w:r>
      <w:bookmarkStart w:id="206" w:name="fnref8_13"/>
      <w:bookmarkEnd w:id="20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07" w:name="fnref14_16"/>
      <w:bookmarkEnd w:id="207"/>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08" w:name="fnref38"/>
      <w:bookmarkEnd w:id="208"/>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209" w:name="fnref39"/>
      <w:bookmarkEnd w:id="209"/>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p>
    <w:p w14:paraId="3C0E51C0">
      <w:pPr>
        <w:spacing w:after="210" w:line="360" w:lineRule="auto"/>
      </w:pPr>
      <w:r>
        <w:rPr>
          <w:rFonts w:ascii="inter" w:hAnsi="inter" w:eastAsia="inter" w:cs="inter"/>
          <w:b/>
          <w:color w:val="000000"/>
        </w:rPr>
        <w:t>Gap 1: Mandatory Coverage Levels</w:t>
      </w:r>
      <w:r>
        <w:rPr>
          <w:rFonts w:ascii="inter" w:hAnsi="inter" w:eastAsia="inter" w:cs="inter"/>
          <w:color w:val="000000"/>
        </w:rPr>
        <w:br w:type="textWrapping"/>
      </w:r>
      <w:r>
        <w:rPr>
          <w:rFonts w:ascii="inter" w:hAnsi="inter" w:eastAsia="inter" w:cs="inter"/>
          <w:color w:val="000000"/>
        </w:rPr>
        <w:t>UK AEVA establishes mandatory coverage for automated vehicles; US lacks federal requirement; EU member states vary. This creates uncertainty for multi-jurisdictional operations.</w:t>
      </w:r>
      <w:bookmarkStart w:id="210" w:name="fnref14_17"/>
      <w:bookmarkEnd w:id="21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11" w:name="fnref39_1"/>
      <w:bookmarkEnd w:id="211"/>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212" w:name="fnref8_14"/>
      <w:bookmarkEnd w:id="2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7A8A5C9">
      <w:pPr>
        <w:spacing w:after="210" w:line="360" w:lineRule="auto"/>
      </w:pPr>
      <w:r>
        <w:rPr>
          <w:rFonts w:ascii="inter" w:hAnsi="inter" w:eastAsia="inter" w:cs="inter"/>
          <w:b/>
          <w:color w:val="000000"/>
        </w:rPr>
        <w:t>Recommendation</w:t>
      </w:r>
      <w:r>
        <w:rPr>
          <w:rFonts w:ascii="inter" w:hAnsi="inter" w:eastAsia="inter" w:cs="inter"/>
          <w:color w:val="000000"/>
        </w:rPr>
        <w:t>: Establish internationally harmonized minimum mandatory coverage levels for autonomous vehicle accidents, calibrated by automation level and ODD complexity. Facilitate reciprocal insurance recognition across jurisdictions.</w:t>
      </w:r>
    </w:p>
    <w:p w14:paraId="41AFA335">
      <w:pPr>
        <w:spacing w:after="210" w:line="360" w:lineRule="auto"/>
      </w:pPr>
      <w:r>
        <w:rPr>
          <w:rFonts w:ascii="inter" w:hAnsi="inter" w:eastAsia="inter" w:cs="inter"/>
          <w:b/>
          <w:color w:val="000000"/>
        </w:rPr>
        <w:t>Gap 2: ASDE Financial Standing Requirements</w:t>
      </w:r>
      <w:r>
        <w:rPr>
          <w:rFonts w:ascii="inter" w:hAnsi="inter" w:eastAsia="inter" w:cs="inter"/>
          <w:color w:val="000000"/>
        </w:rPr>
        <w:br w:type="textWrapping"/>
      </w:r>
      <w:r>
        <w:rPr>
          <w:rFonts w:ascii="inter" w:hAnsi="inter" w:eastAsia="inter" w:cs="inter"/>
          <w:color w:val="000000"/>
        </w:rPr>
        <w:t>UK AVA 2024 requires ASDE demonstrate "good financial standing" but specifics undefined.</w:t>
      </w:r>
      <w:bookmarkStart w:id="213" w:name="fnref14_18"/>
      <w:bookmarkEnd w:id="21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45389B12">
      <w:pPr>
        <w:spacing w:after="210" w:line="360" w:lineRule="auto"/>
      </w:pPr>
      <w:r>
        <w:rPr>
          <w:rFonts w:ascii="inter" w:hAnsi="inter" w:eastAsia="inter" w:cs="inter"/>
          <w:b/>
          <w:color w:val="000000"/>
        </w:rPr>
        <w:t>Recommendation</w:t>
      </w:r>
      <w:r>
        <w:rPr>
          <w:rFonts w:ascii="inter" w:hAnsi="inter" w:eastAsia="inter" w:cs="inter"/>
          <w:color w:val="000000"/>
        </w:rPr>
        <w:t>: Establish quantified financial standing requirements (e.g., minimum capital reserves, maximum claims-to-capital ratios) ensuring ASDE capability to respond to large-scale accidents. Require solvency guarantees (insurance or bonding) for ASDE obligations.</w:t>
      </w:r>
    </w:p>
    <w:p w14:paraId="060AECD5">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607BC8F5">
      <w:pPr>
        <w:spacing w:before="315" w:after="105" w:line="360" w:lineRule="auto"/>
        <w:ind w:left="-30"/>
        <w:jc w:val="left"/>
      </w:pPr>
      <w:bookmarkStart w:id="214" w:name="viii_specific_recommendations_for_6c8a7c"/>
      <w:r>
        <w:rPr>
          <w:rFonts w:ascii="inter" w:hAnsi="inter" w:eastAsia="inter" w:cs="inter"/>
          <w:b/>
          <w:color w:val="000000"/>
          <w:sz w:val="24"/>
        </w:rPr>
        <w:t>VIII. SPECIFIC RECOMMENDATIONS FOR REGULATORY POLICY</w:t>
      </w:r>
      <w:bookmarkEnd w:id="214"/>
    </w:p>
    <w:p w14:paraId="58CFD664">
      <w:pPr>
        <w:spacing w:before="315" w:after="105" w:line="360" w:lineRule="auto"/>
        <w:ind w:left="-30"/>
        <w:jc w:val="left"/>
      </w:pPr>
      <w:bookmarkStart w:id="215" w:name="a_international_level"/>
      <w:r>
        <w:rPr>
          <w:rFonts w:ascii="inter" w:hAnsi="inter" w:eastAsia="inter" w:cs="inter"/>
          <w:b/>
          <w:color w:val="000000"/>
          <w:sz w:val="24"/>
        </w:rPr>
        <w:t>A. International Level</w:t>
      </w:r>
      <w:bookmarkEnd w:id="215"/>
    </w:p>
    <w:p w14:paraId="2C516E13">
      <w:pPr>
        <w:spacing w:after="210" w:line="360" w:lineRule="auto"/>
      </w:pPr>
      <w:r>
        <w:rPr>
          <w:rFonts w:ascii="inter" w:hAnsi="inter" w:eastAsia="inter" w:cs="inter"/>
          <w:b/>
          <w:color w:val="000000"/>
        </w:rPr>
        <w:t>1. Harmonization of DSSAD Standards Through UNECE</w:t>
      </w:r>
      <w:r>
        <w:rPr>
          <w:rFonts w:ascii="inter" w:hAnsi="inter" w:eastAsia="inter" w:cs="inter"/>
          <w:color w:val="000000"/>
        </w:rPr>
        <w:br w:type="textWrapping"/>
      </w:r>
      <w:r>
        <w:rPr>
          <w:rFonts w:ascii="inter" w:hAnsi="inter" w:eastAsia="inter" w:cs="inter"/>
          <w:color w:val="000000"/>
        </w:rPr>
        <w:t>Develop binding UNECE Global Technical Regulation specifying mandatory data elements, recording requirements, access procedures, and confidentiality protections. Target implementation: 2027.</w:t>
      </w:r>
    </w:p>
    <w:p w14:paraId="13816BB3">
      <w:pPr>
        <w:spacing w:after="210" w:line="360" w:lineRule="auto"/>
      </w:pPr>
      <w:r>
        <w:rPr>
          <w:rFonts w:ascii="inter" w:hAnsi="inter" w:eastAsia="inter" w:cs="inter"/>
          <w:color w:val="000000"/>
        </w:rPr>
        <w:t>Rationale: Enables accident investigators and litigants to establish system state and liability allocation consistently across jurisdictions. Supports multinational manufacturers' compliance efficiency.</w:t>
      </w:r>
    </w:p>
    <w:p w14:paraId="1BD34141">
      <w:pPr>
        <w:spacing w:after="210" w:line="360" w:lineRule="auto"/>
      </w:pPr>
      <w:r>
        <w:rPr>
          <w:rFonts w:ascii="inter" w:hAnsi="inter" w:eastAsia="inter" w:cs="inter"/>
          <w:b/>
          <w:color w:val="000000"/>
        </w:rPr>
        <w:t>2. ODD Specification Framework</w:t>
      </w:r>
      <w:r>
        <w:rPr>
          <w:rFonts w:ascii="inter" w:hAnsi="inter" w:eastAsia="inter" w:cs="inter"/>
          <w:color w:val="000000"/>
        </w:rPr>
        <w:br w:type="textWrapping"/>
      </w:r>
      <w:r>
        <w:rPr>
          <w:rFonts w:ascii="inter" w:hAnsi="inter" w:eastAsia="inter" w:cs="inter"/>
          <w:color w:val="000000"/>
        </w:rPr>
        <w:t>Establish UNECE guideline specifying standardized ODD parameter sets and specification methodology. Require manufacturers to publish ODD specifications in standardized format publicly accessible to consumers and regulators.</w:t>
      </w:r>
    </w:p>
    <w:p w14:paraId="60BB9A62">
      <w:pPr>
        <w:spacing w:after="210" w:line="360" w:lineRule="auto"/>
      </w:pPr>
      <w:r>
        <w:rPr>
          <w:rFonts w:ascii="inter" w:hAnsi="inter" w:eastAsia="inter" w:cs="inter"/>
          <w:color w:val="000000"/>
        </w:rPr>
        <w:t>Rationale: Clarifies liability boundaries between operator and manufacturer. Enables regulatory assessment of system limitations. Supports consumer understanding of automation capabilities.</w:t>
      </w:r>
    </w:p>
    <w:p w14:paraId="19F59EDA">
      <w:pPr>
        <w:spacing w:after="210" w:line="360" w:lineRule="auto"/>
      </w:pPr>
      <w:r>
        <w:rPr>
          <w:rFonts w:ascii="inter" w:hAnsi="inter" w:eastAsia="inter" w:cs="inter"/>
          <w:b/>
          <w:color w:val="000000"/>
        </w:rPr>
        <w:t>3. Transition Demand Standards</w:t>
      </w:r>
      <w:r>
        <w:rPr>
          <w:rFonts w:ascii="inter" w:hAnsi="inter" w:eastAsia="inter" w:cs="inter"/>
          <w:color w:val="000000"/>
        </w:rPr>
        <w:br w:type="textWrapping"/>
      </w:r>
      <w:r>
        <w:rPr>
          <w:rFonts w:ascii="inter" w:hAnsi="inter" w:eastAsia="inter" w:cs="inter"/>
          <w:color w:val="000000"/>
        </w:rPr>
        <w:t>Develop UNECE specification requiring minimum reaction times (empirically established for diverse populations), perceptual clarity standards, and vehicle control maintenance during transition periods.</w:t>
      </w:r>
    </w:p>
    <w:p w14:paraId="403CBCC2">
      <w:pPr>
        <w:spacing w:after="210" w:line="360" w:lineRule="auto"/>
      </w:pPr>
      <w:r>
        <w:rPr>
          <w:rFonts w:ascii="inter" w:hAnsi="inter" w:eastAsia="inter" w:cs="inter"/>
          <w:color w:val="000000"/>
        </w:rPr>
        <w:t>Rationale: Addresses Level 3's critical vulnerability—reaction time inadequacy. Effectively mandates high-capability automation before Level 3 authorization, improving safety and clarity.</w:t>
      </w:r>
    </w:p>
    <w:p w14:paraId="7DE53A4C">
      <w:pPr>
        <w:spacing w:after="210" w:line="360" w:lineRule="auto"/>
      </w:pPr>
      <w:r>
        <w:rPr>
          <w:rFonts w:ascii="inter" w:hAnsi="inter" w:eastAsia="inter" w:cs="inter"/>
          <w:b/>
          <w:color w:val="000000"/>
        </w:rPr>
        <w:t>4. Cybersecurity Vulnerability Management Standards</w:t>
      </w:r>
      <w:r>
        <w:rPr>
          <w:rFonts w:ascii="inter" w:hAnsi="inter" w:eastAsia="inter" w:cs="inter"/>
          <w:color w:val="000000"/>
        </w:rPr>
        <w:br w:type="textWrapping"/>
      </w:r>
      <w:r>
        <w:rPr>
          <w:rFonts w:ascii="inter" w:hAnsi="inter" w:eastAsia="inter" w:cs="inter"/>
          <w:color w:val="000000"/>
        </w:rPr>
        <w:t>Establish international standards for vulnerability disclosure, assessment, and remediation timelines. Require manufacturers to maintain vulnerability registries and remediation documentation.</w:t>
      </w:r>
    </w:p>
    <w:p w14:paraId="5E1BF1DE">
      <w:pPr>
        <w:spacing w:after="210" w:line="360" w:lineRule="auto"/>
      </w:pPr>
      <w:r>
        <w:rPr>
          <w:rFonts w:ascii="inter" w:hAnsi="inter" w:eastAsia="inter" w:cs="inter"/>
          <w:color w:val="000000"/>
        </w:rPr>
        <w:t>Rationale: Addresses EU PLD's cybersecurity defect provisions. Enables insurers and investigators to assess post-sale software changes' impact on causation.</w:t>
      </w:r>
    </w:p>
    <w:p w14:paraId="012ACC7F">
      <w:pPr>
        <w:spacing w:before="315" w:after="105" w:line="360" w:lineRule="auto"/>
        <w:ind w:left="-30"/>
        <w:jc w:val="left"/>
      </w:pPr>
      <w:bookmarkStart w:id="216" w:name="b_regional_level_european_union"/>
      <w:r>
        <w:rPr>
          <w:rFonts w:ascii="inter" w:hAnsi="inter" w:eastAsia="inter" w:cs="inter"/>
          <w:b/>
          <w:color w:val="000000"/>
          <w:sz w:val="24"/>
        </w:rPr>
        <w:t>B. Regional Level: European Union</w:t>
      </w:r>
      <w:bookmarkEnd w:id="216"/>
    </w:p>
    <w:p w14:paraId="7B847296">
      <w:pPr>
        <w:spacing w:after="210" w:line="360" w:lineRule="auto"/>
      </w:pPr>
      <w:r>
        <w:rPr>
          <w:rFonts w:ascii="inter" w:hAnsi="inter" w:eastAsia="inter" w:cs="inter"/>
          <w:b/>
          <w:color w:val="000000"/>
        </w:rPr>
        <w:t>1. PLD Implementation Guidance</w:t>
      </w:r>
      <w:r>
        <w:rPr>
          <w:rFonts w:ascii="inter" w:hAnsi="inter" w:eastAsia="inter" w:cs="inter"/>
          <w:color w:val="000000"/>
        </w:rPr>
        <w:br w:type="textWrapping"/>
      </w:r>
      <w:r>
        <w:rPr>
          <w:rFonts w:ascii="inter" w:hAnsi="inter" w:eastAsia="inter" w:cs="inter"/>
          <w:color w:val="000000"/>
        </w:rPr>
        <w:t>Develop European Commission guidance on PLD application to autonomous vehicles, specifically addressing:</w:t>
      </w:r>
    </w:p>
    <w:p w14:paraId="66956B17">
      <w:pPr>
        <w:numPr>
          <w:ilvl w:val="0"/>
          <w:numId w:val="28"/>
        </w:numPr>
        <w:spacing w:before="105" w:after="105" w:line="360" w:lineRule="auto"/>
      </w:pPr>
      <w:r>
        <w:rPr>
          <w:rFonts w:ascii="inter" w:hAnsi="inter" w:eastAsia="inter" w:cs="inter"/>
          <w:color w:val="000000"/>
          <w:sz w:val="21"/>
        </w:rPr>
        <w:t>Presumption of defect applicability standards</w:t>
      </w:r>
    </w:p>
    <w:p w14:paraId="1D45574E">
      <w:pPr>
        <w:numPr>
          <w:ilvl w:val="0"/>
          <w:numId w:val="28"/>
        </w:numPr>
        <w:spacing w:before="105" w:after="105" w:line="360" w:lineRule="auto"/>
      </w:pPr>
      <w:r>
        <w:rPr>
          <w:rFonts w:ascii="inter" w:hAnsi="inter" w:eastAsia="inter" w:cs="inter"/>
          <w:color w:val="000000"/>
          <w:sz w:val="21"/>
        </w:rPr>
        <w:t>Software update liability (when modifications constitute new product)</w:t>
      </w:r>
    </w:p>
    <w:p w14:paraId="23D3C630">
      <w:pPr>
        <w:numPr>
          <w:ilvl w:val="0"/>
          <w:numId w:val="28"/>
        </w:numPr>
        <w:spacing w:before="105" w:after="105" w:line="360" w:lineRule="auto"/>
      </w:pPr>
      <w:r>
        <w:rPr>
          <w:rFonts w:ascii="inter" w:hAnsi="inter" w:eastAsia="inter" w:cs="inter"/>
          <w:color w:val="000000"/>
          <w:sz w:val="21"/>
        </w:rPr>
        <w:t>OTA update failure causation assessment</w:t>
      </w:r>
    </w:p>
    <w:p w14:paraId="5E53D322">
      <w:pPr>
        <w:numPr>
          <w:ilvl w:val="0"/>
          <w:numId w:val="28"/>
        </w:numPr>
        <w:spacing w:before="105" w:after="105" w:line="360" w:lineRule="auto"/>
      </w:pPr>
      <w:r>
        <w:rPr>
          <w:rFonts w:ascii="inter" w:hAnsi="inter" w:eastAsia="inter" w:cs="inter"/>
          <w:color w:val="000000"/>
          <w:sz w:val="21"/>
        </w:rPr>
        <w:t>Cybersecurity vulnerability defect determination</w:t>
      </w:r>
    </w:p>
    <w:p w14:paraId="4389765B">
      <w:pPr>
        <w:spacing w:after="210" w:line="360" w:lineRule="auto"/>
      </w:pPr>
      <w:r>
        <w:rPr>
          <w:rFonts w:ascii="inter" w:hAnsi="inter" w:eastAsia="inter" w:cs="inter"/>
          <w:color w:val="000000"/>
        </w:rPr>
        <w:t>Target: Guidance publication by December 2025 (preceding December 2026 transposition deadline).</w:t>
      </w:r>
    </w:p>
    <w:p w14:paraId="43C09C98">
      <w:pPr>
        <w:spacing w:after="210" w:line="360" w:lineRule="auto"/>
      </w:pPr>
      <w:r>
        <w:rPr>
          <w:rFonts w:ascii="inter" w:hAnsi="inter" w:eastAsia="inter" w:cs="inter"/>
          <w:b/>
          <w:color w:val="000000"/>
        </w:rPr>
        <w:t>2. Member-State Insurance Coordination</w:t>
      </w:r>
      <w:r>
        <w:rPr>
          <w:rFonts w:ascii="inter" w:hAnsi="inter" w:eastAsia="inter" w:cs="inter"/>
          <w:color w:val="000000"/>
        </w:rPr>
        <w:br w:type="textWrapping"/>
      </w:r>
      <w:r>
        <w:rPr>
          <w:rFonts w:ascii="inter" w:hAnsi="inter" w:eastAsia="inter" w:cs="inter"/>
          <w:color w:val="000000"/>
        </w:rPr>
        <w:t>Establish EU-level framework for mandatory autonomous vehicle insurance, specifying minimum coverage levels and enabling reciprocal recognition across member states.</w:t>
      </w:r>
    </w:p>
    <w:p w14:paraId="5D5ED8EE">
      <w:pPr>
        <w:spacing w:after="210" w:line="360" w:lineRule="auto"/>
      </w:pPr>
      <w:r>
        <w:rPr>
          <w:rFonts w:ascii="inter" w:hAnsi="inter" w:eastAsia="inter" w:cs="inter"/>
          <w:color w:val="000000"/>
        </w:rPr>
        <w:t>Rationale: Prevents insurance arbitrage; ensures victim protection consistency.</w:t>
      </w:r>
    </w:p>
    <w:p w14:paraId="7960DB4B">
      <w:pPr>
        <w:spacing w:after="210" w:line="360" w:lineRule="auto"/>
      </w:pPr>
      <w:r>
        <w:rPr>
          <w:rFonts w:ascii="inter" w:hAnsi="inter" w:eastAsia="inter" w:cs="inter"/>
          <w:b/>
          <w:color w:val="000000"/>
        </w:rPr>
        <w:t>3. Authorised Self-Driving Entity Equivalence</w:t>
      </w:r>
      <w:r>
        <w:rPr>
          <w:rFonts w:ascii="inter" w:hAnsi="inter" w:eastAsia="inter" w:cs="inter"/>
          <w:color w:val="000000"/>
        </w:rPr>
        <w:br w:type="textWrapping"/>
      </w:r>
      <w:r>
        <w:rPr>
          <w:rFonts w:ascii="inter" w:hAnsi="inter" w:eastAsia="inter" w:cs="inter"/>
          <w:color w:val="000000"/>
        </w:rPr>
        <w:t>Develop mutual recognition framework enabling ASDE designated in one EU member state to operate vehicles in others, pending equivalent safety and financial standing verification.</w:t>
      </w:r>
    </w:p>
    <w:p w14:paraId="69F91889">
      <w:pPr>
        <w:spacing w:after="210" w:line="360" w:lineRule="auto"/>
      </w:pPr>
      <w:r>
        <w:rPr>
          <w:rFonts w:ascii="inter" w:hAnsi="inter" w:eastAsia="inter" w:cs="inter"/>
          <w:color w:val="000000"/>
        </w:rPr>
        <w:t>Rationale: Reduces compliance burden for multinational manufacturers while maintaining safety assurance.</w:t>
      </w:r>
    </w:p>
    <w:p w14:paraId="0F7BC448">
      <w:pPr>
        <w:spacing w:before="315" w:after="105" w:line="360" w:lineRule="auto"/>
        <w:ind w:left="-30"/>
        <w:jc w:val="left"/>
      </w:pPr>
      <w:bookmarkStart w:id="217" w:name="c_united_states_level"/>
      <w:r>
        <w:rPr>
          <w:rFonts w:ascii="inter" w:hAnsi="inter" w:eastAsia="inter" w:cs="inter"/>
          <w:b/>
          <w:color w:val="000000"/>
          <w:sz w:val="24"/>
        </w:rPr>
        <w:t>C. United States Level</w:t>
      </w:r>
      <w:bookmarkEnd w:id="217"/>
    </w:p>
    <w:p w14:paraId="1FCE00AA">
      <w:pPr>
        <w:spacing w:after="210" w:line="360" w:lineRule="auto"/>
      </w:pPr>
      <w:r>
        <w:rPr>
          <w:rFonts w:ascii="inter" w:hAnsi="inter" w:eastAsia="inter" w:cs="inter"/>
          <w:b/>
          <w:color w:val="000000"/>
        </w:rPr>
        <w:t>1. Federal Autonomous Vehicle Liability Standard</w:t>
      </w:r>
      <w:r>
        <w:rPr>
          <w:rFonts w:ascii="inter" w:hAnsi="inter" w:eastAsia="inter" w:cs="inter"/>
          <w:color w:val="000000"/>
        </w:rPr>
        <w:br w:type="textWrapping"/>
      </w:r>
      <w:r>
        <w:rPr>
          <w:rFonts w:ascii="inter" w:hAnsi="inter" w:eastAsia="inter" w:cs="inter"/>
          <w:color w:val="000000"/>
        </w:rPr>
        <w:t>Develop federal legislation establishing uniform liability standard for autonomous vehicles, potentially incorporating:</w:t>
      </w:r>
    </w:p>
    <w:p w14:paraId="3490F47D">
      <w:pPr>
        <w:numPr>
          <w:ilvl w:val="0"/>
          <w:numId w:val="29"/>
        </w:numPr>
        <w:spacing w:before="105" w:after="105" w:line="360" w:lineRule="auto"/>
      </w:pPr>
      <w:r>
        <w:rPr>
          <w:rFonts w:ascii="inter" w:hAnsi="inter" w:eastAsia="inter" w:cs="inter"/>
          <w:color w:val="000000"/>
          <w:sz w:val="21"/>
        </w:rPr>
        <w:t>Manufacturer strict liability for defects (aligning with emerging US product liability standards)</w:t>
      </w:r>
    </w:p>
    <w:p w14:paraId="069458C3">
      <w:pPr>
        <w:numPr>
          <w:ilvl w:val="0"/>
          <w:numId w:val="29"/>
        </w:numPr>
        <w:spacing w:before="105" w:after="105" w:line="360" w:lineRule="auto"/>
      </w:pPr>
      <w:r>
        <w:rPr>
          <w:rFonts w:ascii="inter" w:hAnsi="inter" w:eastAsia="inter" w:cs="inter"/>
          <w:color w:val="000000"/>
          <w:sz w:val="21"/>
        </w:rPr>
        <w:t>Operator liability for ODD violations</w:t>
      </w:r>
    </w:p>
    <w:p w14:paraId="5AC2D28B">
      <w:pPr>
        <w:numPr>
          <w:ilvl w:val="0"/>
          <w:numId w:val="29"/>
        </w:numPr>
        <w:spacing w:before="105" w:after="105" w:line="360" w:lineRule="auto"/>
      </w:pPr>
      <w:r>
        <w:rPr>
          <w:rFonts w:ascii="inter" w:hAnsi="inter" w:eastAsia="inter" w:cs="inter"/>
          <w:color w:val="000000"/>
          <w:sz w:val="21"/>
        </w:rPr>
        <w:t>Insurer first-respondent requirement with recourse rights</w:t>
      </w:r>
    </w:p>
    <w:p w14:paraId="44FB0E22">
      <w:pPr>
        <w:numPr>
          <w:ilvl w:val="0"/>
          <w:numId w:val="29"/>
        </w:numPr>
        <w:spacing w:before="105" w:after="105" w:line="360" w:lineRule="auto"/>
      </w:pPr>
      <w:r>
        <w:rPr>
          <w:rFonts w:ascii="inter" w:hAnsi="inter" w:eastAsia="inter" w:cs="inter"/>
          <w:color w:val="000000"/>
          <w:sz w:val="21"/>
        </w:rPr>
        <w:t>DSSAD mandatory data recording for Level 3+ vehicles</w:t>
      </w:r>
    </w:p>
    <w:p w14:paraId="203B092C">
      <w:pPr>
        <w:spacing w:after="210" w:line="360" w:lineRule="auto"/>
      </w:pPr>
      <w:r>
        <w:rPr>
          <w:rFonts w:ascii="inter" w:hAnsi="inter" w:eastAsia="inter" w:cs="inter"/>
          <w:color w:val="000000"/>
        </w:rPr>
        <w:t>Target: Federal legislation introduction by 2026.</w:t>
      </w:r>
    </w:p>
    <w:p w14:paraId="616D7B34">
      <w:pPr>
        <w:spacing w:after="210" w:line="360" w:lineRule="auto"/>
      </w:pPr>
      <w:r>
        <w:rPr>
          <w:rFonts w:ascii="inter" w:hAnsi="inter" w:eastAsia="inter" w:cs="inter"/>
          <w:color w:val="000000"/>
        </w:rPr>
        <w:t>Rationale: Eliminates state-by-state variation; reduces manufacturer compliance costs; clarifies victim compensation pathways.</w:t>
      </w:r>
    </w:p>
    <w:p w14:paraId="22BE8EC6">
      <w:pPr>
        <w:spacing w:after="210" w:line="360" w:lineRule="auto"/>
      </w:pPr>
      <w:r>
        <w:rPr>
          <w:rFonts w:ascii="inter" w:hAnsi="inter" w:eastAsia="inter" w:cs="inter"/>
          <w:b/>
          <w:color w:val="000000"/>
        </w:rPr>
        <w:t>2. NHTSA DSSAD Mandate</w:t>
      </w:r>
      <w:r>
        <w:rPr>
          <w:rFonts w:ascii="inter" w:hAnsi="inter" w:eastAsia="inter" w:cs="inter"/>
          <w:color w:val="000000"/>
        </w:rPr>
        <w:br w:type="textWrapping"/>
      </w:r>
      <w:r>
        <w:rPr>
          <w:rFonts w:ascii="inter" w:hAnsi="inter" w:eastAsia="inter" w:cs="inter"/>
          <w:color w:val="000000"/>
        </w:rPr>
        <w:t>Incorporate DSSAD requirements into NHTSA's Federal Motor Vehicle Safety Standards, establishing binding data recording obligations for Level 3+ vehicles.</w:t>
      </w:r>
    </w:p>
    <w:p w14:paraId="48FCC9C6">
      <w:pPr>
        <w:spacing w:after="210" w:line="360" w:lineRule="auto"/>
      </w:pPr>
      <w:r>
        <w:rPr>
          <w:rFonts w:ascii="inter" w:hAnsi="inter" w:eastAsia="inter" w:cs="inter"/>
          <w:color w:val="000000"/>
        </w:rPr>
        <w:t>Rationale: Creates uniform accident investigation foundation. Supports liability determination consistency.</w:t>
      </w:r>
    </w:p>
    <w:p w14:paraId="7E048A8C">
      <w:pPr>
        <w:spacing w:after="210" w:line="360" w:lineRule="auto"/>
      </w:pPr>
      <w:r>
        <w:rPr>
          <w:rFonts w:ascii="inter" w:hAnsi="inter" w:eastAsia="inter" w:cs="inter"/>
          <w:b/>
          <w:color w:val="000000"/>
        </w:rPr>
        <w:t>3. Victim Compensation Fund Feasibility Study</w:t>
      </w:r>
      <w:r>
        <w:rPr>
          <w:rFonts w:ascii="inter" w:hAnsi="inter" w:eastAsia="inter" w:cs="inter"/>
          <w:color w:val="000000"/>
        </w:rPr>
        <w:br w:type="textWrapping"/>
      </w:r>
      <w:r>
        <w:rPr>
          <w:rFonts w:ascii="inter" w:hAnsi="inter" w:eastAsia="inter" w:cs="inter"/>
          <w:color w:val="000000"/>
        </w:rPr>
        <w:t>Conduct NHTSA-commissioned feasibility study of autonomous vehicle victim compensation fund, modeling on 9/11 Compensation Fund precedent.</w:t>
      </w:r>
    </w:p>
    <w:p w14:paraId="3BDBDEBA">
      <w:pPr>
        <w:spacing w:after="210" w:line="360" w:lineRule="auto"/>
      </w:pPr>
      <w:r>
        <w:rPr>
          <w:rFonts w:ascii="inter" w:hAnsi="inter" w:eastAsia="inter" w:cs="inter"/>
          <w:color w:val="000000"/>
        </w:rPr>
        <w:t>Rationale: Provides alternative to tort litigation; balances victim protection with manufacturer incentives.</w:t>
      </w:r>
    </w:p>
    <w:p w14:paraId="5F3C090A">
      <w:pPr>
        <w:spacing w:before="315" w:after="105" w:line="360" w:lineRule="auto"/>
        <w:ind w:left="-30"/>
        <w:jc w:val="left"/>
      </w:pPr>
      <w:bookmarkStart w:id="218" w:name="d_manufacturer_level"/>
      <w:r>
        <w:rPr>
          <w:rFonts w:ascii="inter" w:hAnsi="inter" w:eastAsia="inter" w:cs="inter"/>
          <w:b/>
          <w:color w:val="000000"/>
          <w:sz w:val="24"/>
        </w:rPr>
        <w:t>D. Manufacturer Level</w:t>
      </w:r>
      <w:bookmarkEnd w:id="218"/>
    </w:p>
    <w:p w14:paraId="3FF73ED8">
      <w:pPr>
        <w:spacing w:after="210" w:line="360" w:lineRule="auto"/>
      </w:pPr>
      <w:r>
        <w:rPr>
          <w:rFonts w:ascii="inter" w:hAnsi="inter" w:eastAsia="inter" w:cs="inter"/>
          <w:b/>
          <w:color w:val="000000"/>
        </w:rPr>
        <w:t>1. Safety Assessment Self-Certification</w:t>
      </w:r>
      <w:r>
        <w:rPr>
          <w:rFonts w:ascii="inter" w:hAnsi="inter" w:eastAsia="inter" w:cs="inter"/>
          <w:color w:val="000000"/>
        </w:rPr>
        <w:br w:type="textWrapping"/>
      </w:r>
      <w:r>
        <w:rPr>
          <w:rFonts w:ascii="inter" w:hAnsi="inter" w:eastAsia="inter" w:cs="inter"/>
          <w:color w:val="000000"/>
        </w:rPr>
        <w:t>Develop robust in-house safety assessment and self-certification programs documenting:</w:t>
      </w:r>
    </w:p>
    <w:p w14:paraId="6C04B205">
      <w:pPr>
        <w:numPr>
          <w:ilvl w:val="0"/>
          <w:numId w:val="30"/>
        </w:numPr>
        <w:spacing w:before="105" w:after="105" w:line="360" w:lineRule="auto"/>
      </w:pPr>
      <w:r>
        <w:rPr>
          <w:rFonts w:ascii="inter" w:hAnsi="inter" w:eastAsia="inter" w:cs="inter"/>
          <w:color w:val="000000"/>
          <w:sz w:val="21"/>
        </w:rPr>
        <w:t>ODD definition and boundary justification</w:t>
      </w:r>
    </w:p>
    <w:p w14:paraId="69265652">
      <w:pPr>
        <w:numPr>
          <w:ilvl w:val="0"/>
          <w:numId w:val="30"/>
        </w:numPr>
        <w:spacing w:before="105" w:after="105" w:line="360" w:lineRule="auto"/>
      </w:pPr>
      <w:r>
        <w:rPr>
          <w:rFonts w:ascii="inter" w:hAnsi="inter" w:eastAsia="inter" w:cs="inter"/>
          <w:color w:val="000000"/>
          <w:sz w:val="21"/>
        </w:rPr>
        <w:t>Hazard analysis and risk assessment (ISO 26262 ASIL determination)</w:t>
      </w:r>
    </w:p>
    <w:p w14:paraId="2FDDE0C1">
      <w:pPr>
        <w:numPr>
          <w:ilvl w:val="0"/>
          <w:numId w:val="30"/>
        </w:numPr>
        <w:spacing w:before="105" w:after="105" w:line="360" w:lineRule="auto"/>
      </w:pPr>
      <w:r>
        <w:rPr>
          <w:rFonts w:ascii="inter" w:hAnsi="inter" w:eastAsia="inter" w:cs="inter"/>
          <w:color w:val="000000"/>
          <w:sz w:val="21"/>
        </w:rPr>
        <w:t>Testing and validation protocols</w:t>
      </w:r>
    </w:p>
    <w:p w14:paraId="301AE9B1">
      <w:pPr>
        <w:numPr>
          <w:ilvl w:val="0"/>
          <w:numId w:val="30"/>
        </w:numPr>
        <w:spacing w:before="105" w:after="105" w:line="360" w:lineRule="auto"/>
      </w:pPr>
      <w:r>
        <w:rPr>
          <w:rFonts w:ascii="inter" w:hAnsi="inter" w:eastAsia="inter" w:cs="inter"/>
          <w:color w:val="000000"/>
          <w:sz w:val="21"/>
        </w:rPr>
        <w:t>Transition demand design rationale</w:t>
      </w:r>
    </w:p>
    <w:p w14:paraId="76CBA665">
      <w:pPr>
        <w:numPr>
          <w:ilvl w:val="0"/>
          <w:numId w:val="30"/>
        </w:numPr>
        <w:spacing w:before="105" w:after="105" w:line="360" w:lineRule="auto"/>
      </w:pPr>
      <w:r>
        <w:rPr>
          <w:rFonts w:ascii="inter" w:hAnsi="inter" w:eastAsia="inter" w:cs="inter"/>
          <w:color w:val="000000"/>
          <w:sz w:val="21"/>
        </w:rPr>
        <w:t>Cybersecurity vulnerability management procedures</w:t>
      </w:r>
    </w:p>
    <w:p w14:paraId="3ABDB817">
      <w:pPr>
        <w:numPr>
          <w:ilvl w:val="0"/>
          <w:numId w:val="30"/>
        </w:numPr>
        <w:spacing w:before="105" w:after="105" w:line="360" w:lineRule="auto"/>
      </w:pPr>
      <w:r>
        <w:rPr>
          <w:rFonts w:ascii="inter" w:hAnsi="inter" w:eastAsia="inter" w:cs="inter"/>
          <w:color w:val="000000"/>
          <w:sz w:val="21"/>
        </w:rPr>
        <w:t>Post-sale update procedures and safety verification</w:t>
      </w:r>
    </w:p>
    <w:p w14:paraId="0D797545">
      <w:pPr>
        <w:spacing w:after="210" w:line="360" w:lineRule="auto"/>
      </w:pPr>
      <w:r>
        <w:rPr>
          <w:rFonts w:ascii="inter" w:hAnsi="inter" w:eastAsia="inter" w:cs="inter"/>
          <w:color w:val="000000"/>
        </w:rPr>
        <w:t>Rationale: Supports regulatory compliance; provides evidence of adherence to standard of care in litigation; enables rapid response to safety concerns.</w:t>
      </w:r>
    </w:p>
    <w:p w14:paraId="16BA3596">
      <w:pPr>
        <w:spacing w:after="210" w:line="360" w:lineRule="auto"/>
      </w:pPr>
      <w:r>
        <w:rPr>
          <w:rFonts w:ascii="inter" w:hAnsi="inter" w:eastAsia="inter" w:cs="inter"/>
          <w:b/>
          <w:color w:val="000000"/>
        </w:rPr>
        <w:t>2. DSSAD Data Architecture</w:t>
      </w:r>
      <w:r>
        <w:rPr>
          <w:rFonts w:ascii="inter" w:hAnsi="inter" w:eastAsia="inter" w:cs="inter"/>
          <w:color w:val="000000"/>
        </w:rPr>
        <w:br w:type="textWrapping"/>
      </w:r>
      <w:r>
        <w:rPr>
          <w:rFonts w:ascii="inter" w:hAnsi="inter" w:eastAsia="inter" w:cs="inter"/>
          <w:color w:val="000000"/>
        </w:rPr>
        <w:t>Implement comprehensive DSSAD recording capturing critical data elements for accident reconstruction:</w:t>
      </w:r>
    </w:p>
    <w:p w14:paraId="09FD7D21">
      <w:pPr>
        <w:numPr>
          <w:ilvl w:val="0"/>
          <w:numId w:val="31"/>
        </w:numPr>
        <w:spacing w:before="105" w:after="105" w:line="360" w:lineRule="auto"/>
      </w:pPr>
      <w:r>
        <w:rPr>
          <w:rFonts w:ascii="inter" w:hAnsi="inter" w:eastAsia="inter" w:cs="inter"/>
          <w:color w:val="000000"/>
          <w:sz w:val="21"/>
        </w:rPr>
        <w:t>Sensor inputs and sensor health status</w:t>
      </w:r>
    </w:p>
    <w:p w14:paraId="3C82994F">
      <w:pPr>
        <w:numPr>
          <w:ilvl w:val="0"/>
          <w:numId w:val="31"/>
        </w:numPr>
        <w:spacing w:before="105" w:after="105" w:line="360" w:lineRule="auto"/>
      </w:pPr>
      <w:r>
        <w:rPr>
          <w:rFonts w:ascii="inter" w:hAnsi="inter" w:eastAsia="inter" w:cs="inter"/>
          <w:color w:val="000000"/>
          <w:sz w:val="21"/>
        </w:rPr>
        <w:t>Perception system outputs</w:t>
      </w:r>
    </w:p>
    <w:p w14:paraId="172A765D">
      <w:pPr>
        <w:numPr>
          <w:ilvl w:val="0"/>
          <w:numId w:val="31"/>
        </w:numPr>
        <w:spacing w:before="105" w:after="105" w:line="360" w:lineRule="auto"/>
      </w:pPr>
      <w:r>
        <w:rPr>
          <w:rFonts w:ascii="inter" w:hAnsi="inter" w:eastAsia="inter" w:cs="inter"/>
          <w:color w:val="000000"/>
          <w:sz w:val="21"/>
        </w:rPr>
        <w:t>Planning and decision logic state</w:t>
      </w:r>
    </w:p>
    <w:p w14:paraId="65F27D47">
      <w:pPr>
        <w:numPr>
          <w:ilvl w:val="0"/>
          <w:numId w:val="31"/>
        </w:numPr>
        <w:spacing w:before="105" w:after="105" w:line="360" w:lineRule="auto"/>
      </w:pPr>
      <w:r>
        <w:rPr>
          <w:rFonts w:ascii="inter" w:hAnsi="inter" w:eastAsia="inter" w:cs="inter"/>
          <w:color w:val="000000"/>
          <w:sz w:val="21"/>
        </w:rPr>
        <w:t>Control signal outputs</w:t>
      </w:r>
    </w:p>
    <w:p w14:paraId="7129F5B3">
      <w:pPr>
        <w:numPr>
          <w:ilvl w:val="0"/>
          <w:numId w:val="31"/>
        </w:numPr>
        <w:spacing w:before="105" w:after="105" w:line="360" w:lineRule="auto"/>
      </w:pPr>
      <w:r>
        <w:rPr>
          <w:rFonts w:ascii="inter" w:hAnsi="inter" w:eastAsia="inter" w:cs="inter"/>
          <w:color w:val="000000"/>
          <w:sz w:val="21"/>
        </w:rPr>
        <w:t>Transition demand issuance and driver response</w:t>
      </w:r>
    </w:p>
    <w:p w14:paraId="3B0068A8">
      <w:pPr>
        <w:numPr>
          <w:ilvl w:val="0"/>
          <w:numId w:val="31"/>
        </w:numPr>
        <w:spacing w:before="105" w:after="105" w:line="360" w:lineRule="auto"/>
      </w:pPr>
      <w:r>
        <w:rPr>
          <w:rFonts w:ascii="inter" w:hAnsi="inter" w:eastAsia="inter" w:cs="inter"/>
          <w:color w:val="000000"/>
          <w:sz w:val="21"/>
        </w:rPr>
        <w:t>System failure flags and mode transitions</w:t>
      </w:r>
    </w:p>
    <w:p w14:paraId="31BE1DD8">
      <w:pPr>
        <w:spacing w:after="210" w:line="360" w:lineRule="auto"/>
      </w:pPr>
      <w:r>
        <w:rPr>
          <w:rFonts w:ascii="inter" w:hAnsi="inter" w:eastAsia="inter" w:cs="inter"/>
          <w:color w:val="000000"/>
        </w:rPr>
        <w:t>Design for tamper-proof, time-stamped recording with rapid access capabilities.</w:t>
      </w:r>
    </w:p>
    <w:p w14:paraId="17E42477">
      <w:pPr>
        <w:spacing w:after="210" w:line="360" w:lineRule="auto"/>
      </w:pPr>
      <w:r>
        <w:rPr>
          <w:rFonts w:ascii="inter" w:hAnsi="inter" w:eastAsia="inter" w:cs="inter"/>
          <w:b/>
          <w:color w:val="000000"/>
        </w:rPr>
        <w:t>3. Transition Demand Testing</w:t>
      </w:r>
      <w:r>
        <w:rPr>
          <w:rFonts w:ascii="inter" w:hAnsi="inter" w:eastAsia="inter" w:cs="inter"/>
          <w:color w:val="000000"/>
        </w:rPr>
        <w:br w:type="textWrapping"/>
      </w:r>
      <w:r>
        <w:rPr>
          <w:rFonts w:ascii="inter" w:hAnsi="inter" w:eastAsia="inter" w:cs="inter"/>
          <w:color w:val="000000"/>
        </w:rPr>
        <w:t>Conduct empirical testing of transition demand design across diverse driver populations (age ranges, disability accommodations), establishing that drivers can reliably perceive, comprehend, and respond within specified reaction time windows.</w:t>
      </w:r>
    </w:p>
    <w:p w14:paraId="191793AE">
      <w:pPr>
        <w:spacing w:after="210" w:line="360" w:lineRule="auto"/>
      </w:pPr>
      <w:r>
        <w:rPr>
          <w:rFonts w:ascii="inter" w:hAnsi="inter" w:eastAsia="inter" w:cs="inter"/>
          <w:color w:val="000000"/>
        </w:rPr>
        <w:t>Document testing protocols and results; provide to regulators as part of authorization applications.</w:t>
      </w:r>
    </w:p>
    <w:p w14:paraId="48A17133">
      <w:pPr>
        <w:spacing w:after="210" w:line="360" w:lineRule="auto"/>
      </w:pPr>
      <w:r>
        <w:rPr>
          <w:rFonts w:ascii="inter" w:hAnsi="inter" w:eastAsia="inter" w:cs="inter"/>
          <w:b/>
          <w:color w:val="000000"/>
        </w:rPr>
        <w:t>4. Cybersecurity Governance</w:t>
      </w:r>
      <w:r>
        <w:rPr>
          <w:rFonts w:ascii="inter" w:hAnsi="inter" w:eastAsia="inter" w:cs="inter"/>
          <w:color w:val="000000"/>
        </w:rPr>
        <w:br w:type="textWrapping"/>
      </w:r>
      <w:r>
        <w:rPr>
          <w:rFonts w:ascii="inter" w:hAnsi="inter" w:eastAsia="inter" w:cs="inter"/>
          <w:color w:val="000000"/>
        </w:rPr>
        <w:t>Establish cybersecurity governance framework including:</w:t>
      </w:r>
    </w:p>
    <w:p w14:paraId="17F205BB">
      <w:pPr>
        <w:numPr>
          <w:ilvl w:val="0"/>
          <w:numId w:val="32"/>
        </w:numPr>
        <w:spacing w:before="105" w:after="105" w:line="360" w:lineRule="auto"/>
      </w:pPr>
      <w:r>
        <w:rPr>
          <w:rFonts w:ascii="inter" w:hAnsi="inter" w:eastAsia="inter" w:cs="inter"/>
          <w:color w:val="000000"/>
          <w:sz w:val="21"/>
        </w:rPr>
        <w:t>Vulnerability disclosure and assessment protocols</w:t>
      </w:r>
    </w:p>
    <w:p w14:paraId="30007E61">
      <w:pPr>
        <w:numPr>
          <w:ilvl w:val="0"/>
          <w:numId w:val="32"/>
        </w:numPr>
        <w:spacing w:before="105" w:after="105" w:line="360" w:lineRule="auto"/>
      </w:pPr>
      <w:r>
        <w:rPr>
          <w:rFonts w:ascii="inter" w:hAnsi="inter" w:eastAsia="inter" w:cs="inter"/>
          <w:color w:val="000000"/>
          <w:sz w:val="21"/>
        </w:rPr>
        <w:t>Remediation timelines (e.g., 30 days for known vulnerabilities)</w:t>
      </w:r>
    </w:p>
    <w:p w14:paraId="5D5A68AA">
      <w:pPr>
        <w:numPr>
          <w:ilvl w:val="0"/>
          <w:numId w:val="32"/>
        </w:numPr>
        <w:spacing w:before="105" w:after="105" w:line="360" w:lineRule="auto"/>
      </w:pPr>
      <w:r>
        <w:rPr>
          <w:rFonts w:ascii="inter" w:hAnsi="inter" w:eastAsia="inter" w:cs="inter"/>
          <w:color w:val="000000"/>
          <w:sz w:val="21"/>
        </w:rPr>
        <w:t>OTA update testing and safety verification procedures</w:t>
      </w:r>
    </w:p>
    <w:p w14:paraId="10B4202B">
      <w:pPr>
        <w:numPr>
          <w:ilvl w:val="0"/>
          <w:numId w:val="32"/>
        </w:numPr>
        <w:spacing w:before="105" w:after="105" w:line="360" w:lineRule="auto"/>
      </w:pPr>
      <w:r>
        <w:rPr>
          <w:rFonts w:ascii="inter" w:hAnsi="inter" w:eastAsia="inter" w:cs="inter"/>
          <w:color w:val="000000"/>
          <w:sz w:val="21"/>
        </w:rPr>
        <w:t>Vulnerability registry maintenance and regulatory reporting</w:t>
      </w:r>
    </w:p>
    <w:p w14:paraId="4BF8F407">
      <w:pPr>
        <w:numPr>
          <w:ilvl w:val="0"/>
          <w:numId w:val="32"/>
        </w:numPr>
        <w:spacing w:before="105" w:after="105" w:line="360" w:lineRule="auto"/>
      </w:pPr>
      <w:r>
        <w:rPr>
          <w:rFonts w:ascii="inter" w:hAnsi="inter" w:eastAsia="inter" w:cs="inter"/>
          <w:color w:val="000000"/>
          <w:sz w:val="21"/>
        </w:rPr>
        <w:t>Post-sale security monitoring and threat intelligence integration</w:t>
      </w:r>
    </w:p>
    <w:p w14:paraId="46A2ACAE">
      <w:pPr>
        <w:spacing w:before="210" w:after="0" w:line="360" w:lineRule="auto"/>
      </w:pPr>
      <w:r>
        <w:pict>
          <v:rect id="_x0000_s1035" o:spid="_x0000_s1035" o:spt="1" style="height:0.05pt;width:475.5pt;" coordsize="21600,21600">
            <v:path/>
            <v:fill focussize="0,0"/>
            <v:stroke weight="1pt" color="#000000" opacity="0f"/>
            <v:imagedata o:title=""/>
            <o:lock v:ext="edit"/>
            <w10:wrap type="none"/>
            <w10:anchorlock/>
          </v:rect>
        </w:pict>
      </w:r>
    </w:p>
    <w:p w14:paraId="5139E9B5">
      <w:pPr>
        <w:spacing w:before="315" w:after="105" w:line="360" w:lineRule="auto"/>
        <w:ind w:left="-30"/>
        <w:jc w:val="left"/>
      </w:pPr>
      <w:bookmarkStart w:id="219" w:name="ix_case_law_analysis_and_preceden_720aa8"/>
      <w:r>
        <w:rPr>
          <w:rFonts w:ascii="inter" w:hAnsi="inter" w:eastAsia="inter" w:cs="inter"/>
          <w:b/>
          <w:color w:val="000000"/>
          <w:sz w:val="24"/>
        </w:rPr>
        <w:t>IX. CASE LAW ANALYSIS AND PRECEDENT EVOLUTION</w:t>
      </w:r>
      <w:bookmarkEnd w:id="219"/>
    </w:p>
    <w:p w14:paraId="2C7C1E9A">
      <w:pPr>
        <w:spacing w:before="315" w:after="105" w:line="360" w:lineRule="auto"/>
        <w:ind w:left="-30"/>
        <w:jc w:val="left"/>
      </w:pPr>
      <w:bookmarkStart w:id="220" w:name="a_uber_tempe_accident_2018"/>
      <w:r>
        <w:rPr>
          <w:rFonts w:ascii="inter" w:hAnsi="inter" w:eastAsia="inter" w:cs="inter"/>
          <w:b/>
          <w:color w:val="000000"/>
          <w:sz w:val="24"/>
        </w:rPr>
        <w:t>A. Uber Tempe Accident (2018)</w:t>
      </w:r>
      <w:bookmarkEnd w:id="220"/>
    </w:p>
    <w:p w14:paraId="1BD4E10F">
      <w:pPr>
        <w:spacing w:after="210" w:line="360" w:lineRule="auto"/>
      </w:pPr>
      <w:r>
        <w:rPr>
          <w:rFonts w:ascii="inter" w:hAnsi="inter" w:eastAsia="inter" w:cs="inter"/>
          <w:color w:val="000000"/>
        </w:rPr>
        <w:t>The March 2018 Uber self-driving car fatality in Tempe, Arizona represents the first widely-publicized autonomous vehicle pedestrian death. Investigation revealed multiple causation factors:</w:t>
      </w:r>
      <w:bookmarkStart w:id="221" w:name="fnref40"/>
      <w:bookmarkEnd w:id="221"/>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222" w:name="fnref41"/>
      <w:bookmarkEnd w:id="222"/>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0BEFD730">
      <w:pPr>
        <w:spacing w:after="210" w:line="360" w:lineRule="auto"/>
      </w:pPr>
      <w:r>
        <w:rPr>
          <w:rFonts w:ascii="inter" w:hAnsi="inter" w:eastAsia="inter" w:cs="inter"/>
          <w:b/>
          <w:color w:val="000000"/>
        </w:rPr>
        <w:t>System Failures</w:t>
      </w:r>
    </w:p>
    <w:p w14:paraId="2EF7CFCA">
      <w:pPr>
        <w:numPr>
          <w:ilvl w:val="0"/>
          <w:numId w:val="33"/>
        </w:numPr>
        <w:spacing w:before="105" w:after="105" w:line="360" w:lineRule="auto"/>
      </w:pPr>
      <w:r>
        <w:rPr>
          <w:rFonts w:ascii="inter" w:hAnsi="inter" w:eastAsia="inter" w:cs="inter"/>
          <w:color w:val="000000"/>
          <w:sz w:val="21"/>
        </w:rPr>
        <w:t>Perception system failed to classify pedestrian (jaywalker crossing at night) as vehicle</w:t>
      </w:r>
      <w:bookmarkStart w:id="223" w:name="fnref8_15"/>
      <w:bookmarkEnd w:id="22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224" w:name="fnref40_1"/>
      <w:bookmarkEnd w:id="224"/>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p>
    <w:p w14:paraId="7A357BD5">
      <w:pPr>
        <w:numPr>
          <w:ilvl w:val="0"/>
          <w:numId w:val="33"/>
        </w:numPr>
        <w:spacing w:before="105" w:after="105" w:line="360" w:lineRule="auto"/>
      </w:pPr>
      <w:r>
        <w:rPr>
          <w:rFonts w:ascii="inter" w:hAnsi="inter" w:eastAsia="inter" w:cs="inter"/>
          <w:color w:val="000000"/>
          <w:sz w:val="21"/>
        </w:rPr>
        <w:t>Automated braking was suppressed to allow system verification and human override</w:t>
      </w:r>
      <w:bookmarkStart w:id="225" w:name="fnref8_16"/>
      <w:bookmarkEnd w:id="225"/>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0F1B8ECC">
      <w:pPr>
        <w:numPr>
          <w:ilvl w:val="0"/>
          <w:numId w:val="33"/>
        </w:numPr>
        <w:spacing w:before="105" w:after="105" w:line="360" w:lineRule="auto"/>
      </w:pPr>
      <w:r>
        <w:rPr>
          <w:rFonts w:ascii="inter" w:hAnsi="inter" w:eastAsia="inter" w:cs="inter"/>
          <w:color w:val="000000"/>
          <w:sz w:val="21"/>
        </w:rPr>
        <w:t>One-second delay in emergency braking deployment reduced collision avoidance opportunity</w:t>
      </w:r>
      <w:bookmarkStart w:id="226" w:name="fnref8_17"/>
      <w:bookmarkEnd w:id="226"/>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14DDF4C0">
      <w:pPr>
        <w:spacing w:after="210" w:line="360" w:lineRule="auto"/>
      </w:pPr>
      <w:r>
        <w:rPr>
          <w:rFonts w:ascii="inter" w:hAnsi="inter" w:eastAsia="inter" w:cs="inter"/>
          <w:b/>
          <w:color w:val="000000"/>
        </w:rPr>
        <w:t>Safety Driver Failure</w:t>
      </w:r>
    </w:p>
    <w:p w14:paraId="14BA4B18">
      <w:pPr>
        <w:numPr>
          <w:ilvl w:val="0"/>
          <w:numId w:val="34"/>
        </w:numPr>
        <w:spacing w:before="105" w:after="105" w:line="360" w:lineRule="auto"/>
      </w:pPr>
      <w:r>
        <w:rPr>
          <w:rFonts w:ascii="inter" w:hAnsi="inter" w:eastAsia="inter" w:cs="inter"/>
          <w:color w:val="000000"/>
          <w:sz w:val="21"/>
        </w:rPr>
        <w:t>Safety driver was distracted; prosecution claimed watching "The Voice" television program</w:t>
      </w:r>
      <w:bookmarkStart w:id="227" w:name="fnref8_18"/>
      <w:bookmarkEnd w:id="22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4146493B">
      <w:pPr>
        <w:numPr>
          <w:ilvl w:val="0"/>
          <w:numId w:val="34"/>
        </w:numPr>
        <w:spacing w:before="105" w:after="105" w:line="360" w:lineRule="auto"/>
      </w:pPr>
      <w:r>
        <w:rPr>
          <w:rFonts w:ascii="inter" w:hAnsi="inter" w:eastAsia="inter" w:cs="inter"/>
          <w:color w:val="000000"/>
          <w:sz w:val="21"/>
        </w:rPr>
        <w:t>Inadequate real-time monitoring despite responsibility to intervene in emergencies</w:t>
      </w:r>
      <w:bookmarkStart w:id="228" w:name="fnref8_19"/>
      <w:bookmarkEnd w:id="228"/>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20D81F88">
      <w:pPr>
        <w:spacing w:after="210" w:line="360" w:lineRule="auto"/>
      </w:pPr>
      <w:r>
        <w:rPr>
          <w:rFonts w:ascii="inter" w:hAnsi="inter" w:eastAsia="inter" w:cs="inter"/>
          <w:b/>
          <w:color w:val="000000"/>
        </w:rPr>
        <w:t>Liability Resolution</w:t>
      </w:r>
    </w:p>
    <w:p w14:paraId="549A0AA3">
      <w:pPr>
        <w:numPr>
          <w:ilvl w:val="0"/>
          <w:numId w:val="35"/>
        </w:numPr>
        <w:spacing w:before="105" w:after="105" w:line="360" w:lineRule="auto"/>
      </w:pPr>
      <w:r>
        <w:rPr>
          <w:rFonts w:ascii="inter" w:hAnsi="inter" w:eastAsia="inter" w:cs="inter"/>
          <w:color w:val="000000"/>
          <w:sz w:val="21"/>
        </w:rPr>
        <w:t>NTSB investigation determined system design deficiency (failure to consider jaywalking pedestrians) contributed</w:t>
      </w:r>
      <w:bookmarkStart w:id="229" w:name="fnref40_2"/>
      <w:bookmarkEnd w:id="229"/>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30" w:name="fnref8_20"/>
      <w:bookmarkEnd w:id="23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76F7D61">
      <w:pPr>
        <w:numPr>
          <w:ilvl w:val="0"/>
          <w:numId w:val="35"/>
        </w:numPr>
        <w:spacing w:before="105" w:after="105" w:line="360" w:lineRule="auto"/>
      </w:pPr>
      <w:r>
        <w:rPr>
          <w:rFonts w:ascii="inter" w:hAnsi="inter" w:eastAsia="inter" w:cs="inter"/>
          <w:color w:val="000000"/>
          <w:sz w:val="21"/>
        </w:rPr>
        <w:t>Uber chose not to face criminal prosecution; case settled civilly with family</w:t>
      </w:r>
      <w:bookmarkStart w:id="231" w:name="fnref40_3"/>
      <w:bookmarkEnd w:id="231"/>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p>
    <w:p w14:paraId="55F4CDA7">
      <w:pPr>
        <w:numPr>
          <w:ilvl w:val="0"/>
          <w:numId w:val="35"/>
        </w:numPr>
        <w:spacing w:before="105" w:after="105" w:line="360" w:lineRule="auto"/>
      </w:pPr>
      <w:r>
        <w:rPr>
          <w:rFonts w:ascii="inter" w:hAnsi="inter" w:eastAsia="inter" w:cs="inter"/>
          <w:color w:val="000000"/>
          <w:sz w:val="21"/>
        </w:rPr>
        <w:t>Safety driver prosecuted for negligent homicide; case ongoing as of 2025</w:t>
      </w:r>
      <w:bookmarkStart w:id="232" w:name="fnref40_4"/>
      <w:bookmarkEnd w:id="232"/>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33" w:name="fnref8_21"/>
      <w:bookmarkEnd w:id="233"/>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3CD4FBC3">
      <w:pPr>
        <w:spacing w:after="210" w:line="360" w:lineRule="auto"/>
      </w:pPr>
      <w:r>
        <w:rPr>
          <w:rFonts w:ascii="inter" w:hAnsi="inter" w:eastAsia="inter" w:cs="inter"/>
          <w:b/>
          <w:color w:val="000000"/>
        </w:rPr>
        <w:t>Legal Significance</w:t>
      </w:r>
      <w:r>
        <w:rPr>
          <w:rFonts w:ascii="inter" w:hAnsi="inter" w:eastAsia="inter" w:cs="inter"/>
          <w:color w:val="000000"/>
        </w:rPr>
        <w:br w:type="textWrapping"/>
      </w:r>
      <w:r>
        <w:rPr>
          <w:rFonts w:ascii="inter" w:hAnsi="inter" w:eastAsia="inter" w:cs="inter"/>
          <w:color w:val="000000"/>
        </w:rPr>
        <w:t>The case never proceeded to full litigation, limiting precedent value. However, it exposed critical vulnerabilities: system design inadequacy, safety driver unreliability, and inadequate real-time monitoring. The investigation demonstrated that manufacturer design decisions (braking suppression) directly impacted accident severity.</w:t>
      </w:r>
      <w:bookmarkStart w:id="234" w:name="fnref40_5"/>
      <w:bookmarkEnd w:id="234"/>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bookmarkStart w:id="235" w:name="fnref8_22"/>
      <w:bookmarkEnd w:id="23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02DB8460">
      <w:pPr>
        <w:spacing w:before="315" w:after="105" w:line="360" w:lineRule="auto"/>
        <w:ind w:left="-30"/>
        <w:jc w:val="left"/>
      </w:pPr>
      <w:bookmarkStart w:id="236" w:name="b_emerging_litigation_patterns"/>
      <w:r>
        <w:rPr>
          <w:rFonts w:ascii="inter" w:hAnsi="inter" w:eastAsia="inter" w:cs="inter"/>
          <w:b/>
          <w:color w:val="000000"/>
          <w:sz w:val="24"/>
        </w:rPr>
        <w:t>B. Emerging Litigation Patterns</w:t>
      </w:r>
      <w:bookmarkEnd w:id="236"/>
    </w:p>
    <w:p w14:paraId="44F09EBE">
      <w:pPr>
        <w:spacing w:after="210" w:line="360" w:lineRule="auto"/>
      </w:pPr>
      <w:r>
        <w:rPr>
          <w:rFonts w:ascii="inter" w:hAnsi="inter" w:eastAsia="inter" w:cs="inter"/>
          <w:color w:val="000000"/>
        </w:rPr>
        <w:t>US courts are beginning to grapple with autonomous vehicle liability. Patterns include:</w:t>
      </w:r>
      <w:bookmarkStart w:id="237" w:name="fnref22_3"/>
      <w:bookmarkEnd w:id="237"/>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238" w:name="fnref42"/>
      <w:bookmarkEnd w:id="238"/>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239" w:name="fnref41_1"/>
      <w:bookmarkEnd w:id="239"/>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p>
    <w:p w14:paraId="7DAF85CE">
      <w:pPr>
        <w:spacing w:after="210" w:line="360" w:lineRule="auto"/>
      </w:pPr>
      <w:r>
        <w:rPr>
          <w:rFonts w:ascii="inter" w:hAnsi="inter" w:eastAsia="inter" w:cs="inter"/>
          <w:b/>
          <w:color w:val="000000"/>
        </w:rPr>
        <w:t>Manufacturer Product Liability</w:t>
      </w:r>
      <w:r>
        <w:rPr>
          <w:rFonts w:ascii="inter" w:hAnsi="inter" w:eastAsia="inter" w:cs="inter"/>
          <w:color w:val="000000"/>
        </w:rPr>
        <w:br w:type="textWrapping"/>
      </w:r>
      <w:r>
        <w:rPr>
          <w:rFonts w:ascii="inter" w:hAnsi="inter" w:eastAsia="inter" w:cs="inter"/>
          <w:color w:val="000000"/>
        </w:rPr>
        <w:t>Plaintiffs increasingly assert design defect claims, alleging that ADS design failed to meet applicable standards of care. Defect theories include:</w:t>
      </w:r>
      <w:bookmarkStart w:id="240" w:name="fnref5_9"/>
      <w:bookmarkEnd w:id="24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241" w:name="fnref22_4"/>
      <w:bookmarkEnd w:id="241"/>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57FFDCD7">
      <w:pPr>
        <w:numPr>
          <w:ilvl w:val="0"/>
          <w:numId w:val="36"/>
        </w:numPr>
        <w:spacing w:before="105" w:after="105" w:line="360" w:lineRule="auto"/>
      </w:pPr>
      <w:r>
        <w:rPr>
          <w:rFonts w:ascii="inter" w:hAnsi="inter" w:eastAsia="inter" w:cs="inter"/>
          <w:color w:val="000000"/>
          <w:sz w:val="21"/>
        </w:rPr>
        <w:t>Perception failures (failure to detect foreseeable obstacles)</w:t>
      </w:r>
    </w:p>
    <w:p w14:paraId="19A7B5F0">
      <w:pPr>
        <w:numPr>
          <w:ilvl w:val="0"/>
          <w:numId w:val="36"/>
        </w:numPr>
        <w:spacing w:before="105" w:after="105" w:line="360" w:lineRule="auto"/>
      </w:pPr>
      <w:r>
        <w:rPr>
          <w:rFonts w:ascii="inter" w:hAnsi="inter" w:eastAsia="inter" w:cs="inter"/>
          <w:color w:val="000000"/>
          <w:sz w:val="21"/>
        </w:rPr>
        <w:t>Planning failures (unreasonable driving decisions)</w:t>
      </w:r>
    </w:p>
    <w:p w14:paraId="688E71DC">
      <w:pPr>
        <w:numPr>
          <w:ilvl w:val="0"/>
          <w:numId w:val="36"/>
        </w:numPr>
        <w:spacing w:before="105" w:after="105" w:line="360" w:lineRule="auto"/>
      </w:pPr>
      <w:r>
        <w:rPr>
          <w:rFonts w:ascii="inter" w:hAnsi="inter" w:eastAsia="inter" w:cs="inter"/>
          <w:color w:val="000000"/>
          <w:sz w:val="21"/>
        </w:rPr>
        <w:t>Control failures (inadequate braking or evasive capability)</w:t>
      </w:r>
    </w:p>
    <w:p w14:paraId="299231F6">
      <w:pPr>
        <w:numPr>
          <w:ilvl w:val="0"/>
          <w:numId w:val="36"/>
        </w:numPr>
        <w:spacing w:before="105" w:after="105" w:line="360" w:lineRule="auto"/>
      </w:pPr>
      <w:r>
        <w:rPr>
          <w:rFonts w:ascii="inter" w:hAnsi="inter" w:eastAsia="inter" w:cs="inter"/>
          <w:color w:val="000000"/>
          <w:sz w:val="21"/>
        </w:rPr>
        <w:t>Software failures (algorithmic errors in decision-making)</w:t>
      </w:r>
      <w:bookmarkStart w:id="242" w:name="fnref22_5"/>
      <w:bookmarkEnd w:id="242"/>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243" w:name="fnref5_10"/>
      <w:bookmarkEnd w:id="243"/>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27CBAD5C">
      <w:pPr>
        <w:spacing w:after="210" w:line="360" w:lineRule="auto"/>
      </w:pPr>
      <w:r>
        <w:rPr>
          <w:rFonts w:ascii="inter" w:hAnsi="inter" w:eastAsia="inter" w:cs="inter"/>
          <w:b/>
          <w:color w:val="000000"/>
        </w:rPr>
        <w:t>Causation Challenges</w:t>
      </w:r>
      <w:r>
        <w:rPr>
          <w:rFonts w:ascii="inter" w:hAnsi="inter" w:eastAsia="inter" w:cs="inter"/>
          <w:color w:val="000000"/>
        </w:rPr>
        <w:br w:type="textWrapping"/>
      </w:r>
      <w:r>
        <w:rPr>
          <w:rFonts w:ascii="inter" w:hAnsi="inter" w:eastAsia="inter" w:cs="inter"/>
          <w:color w:val="000000"/>
        </w:rPr>
        <w:t>Establishing causation for software defects requires expert testimony explaining:</w:t>
      </w:r>
      <w:bookmarkStart w:id="244" w:name="fnref5_11"/>
      <w:bookmarkEnd w:id="244"/>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245" w:name="fnref22_6"/>
      <w:bookmarkEnd w:id="24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7812601A">
      <w:pPr>
        <w:numPr>
          <w:ilvl w:val="0"/>
          <w:numId w:val="37"/>
        </w:numPr>
        <w:spacing w:before="105" w:after="105" w:line="360" w:lineRule="auto"/>
      </w:pPr>
      <w:r>
        <w:rPr>
          <w:rFonts w:ascii="inter" w:hAnsi="inter" w:eastAsia="inter" w:cs="inter"/>
          <w:color w:val="000000"/>
          <w:sz w:val="21"/>
        </w:rPr>
        <w:t>Training data quality and representativeness</w:t>
      </w:r>
    </w:p>
    <w:p w14:paraId="4E87DD3C">
      <w:pPr>
        <w:numPr>
          <w:ilvl w:val="0"/>
          <w:numId w:val="37"/>
        </w:numPr>
        <w:spacing w:before="105" w:after="105" w:line="360" w:lineRule="auto"/>
      </w:pPr>
      <w:r>
        <w:rPr>
          <w:rFonts w:ascii="inter" w:hAnsi="inter" w:eastAsia="inter" w:cs="inter"/>
          <w:color w:val="000000"/>
          <w:sz w:val="21"/>
        </w:rPr>
        <w:t>Algorithmic correctness</w:t>
      </w:r>
    </w:p>
    <w:p w14:paraId="46807022">
      <w:pPr>
        <w:numPr>
          <w:ilvl w:val="0"/>
          <w:numId w:val="37"/>
        </w:numPr>
        <w:spacing w:before="105" w:after="105" w:line="360" w:lineRule="auto"/>
      </w:pPr>
      <w:r>
        <w:rPr>
          <w:rFonts w:ascii="inter" w:hAnsi="inter" w:eastAsia="inter" w:cs="inter"/>
          <w:color w:val="000000"/>
          <w:sz w:val="21"/>
        </w:rPr>
        <w:t>Testing protocols and coverage</w:t>
      </w:r>
    </w:p>
    <w:p w14:paraId="7A59A13E">
      <w:pPr>
        <w:numPr>
          <w:ilvl w:val="0"/>
          <w:numId w:val="37"/>
        </w:numPr>
        <w:spacing w:before="105" w:after="105" w:line="360" w:lineRule="auto"/>
      </w:pPr>
      <w:r>
        <w:rPr>
          <w:rFonts w:ascii="inter" w:hAnsi="inter" w:eastAsia="inter" w:cs="inter"/>
          <w:color w:val="000000"/>
          <w:sz w:val="21"/>
        </w:rPr>
        <w:t>Adherence to industry standards (ISO 26262, SOTIF, ACEA Code of Practice)</w:t>
      </w:r>
      <w:bookmarkStart w:id="246" w:name="fnref22_7"/>
      <w:bookmarkEnd w:id="246"/>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247" w:name="fnref5_12"/>
      <w:bookmarkEnd w:id="247"/>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p>
    <w:p w14:paraId="7EEAD61F">
      <w:pPr>
        <w:spacing w:after="210" w:line="360" w:lineRule="auto"/>
      </w:pPr>
      <w:r>
        <w:rPr>
          <w:rFonts w:ascii="inter" w:hAnsi="inter" w:eastAsia="inter" w:cs="inter"/>
          <w:color w:val="000000"/>
        </w:rPr>
        <w:t>Courts struggle with these technical complexities; some jurisdictions require Daubert motions establishing expert qualifications before admitting algorithmic defect testimony.</w:t>
      </w:r>
      <w:bookmarkStart w:id="248" w:name="fnref5_13"/>
      <w:bookmarkEnd w:id="24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04EADF05">
      <w:pPr>
        <w:spacing w:after="210" w:line="360" w:lineRule="auto"/>
      </w:pPr>
      <w:r>
        <w:rPr>
          <w:rFonts w:ascii="inter" w:hAnsi="inter" w:eastAsia="inter" w:cs="inter"/>
          <w:b/>
          <w:color w:val="000000"/>
        </w:rPr>
        <w:t>Safety Driver Liability</w:t>
      </w:r>
      <w:r>
        <w:rPr>
          <w:rFonts w:ascii="inter" w:hAnsi="inter" w:eastAsia="inter" w:cs="inter"/>
          <w:color w:val="000000"/>
        </w:rPr>
        <w:br w:type="textWrapping"/>
      </w:r>
      <w:r>
        <w:rPr>
          <w:rFonts w:ascii="inter" w:hAnsi="inter" w:eastAsia="inter" w:cs="inter"/>
          <w:color w:val="000000"/>
        </w:rPr>
        <w:t>Where Level 3 systems involve safety drivers, courts determine driver liability based on:</w:t>
      </w:r>
      <w:bookmarkStart w:id="249" w:name="fnref8_23"/>
      <w:bookmarkEnd w:id="24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50" w:name="fnref43"/>
      <w:bookmarkEnd w:id="250"/>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p>
    <w:p w14:paraId="546453C7">
      <w:pPr>
        <w:numPr>
          <w:ilvl w:val="0"/>
          <w:numId w:val="38"/>
        </w:numPr>
        <w:spacing w:before="105" w:after="105" w:line="360" w:lineRule="auto"/>
      </w:pPr>
      <w:r>
        <w:rPr>
          <w:rFonts w:ascii="inter" w:hAnsi="inter" w:eastAsia="inter" w:cs="inter"/>
          <w:color w:val="000000"/>
          <w:sz w:val="21"/>
        </w:rPr>
        <w:t>Whether transition demand was issued (DSSAD data critical)</w:t>
      </w:r>
    </w:p>
    <w:p w14:paraId="6377C72F">
      <w:pPr>
        <w:numPr>
          <w:ilvl w:val="0"/>
          <w:numId w:val="38"/>
        </w:numPr>
        <w:spacing w:before="105" w:after="105" w:line="360" w:lineRule="auto"/>
      </w:pPr>
      <w:r>
        <w:rPr>
          <w:rFonts w:ascii="inter" w:hAnsi="inter" w:eastAsia="inter" w:cs="inter"/>
          <w:color w:val="000000"/>
          <w:sz w:val="21"/>
        </w:rPr>
        <w:t>Whether driver had reasonable reaction time</w:t>
      </w:r>
    </w:p>
    <w:p w14:paraId="38207156">
      <w:pPr>
        <w:numPr>
          <w:ilvl w:val="0"/>
          <w:numId w:val="38"/>
        </w:numPr>
        <w:spacing w:before="105" w:after="105" w:line="360" w:lineRule="auto"/>
      </w:pPr>
      <w:r>
        <w:rPr>
          <w:rFonts w:ascii="inter" w:hAnsi="inter" w:eastAsia="inter" w:cs="inter"/>
          <w:color w:val="000000"/>
          <w:sz w:val="21"/>
        </w:rPr>
        <w:t>Whether driver was distracted or incapacitated</w:t>
      </w:r>
    </w:p>
    <w:p w14:paraId="6E980612">
      <w:pPr>
        <w:numPr>
          <w:ilvl w:val="0"/>
          <w:numId w:val="38"/>
        </w:numPr>
        <w:spacing w:before="105" w:after="105" w:line="360" w:lineRule="auto"/>
      </w:pPr>
      <w:r>
        <w:rPr>
          <w:rFonts w:ascii="inter" w:hAnsi="inter" w:eastAsia="inter" w:cs="inter"/>
          <w:color w:val="000000"/>
          <w:sz w:val="21"/>
        </w:rPr>
        <w:t>Whether system design contributed to missed intervention opportunity</w:t>
      </w:r>
      <w:bookmarkStart w:id="251" w:name="fnref43_1"/>
      <w:bookmarkEnd w:id="251"/>
      <w:r>
        <w:fldChar w:fldCharType="begin"/>
      </w:r>
      <w:r>
        <w:instrText xml:space="preserve"> HYPERLINK \l "fn43" \h </w:instrText>
      </w:r>
      <w:r>
        <w:fldChar w:fldCharType="separate"/>
      </w:r>
      <w:r>
        <w:rPr>
          <w:rFonts w:ascii="inter" w:hAnsi="inter" w:eastAsia="inter" w:cs="inter"/>
          <w:color w:val="000000"/>
          <w:sz w:val="21"/>
          <w:u w:val="single"/>
          <w:vertAlign w:val="superscript"/>
        </w:rPr>
        <w:t>[43]</w:t>
      </w:r>
      <w:r>
        <w:rPr>
          <w:rFonts w:ascii="inter" w:hAnsi="inter" w:eastAsia="inter" w:cs="inter"/>
          <w:color w:val="000000"/>
          <w:sz w:val="21"/>
          <w:u w:val="single"/>
          <w:vertAlign w:val="superscript"/>
        </w:rPr>
        <w:fldChar w:fldCharType="end"/>
      </w:r>
      <w:bookmarkStart w:id="252" w:name="fnref8_24"/>
      <w:bookmarkEnd w:id="252"/>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5138E329">
      <w:pPr>
        <w:spacing w:before="210" w:after="0" w:line="360" w:lineRule="auto"/>
      </w:pPr>
      <w:r>
        <w:pict>
          <v:rect id="_x0000_s1036" o:spid="_x0000_s1036" o:spt="1" style="height:0.05pt;width:475.5pt;" coordsize="21600,21600">
            <v:path/>
            <v:fill focussize="0,0"/>
            <v:stroke weight="1pt" color="#000000" opacity="0f"/>
            <v:imagedata o:title=""/>
            <o:lock v:ext="edit"/>
            <w10:wrap type="none"/>
            <w10:anchorlock/>
          </v:rect>
        </w:pict>
      </w:r>
    </w:p>
    <w:p w14:paraId="34312F6F">
      <w:pPr>
        <w:spacing w:before="315" w:after="105" w:line="360" w:lineRule="auto"/>
        <w:ind w:left="-30"/>
        <w:jc w:val="left"/>
      </w:pPr>
      <w:bookmarkStart w:id="253" w:name="x_limitations_and_emerging_uncertainties"/>
      <w:r>
        <w:rPr>
          <w:rFonts w:ascii="inter" w:hAnsi="inter" w:eastAsia="inter" w:cs="inter"/>
          <w:b/>
          <w:color w:val="000000"/>
          <w:sz w:val="24"/>
        </w:rPr>
        <w:t>X. LIMITATIONS AND EMERGING UNCERTAINTIES</w:t>
      </w:r>
      <w:bookmarkEnd w:id="253"/>
    </w:p>
    <w:p w14:paraId="6BD66ABB">
      <w:pPr>
        <w:spacing w:before="315" w:after="105" w:line="360" w:lineRule="auto"/>
        <w:ind w:left="-30"/>
        <w:jc w:val="left"/>
      </w:pPr>
      <w:bookmarkStart w:id="254" w:name="a_machine_learning_opacity"/>
      <w:r>
        <w:rPr>
          <w:rFonts w:ascii="inter" w:hAnsi="inter" w:eastAsia="inter" w:cs="inter"/>
          <w:b/>
          <w:color w:val="000000"/>
          <w:sz w:val="24"/>
        </w:rPr>
        <w:t>A. Machine Learning Opacity</w:t>
      </w:r>
      <w:bookmarkEnd w:id="254"/>
    </w:p>
    <w:p w14:paraId="36AD9886">
      <w:pPr>
        <w:spacing w:after="210" w:line="360" w:lineRule="auto"/>
      </w:pPr>
      <w:r>
        <w:rPr>
          <w:rFonts w:ascii="inter" w:hAnsi="inter" w:eastAsia="inter" w:cs="inter"/>
          <w:color w:val="000000"/>
        </w:rPr>
        <w:t>Deep learning systems achieve high performance through complex, non-interpretable algorithms. Courts struggle to assess whether algorithm outputs reflect design defects or acceptable stochastic variation. This evidentiary burden may shift liability away from manufacturers and toward drivers/operators, creating perverse incentives where complex algorithms escape scrutiny.</w:t>
      </w:r>
      <w:bookmarkStart w:id="255" w:name="fnref4_5"/>
      <w:bookmarkEnd w:id="25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256" w:name="fnref5_14"/>
      <w:bookmarkEnd w:id="25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30137AAF">
      <w:pPr>
        <w:spacing w:after="210" w:line="360" w:lineRule="auto"/>
      </w:pPr>
      <w:r>
        <w:rPr>
          <w:rFonts w:ascii="inter" w:hAnsi="inter" w:eastAsia="inter" w:cs="inter"/>
          <w:b/>
          <w:color w:val="000000"/>
        </w:rPr>
        <w:t>Mitigation Strategies</w:t>
      </w:r>
      <w:r>
        <w:rPr>
          <w:rFonts w:ascii="inter" w:hAnsi="inter" w:eastAsia="inter" w:cs="inter"/>
          <w:color w:val="000000"/>
        </w:rPr>
        <w:t>: Regulatory requirements for explainable AI; algorithmic audit trails; decision-logic documentation.</w:t>
      </w:r>
    </w:p>
    <w:p w14:paraId="23441EFD">
      <w:pPr>
        <w:spacing w:before="315" w:after="105" w:line="360" w:lineRule="auto"/>
        <w:ind w:left="-30"/>
        <w:jc w:val="left"/>
      </w:pPr>
      <w:bookmarkStart w:id="257" w:name="b_software_update_liability_uncertainty"/>
      <w:r>
        <w:rPr>
          <w:rFonts w:ascii="inter" w:hAnsi="inter" w:eastAsia="inter" w:cs="inter"/>
          <w:b/>
          <w:color w:val="000000"/>
          <w:sz w:val="24"/>
        </w:rPr>
        <w:t>B. Software Update Liability Uncertainty</w:t>
      </w:r>
      <w:bookmarkEnd w:id="257"/>
    </w:p>
    <w:p w14:paraId="5A9A166A">
      <w:pPr>
        <w:spacing w:after="210" w:line="360" w:lineRule="auto"/>
      </w:pPr>
      <w:r>
        <w:rPr>
          <w:rFonts w:ascii="inter" w:hAnsi="inter" w:eastAsia="inter" w:cs="inter"/>
          <w:color w:val="000000"/>
        </w:rPr>
        <w:t>EU PLD explicitly holds manufacturers liable for failure to deploy security patches. However, defining "necessary" patches remains uncertain. Manufacturers face liability exposure if regulators or courts determine that updates should have been deployed—even for vulnerabilities not yet exploited.</w:t>
      </w:r>
      <w:bookmarkStart w:id="258" w:name="fnref6_13"/>
      <w:bookmarkEnd w:id="25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D4E651E">
      <w:pPr>
        <w:spacing w:after="210" w:line="360" w:lineRule="auto"/>
      </w:pPr>
      <w:r>
        <w:rPr>
          <w:rFonts w:ascii="inter" w:hAnsi="inter" w:eastAsia="inter" w:cs="inter"/>
          <w:b/>
          <w:color w:val="000000"/>
        </w:rPr>
        <w:t>Mitigation Strategy</w:t>
      </w:r>
      <w:r>
        <w:rPr>
          <w:rFonts w:ascii="inter" w:hAnsi="inter" w:eastAsia="inter" w:cs="inter"/>
          <w:color w:val="000000"/>
        </w:rPr>
        <w:t>: Establish standardized vulnerability assessment and patch priority frameworks. Specify liability safe harbors for patches deployed within defined timelines.</w:t>
      </w:r>
    </w:p>
    <w:p w14:paraId="6272FCC7">
      <w:pPr>
        <w:spacing w:before="315" w:after="105" w:line="360" w:lineRule="auto"/>
        <w:ind w:left="-30"/>
        <w:jc w:val="left"/>
      </w:pPr>
      <w:bookmarkStart w:id="259" w:name="c_odd_boundary_disputes"/>
      <w:r>
        <w:rPr>
          <w:rFonts w:ascii="inter" w:hAnsi="inter" w:eastAsia="inter" w:cs="inter"/>
          <w:b/>
          <w:color w:val="000000"/>
          <w:sz w:val="24"/>
        </w:rPr>
        <w:t>C. ODD Boundary Disputes**</w:t>
      </w:r>
      <w:bookmarkEnd w:id="259"/>
    </w:p>
    <w:p w14:paraId="7004755D">
      <w:pPr>
        <w:spacing w:after="210" w:line="360" w:lineRule="auto"/>
      </w:pPr>
      <w:r>
        <w:rPr>
          <w:rFonts w:ascii="inter" w:hAnsi="inter" w:eastAsia="inter" w:cs="inter"/>
          <w:color w:val="000000"/>
        </w:rPr>
        <w:t>Manufacturers specify ODD boundaries; regulators approve or deny. Disputes may arise regarding whether specific conditions remained within ODD during accidents. Example: manufacturers specify "normal weather conditions" but operator engages automation during light rain; accident occurs.</w:t>
      </w:r>
      <w:bookmarkStart w:id="260" w:name="fnref2_11"/>
      <w:bookmarkEnd w:id="260"/>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1BBFD39F">
      <w:pPr>
        <w:spacing w:after="210" w:line="360" w:lineRule="auto"/>
      </w:pPr>
      <w:r>
        <w:rPr>
          <w:rFonts w:ascii="inter" w:hAnsi="inter" w:eastAsia="inter" w:cs="inter"/>
          <w:b/>
          <w:color w:val="000000"/>
        </w:rPr>
        <w:t>Mitigation</w:t>
      </w:r>
      <w:r>
        <w:rPr>
          <w:rFonts w:ascii="inter" w:hAnsi="inter" w:eastAsia="inter" w:cs="inter"/>
          <w:color w:val="000000"/>
        </w:rPr>
        <w:t>: Quantify ODD parameters (specific precipitation rates, visibility thresholds) rather than qualitative descriptors.</w:t>
      </w:r>
    </w:p>
    <w:p w14:paraId="0413C7D9">
      <w:pPr>
        <w:spacing w:before="315" w:after="105" w:line="360" w:lineRule="auto"/>
        <w:ind w:left="-30"/>
        <w:jc w:val="left"/>
      </w:pPr>
      <w:bookmarkStart w:id="261" w:name="d_level_3_transition_demand_adequacy"/>
      <w:r>
        <w:rPr>
          <w:rFonts w:ascii="inter" w:hAnsi="inter" w:eastAsia="inter" w:cs="inter"/>
          <w:b/>
          <w:color w:val="000000"/>
          <w:sz w:val="24"/>
        </w:rPr>
        <w:t>D. Level 3 Transition Demand Adequacy**</w:t>
      </w:r>
      <w:bookmarkEnd w:id="261"/>
    </w:p>
    <w:p w14:paraId="18F64CE3">
      <w:pPr>
        <w:spacing w:after="210" w:line="360" w:lineRule="auto"/>
      </w:pPr>
      <w:r>
        <w:rPr>
          <w:rFonts w:ascii="inter" w:hAnsi="inter" w:eastAsia="inter" w:cs="inter"/>
          <w:color w:val="000000"/>
        </w:rPr>
        <w:t>What constitutes "adequate" reaction time remains contested. Research suggests 1.5-10 seconds depending on driver state and situational complexity. Legal standards may vary by jurisdiction, creating inconsistency.</w:t>
      </w:r>
      <w:bookmarkStart w:id="262" w:name="fnref8_25"/>
      <w:bookmarkEnd w:id="26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263" w:name="fnref9_5"/>
      <w:bookmarkEnd w:id="263"/>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F396127">
      <w:pPr>
        <w:spacing w:after="210" w:line="360" w:lineRule="auto"/>
      </w:pPr>
      <w:r>
        <w:rPr>
          <w:rFonts w:ascii="inter" w:hAnsi="inter" w:eastAsia="inter" w:cs="inter"/>
          <w:b/>
          <w:color w:val="000000"/>
        </w:rPr>
        <w:t>Mitigation</w:t>
      </w:r>
      <w:r>
        <w:rPr>
          <w:rFonts w:ascii="inter" w:hAnsi="inter" w:eastAsia="inter" w:cs="inter"/>
          <w:color w:val="000000"/>
        </w:rPr>
        <w:t>: Establish empirical standards through controlled research on diverse driver populations, codified in regulations.</w:t>
      </w:r>
    </w:p>
    <w:p w14:paraId="6734B99C">
      <w:pPr>
        <w:spacing w:before="210" w:after="0" w:line="360" w:lineRule="auto"/>
      </w:pPr>
      <w:r>
        <w:pict>
          <v:rect id="_x0000_s1037" o:spid="_x0000_s1037" o:spt="1" style="height:0.05pt;width:475.5pt;" coordsize="21600,21600">
            <v:path/>
            <v:fill focussize="0,0"/>
            <v:stroke weight="1pt" color="#000000" opacity="0f"/>
            <v:imagedata o:title=""/>
            <o:lock v:ext="edit"/>
            <w10:wrap type="none"/>
            <w10:anchorlock/>
          </v:rect>
        </w:pict>
      </w:r>
    </w:p>
    <w:p w14:paraId="230AFDDA">
      <w:pPr>
        <w:spacing w:before="315" w:after="105" w:line="360" w:lineRule="auto"/>
        <w:ind w:left="-30"/>
        <w:jc w:val="left"/>
      </w:pPr>
      <w:bookmarkStart w:id="264" w:name="xi_conclusion_and_strategic_implications"/>
      <w:r>
        <w:rPr>
          <w:rFonts w:ascii="inter" w:hAnsi="inter" w:eastAsia="inter" w:cs="inter"/>
          <w:b/>
          <w:color w:val="000000"/>
          <w:sz w:val="24"/>
        </w:rPr>
        <w:t>XI. CONCLUSION AND STRATEGIC IMPLICATIONS</w:t>
      </w:r>
      <w:bookmarkEnd w:id="264"/>
    </w:p>
    <w:p w14:paraId="1731AFFC">
      <w:pPr>
        <w:spacing w:before="315" w:after="105" w:line="360" w:lineRule="auto"/>
        <w:ind w:left="-30"/>
        <w:jc w:val="left"/>
      </w:pPr>
      <w:bookmarkStart w:id="265" w:name="a_summary_of_findings"/>
      <w:r>
        <w:rPr>
          <w:rFonts w:ascii="inter" w:hAnsi="inter" w:eastAsia="inter" w:cs="inter"/>
          <w:b/>
          <w:color w:val="000000"/>
          <w:sz w:val="24"/>
        </w:rPr>
        <w:t>A. Summary of Findings</w:t>
      </w:r>
      <w:bookmarkEnd w:id="265"/>
    </w:p>
    <w:p w14:paraId="12F4D062">
      <w:pPr>
        <w:spacing w:after="210" w:line="360" w:lineRule="auto"/>
      </w:pPr>
      <w:r>
        <w:rPr>
          <w:rFonts w:ascii="inter" w:hAnsi="inter" w:eastAsia="inter" w:cs="inter"/>
          <w:color w:val="000000"/>
        </w:rPr>
        <w:t>Liability allocation for ADAS/ADS accidents reflects divergent policy paradigms across major jurisdictions:</w:t>
      </w:r>
    </w:p>
    <w:p w14:paraId="0F1125BB">
      <w:pPr>
        <w:numPr>
          <w:ilvl w:val="0"/>
          <w:numId w:val="39"/>
        </w:numPr>
        <w:spacing w:after="210" w:line="360" w:lineRule="auto"/>
      </w:pPr>
      <w:r>
        <w:rPr>
          <w:rFonts w:ascii="inter" w:hAnsi="inter" w:eastAsia="inter" w:cs="inter"/>
          <w:b/>
          <w:color w:val="000000"/>
          <w:sz w:val="21"/>
        </w:rPr>
        <w:t>United Kingdom</w:t>
      </w:r>
      <w:r>
        <w:rPr>
          <w:rFonts w:ascii="inter" w:hAnsi="inter" w:eastAsia="inter" w:cs="inter"/>
          <w:color w:val="000000"/>
          <w:sz w:val="21"/>
        </w:rPr>
        <w:t>: Insurer-first model with ASDE accountability ensures victim protection while providing clear recourse rights. High authorization standards limit deployment to highly capable systems, reducing accident likelihood but slowing innovation.</w:t>
      </w:r>
    </w:p>
    <w:p w14:paraId="1A7946CF">
      <w:pPr>
        <w:numPr>
          <w:ilvl w:val="0"/>
          <w:numId w:val="39"/>
        </w:numPr>
        <w:spacing w:after="210" w:line="360" w:lineRule="auto"/>
      </w:pPr>
      <w:r>
        <w:rPr>
          <w:rFonts w:ascii="inter" w:hAnsi="inter" w:eastAsia="inter" w:cs="inter"/>
          <w:b/>
          <w:color w:val="000000"/>
          <w:sz w:val="21"/>
        </w:rPr>
        <w:t>European Union</w:t>
      </w:r>
      <w:r>
        <w:rPr>
          <w:rFonts w:ascii="inter" w:hAnsi="inter" w:eastAsia="inter" w:cs="inter"/>
          <w:color w:val="000000"/>
          <w:sz w:val="21"/>
        </w:rPr>
        <w:t>: Strict product liability holds manufacturers accountable regardless of negligence. Presumptions of defect in complex cases favor victims but create manufacturer uncertainty regarding cybersecurity and post-sale software update liability.</w:t>
      </w:r>
    </w:p>
    <w:p w14:paraId="51BF3562">
      <w:pPr>
        <w:numPr>
          <w:ilvl w:val="0"/>
          <w:numId w:val="39"/>
        </w:numPr>
        <w:spacing w:after="210" w:line="360" w:lineRule="auto"/>
      </w:pPr>
      <w:r>
        <w:rPr>
          <w:rFonts w:ascii="inter" w:hAnsi="inter" w:eastAsia="inter" w:cs="inter"/>
          <w:b/>
          <w:color w:val="000000"/>
          <w:sz w:val="21"/>
        </w:rPr>
        <w:t>United States</w:t>
      </w:r>
      <w:r>
        <w:rPr>
          <w:rFonts w:ascii="inter" w:hAnsi="inter" w:eastAsia="inter" w:cs="inter"/>
          <w:color w:val="000000"/>
          <w:sz w:val="21"/>
        </w:rPr>
        <w:t>: State-based negligence framework provides flexibility for innovation but creates compliance fragmentation. No federal standard leads to uncertainty for multi-state manufacturers and inconsistent victim compensation.</w:t>
      </w:r>
    </w:p>
    <w:p w14:paraId="777F4ED1">
      <w:pPr>
        <w:numPr>
          <w:ilvl w:val="0"/>
          <w:numId w:val="39"/>
        </w:numPr>
        <w:spacing w:after="210" w:line="360" w:lineRule="auto"/>
      </w:pPr>
      <w:r>
        <w:rPr>
          <w:rFonts w:ascii="inter" w:hAnsi="inter" w:eastAsia="inter" w:cs="inter"/>
          <w:b/>
          <w:color w:val="000000"/>
          <w:sz w:val="21"/>
        </w:rPr>
        <w:t>Germany/Continental</w:t>
      </w:r>
      <w:r>
        <w:rPr>
          <w:rFonts w:ascii="inter" w:hAnsi="inter" w:eastAsia="inter" w:cs="inter"/>
          <w:color w:val="000000"/>
          <w:sz w:val="21"/>
        </w:rPr>
        <w:t>: Preserved operator liability maintains traditional automotive responsibility structure but may disadvantage victims if operators lack financial resources. Manufacturer product liability provides secondary recourse.</w:t>
      </w:r>
    </w:p>
    <w:p w14:paraId="453F7B5A">
      <w:pPr>
        <w:spacing w:before="315" w:after="105" w:line="360" w:lineRule="auto"/>
        <w:ind w:left="-30"/>
        <w:jc w:val="left"/>
      </w:pPr>
      <w:bookmarkStart w:id="266" w:name="b_key_risk_areas_for_decision_makers"/>
      <w:r>
        <w:rPr>
          <w:rFonts w:ascii="inter" w:hAnsi="inter" w:eastAsia="inter" w:cs="inter"/>
          <w:b/>
          <w:color w:val="000000"/>
          <w:sz w:val="24"/>
        </w:rPr>
        <w:t>B. Key Risk Areas for Decision-Makers</w:t>
      </w:r>
      <w:bookmarkEnd w:id="266"/>
    </w:p>
    <w:p w14:paraId="4AD8BE0B">
      <w:pPr>
        <w:spacing w:after="210" w:line="360" w:lineRule="auto"/>
      </w:pPr>
      <w:r>
        <w:rPr>
          <w:rFonts w:ascii="inter" w:hAnsi="inter" w:eastAsia="inter" w:cs="inter"/>
          <w:b/>
          <w:color w:val="000000"/>
        </w:rPr>
        <w:t>For Manufacturers</w:t>
      </w:r>
      <w:r>
        <w:rPr>
          <w:rFonts w:ascii="inter" w:hAnsi="inter" w:eastAsia="inter" w:cs="inter"/>
          <w:color w:val="000000"/>
        </w:rPr>
        <w:t>:</w:t>
      </w:r>
    </w:p>
    <w:p w14:paraId="45965AE4">
      <w:pPr>
        <w:numPr>
          <w:ilvl w:val="0"/>
          <w:numId w:val="40"/>
        </w:numPr>
        <w:spacing w:before="105" w:after="105" w:line="360" w:lineRule="auto"/>
      </w:pPr>
      <w:r>
        <w:rPr>
          <w:rFonts w:ascii="inter" w:hAnsi="inter" w:eastAsia="inter" w:cs="inter"/>
          <w:color w:val="000000"/>
          <w:sz w:val="21"/>
        </w:rPr>
        <w:t>Level 3 systems face elevated liability exposure due to transition demand adequacy and reaction time uncertainties. Level 4 within clearly-defined ODD provides greater clarity.</w:t>
      </w:r>
    </w:p>
    <w:p w14:paraId="745FA40C">
      <w:pPr>
        <w:numPr>
          <w:ilvl w:val="0"/>
          <w:numId w:val="40"/>
        </w:numPr>
        <w:spacing w:before="105" w:after="105" w:line="360" w:lineRule="auto"/>
      </w:pPr>
      <w:r>
        <w:rPr>
          <w:rFonts w:ascii="inter" w:hAnsi="inter" w:eastAsia="inter" w:cs="inter"/>
          <w:color w:val="000000"/>
          <w:sz w:val="21"/>
        </w:rPr>
        <w:t>EU PLD exposure for software defects and cybersecurity vulnerabilities is substantial; manufacturing and post-sale cybersecurity governance must meet stringent standards.</w:t>
      </w:r>
    </w:p>
    <w:p w14:paraId="482D5C55">
      <w:pPr>
        <w:numPr>
          <w:ilvl w:val="0"/>
          <w:numId w:val="40"/>
        </w:numPr>
        <w:spacing w:before="105" w:after="105" w:line="360" w:lineRule="auto"/>
      </w:pPr>
      <w:r>
        <w:rPr>
          <w:rFonts w:ascii="inter" w:hAnsi="inter" w:eastAsia="inter" w:cs="inter"/>
          <w:color w:val="000000"/>
          <w:sz w:val="21"/>
        </w:rPr>
        <w:t>Multi-jurisdictional operations face compliance costs from regulatory variation; federal/international harmonization would reduce burden.</w:t>
      </w:r>
    </w:p>
    <w:p w14:paraId="06FED902">
      <w:pPr>
        <w:spacing w:after="210" w:line="360" w:lineRule="auto"/>
      </w:pPr>
      <w:r>
        <w:rPr>
          <w:rFonts w:ascii="inter" w:hAnsi="inter" w:eastAsia="inter" w:cs="inter"/>
          <w:b/>
          <w:color w:val="000000"/>
        </w:rPr>
        <w:t>For Insurers</w:t>
      </w:r>
      <w:r>
        <w:rPr>
          <w:rFonts w:ascii="inter" w:hAnsi="inter" w:eastAsia="inter" w:cs="inter"/>
          <w:color w:val="000000"/>
        </w:rPr>
        <w:t>:</w:t>
      </w:r>
    </w:p>
    <w:p w14:paraId="57CDB804">
      <w:pPr>
        <w:numPr>
          <w:ilvl w:val="0"/>
          <w:numId w:val="41"/>
        </w:numPr>
        <w:spacing w:before="105" w:after="105" w:line="360" w:lineRule="auto"/>
      </w:pPr>
      <w:r>
        <w:rPr>
          <w:rFonts w:ascii="inter" w:hAnsi="inter" w:eastAsia="inter" w:cs="inter"/>
          <w:color w:val="000000"/>
          <w:sz w:val="21"/>
        </w:rPr>
        <w:t>Claims frequency reduction (30-66% for specific accident types) offset by repair cost inflation. Overall claims costs may not decline significantly until Level 4 achieves higher penetration.</w:t>
      </w:r>
    </w:p>
    <w:p w14:paraId="147348FA">
      <w:pPr>
        <w:numPr>
          <w:ilvl w:val="0"/>
          <w:numId w:val="41"/>
        </w:numPr>
        <w:spacing w:before="105" w:after="105" w:line="360" w:lineRule="auto"/>
      </w:pPr>
      <w:r>
        <w:rPr>
          <w:rFonts w:ascii="inter" w:hAnsi="inter" w:eastAsia="inter" w:cs="inter"/>
          <w:color w:val="000000"/>
          <w:sz w:val="21"/>
        </w:rPr>
        <w:t>UK insurer-first model concentrates liability exposure; strong ASDE recourse rights and regulatory oversight mitigate systemic risk.</w:t>
      </w:r>
    </w:p>
    <w:p w14:paraId="0D0A7E88">
      <w:pPr>
        <w:numPr>
          <w:ilvl w:val="0"/>
          <w:numId w:val="41"/>
        </w:numPr>
        <w:spacing w:before="105" w:after="105" w:line="360" w:lineRule="auto"/>
      </w:pPr>
      <w:r>
        <w:rPr>
          <w:rFonts w:ascii="inter" w:hAnsi="inter" w:eastAsia="inter" w:cs="inter"/>
          <w:color w:val="000000"/>
          <w:sz w:val="21"/>
        </w:rPr>
        <w:t>EU strict liability requires expanded product liability coverage and cybersecurity expertise.</w:t>
      </w:r>
    </w:p>
    <w:p w14:paraId="4C051BD1">
      <w:pPr>
        <w:numPr>
          <w:ilvl w:val="0"/>
          <w:numId w:val="41"/>
        </w:numPr>
        <w:spacing w:before="105" w:after="105" w:line="360" w:lineRule="auto"/>
      </w:pPr>
      <w:r>
        <w:rPr>
          <w:rFonts w:ascii="inter" w:hAnsi="inter" w:eastAsia="inter" w:cs="inter"/>
          <w:color w:val="000000"/>
          <w:sz w:val="21"/>
        </w:rPr>
        <w:t>US state variation creates underwriting complexity; federal harmonization would improve risk modeling.</w:t>
      </w:r>
    </w:p>
    <w:p w14:paraId="1C592900">
      <w:pPr>
        <w:spacing w:after="210" w:line="360" w:lineRule="auto"/>
      </w:pPr>
      <w:r>
        <w:rPr>
          <w:rFonts w:ascii="inter" w:hAnsi="inter" w:eastAsia="inter" w:cs="inter"/>
          <w:b/>
          <w:color w:val="000000"/>
        </w:rPr>
        <w:t>For Regulators</w:t>
      </w:r>
      <w:r>
        <w:rPr>
          <w:rFonts w:ascii="inter" w:hAnsi="inter" w:eastAsia="inter" w:cs="inter"/>
          <w:color w:val="000000"/>
        </w:rPr>
        <w:t>:</w:t>
      </w:r>
    </w:p>
    <w:p w14:paraId="5A0F77CE">
      <w:pPr>
        <w:numPr>
          <w:ilvl w:val="0"/>
          <w:numId w:val="42"/>
        </w:numPr>
        <w:spacing w:before="105" w:after="105" w:line="360" w:lineRule="auto"/>
      </w:pPr>
      <w:r>
        <w:rPr>
          <w:rFonts w:ascii="inter" w:hAnsi="inter" w:eastAsia="inter" w:cs="inter"/>
          <w:color w:val="000000"/>
          <w:sz w:val="21"/>
        </w:rPr>
        <w:t>Victim protection requires clear liability allocation and mandatory insurance. UK framework provides clearest model globally.</w:t>
      </w:r>
    </w:p>
    <w:p w14:paraId="0122017D">
      <w:pPr>
        <w:numPr>
          <w:ilvl w:val="0"/>
          <w:numId w:val="42"/>
        </w:numPr>
        <w:spacing w:before="105" w:after="105" w:line="360" w:lineRule="auto"/>
      </w:pPr>
      <w:r>
        <w:rPr>
          <w:rFonts w:ascii="inter" w:hAnsi="inter" w:eastAsia="inter" w:cs="inter"/>
          <w:color w:val="000000"/>
          <w:sz w:val="21"/>
        </w:rPr>
        <w:t>Safety assurance depends on robust ODD specification, transition demand standards, and DSSAD data access. UNECE harmonization would improve accident investigation capabilities.</w:t>
      </w:r>
    </w:p>
    <w:p w14:paraId="17582132">
      <w:pPr>
        <w:numPr>
          <w:ilvl w:val="0"/>
          <w:numId w:val="42"/>
        </w:numPr>
        <w:spacing w:before="105" w:after="105" w:line="360" w:lineRule="auto"/>
      </w:pPr>
      <w:r>
        <w:rPr>
          <w:rFonts w:ascii="inter" w:hAnsi="inter" w:eastAsia="inter" w:cs="inter"/>
          <w:color w:val="000000"/>
          <w:sz w:val="21"/>
        </w:rPr>
        <w:t>Data access and confidentiality balance remains contentious. Accident investigation efficiency supports victim compensation; cybersecurity and IP protection concerns legitimate.</w:t>
      </w:r>
    </w:p>
    <w:p w14:paraId="431ED9A1">
      <w:pPr>
        <w:spacing w:before="315" w:after="105" w:line="360" w:lineRule="auto"/>
        <w:ind w:left="-30"/>
        <w:jc w:val="left"/>
      </w:pPr>
      <w:bookmarkStart w:id="267" w:name="c_strategic_recommendations_for_i_67ebe1"/>
      <w:r>
        <w:rPr>
          <w:rFonts w:ascii="inter" w:hAnsi="inter" w:eastAsia="inter" w:cs="inter"/>
          <w:b/>
          <w:color w:val="000000"/>
          <w:sz w:val="24"/>
        </w:rPr>
        <w:t>C. Strategic Recommendations for Implementation</w:t>
      </w:r>
      <w:bookmarkEnd w:id="267"/>
    </w:p>
    <w:p w14:paraId="629D9B95">
      <w:pPr>
        <w:spacing w:after="210" w:line="360" w:lineRule="auto"/>
      </w:pPr>
      <w:r>
        <w:rPr>
          <w:rFonts w:ascii="inter" w:hAnsi="inter" w:eastAsia="inter" w:cs="inter"/>
          <w:b/>
          <w:color w:val="000000"/>
        </w:rPr>
        <w:t>Immediate Priorities (2025-2026)</w:t>
      </w:r>
      <w:r>
        <w:rPr>
          <w:rFonts w:ascii="inter" w:hAnsi="inter" w:eastAsia="inter" w:cs="inter"/>
          <w:color w:val="000000"/>
        </w:rPr>
        <w:t>:</w:t>
      </w:r>
    </w:p>
    <w:p w14:paraId="1A73CE10">
      <w:pPr>
        <w:numPr>
          <w:ilvl w:val="0"/>
          <w:numId w:val="43"/>
        </w:numPr>
        <w:spacing w:before="105" w:after="105" w:line="360" w:lineRule="auto"/>
      </w:pPr>
      <w:r>
        <w:rPr>
          <w:rFonts w:ascii="inter" w:hAnsi="inter" w:eastAsia="inter" w:cs="inter"/>
          <w:color w:val="000000"/>
          <w:sz w:val="21"/>
        </w:rPr>
        <w:t>Establish international DSSAD standards through UNECE</w:t>
      </w:r>
    </w:p>
    <w:p w14:paraId="38A952C3">
      <w:pPr>
        <w:numPr>
          <w:ilvl w:val="0"/>
          <w:numId w:val="43"/>
        </w:numPr>
        <w:spacing w:before="105" w:after="105" w:line="360" w:lineRule="auto"/>
      </w:pPr>
      <w:r>
        <w:rPr>
          <w:rFonts w:ascii="inter" w:hAnsi="inter" w:eastAsia="inter" w:cs="inter"/>
          <w:color w:val="000000"/>
          <w:sz w:val="21"/>
        </w:rPr>
        <w:t>Develop ODD specification framework and standardized parameter sets</w:t>
      </w:r>
    </w:p>
    <w:p w14:paraId="55181575">
      <w:pPr>
        <w:numPr>
          <w:ilvl w:val="0"/>
          <w:numId w:val="43"/>
        </w:numPr>
        <w:spacing w:before="105" w:after="105" w:line="360" w:lineRule="auto"/>
      </w:pPr>
      <w:r>
        <w:rPr>
          <w:rFonts w:ascii="inter" w:hAnsi="inter" w:eastAsia="inter" w:cs="inter"/>
          <w:color w:val="000000"/>
          <w:sz w:val="21"/>
        </w:rPr>
        <w:t>Conduct empirical research on transition demand reaction time requirements across diverse populations</w:t>
      </w:r>
    </w:p>
    <w:p w14:paraId="4D90B0C2">
      <w:pPr>
        <w:numPr>
          <w:ilvl w:val="0"/>
          <w:numId w:val="43"/>
        </w:numPr>
        <w:spacing w:before="105" w:after="105" w:line="360" w:lineRule="auto"/>
      </w:pPr>
      <w:r>
        <w:rPr>
          <w:rFonts w:ascii="inter" w:hAnsi="inter" w:eastAsia="inter" w:cs="inter"/>
          <w:color w:val="000000"/>
          <w:sz w:val="21"/>
        </w:rPr>
        <w:t>Publish EU PLD implementation guidance addressing cybersecurity defect standards</w:t>
      </w:r>
    </w:p>
    <w:p w14:paraId="251F3023">
      <w:pPr>
        <w:spacing w:after="210" w:line="360" w:lineRule="auto"/>
      </w:pPr>
      <w:r>
        <w:rPr>
          <w:rFonts w:ascii="inter" w:hAnsi="inter" w:eastAsia="inter" w:cs="inter"/>
          <w:b/>
          <w:color w:val="000000"/>
        </w:rPr>
        <w:t>Medium-Term (2026-2028)</w:t>
      </w:r>
      <w:r>
        <w:rPr>
          <w:rFonts w:ascii="inter" w:hAnsi="inter" w:eastAsia="inter" w:cs="inter"/>
          <w:color w:val="000000"/>
        </w:rPr>
        <w:t>:</w:t>
      </w:r>
    </w:p>
    <w:p w14:paraId="79EEBA65">
      <w:pPr>
        <w:numPr>
          <w:ilvl w:val="0"/>
          <w:numId w:val="44"/>
        </w:numPr>
        <w:spacing w:before="105" w:after="105" w:line="360" w:lineRule="auto"/>
      </w:pPr>
      <w:r>
        <w:rPr>
          <w:rFonts w:ascii="inter" w:hAnsi="inter" w:eastAsia="inter" w:cs="inter"/>
          <w:color w:val="000000"/>
          <w:sz w:val="21"/>
        </w:rPr>
        <w:t>Incorporate DSSAD requirements into binding federal/regional regulations</w:t>
      </w:r>
    </w:p>
    <w:p w14:paraId="6933190C">
      <w:pPr>
        <w:numPr>
          <w:ilvl w:val="0"/>
          <w:numId w:val="44"/>
        </w:numPr>
        <w:spacing w:before="105" w:after="105" w:line="360" w:lineRule="auto"/>
      </w:pPr>
      <w:r>
        <w:rPr>
          <w:rFonts w:ascii="inter" w:hAnsi="inter" w:eastAsia="inter" w:cs="inter"/>
          <w:color w:val="000000"/>
          <w:sz w:val="21"/>
        </w:rPr>
        <w:t>Implement ODD standardization through type-approval requirements</w:t>
      </w:r>
    </w:p>
    <w:p w14:paraId="29BB64B6">
      <w:pPr>
        <w:numPr>
          <w:ilvl w:val="0"/>
          <w:numId w:val="44"/>
        </w:numPr>
        <w:spacing w:before="105" w:after="105" w:line="360" w:lineRule="auto"/>
      </w:pPr>
      <w:r>
        <w:rPr>
          <w:rFonts w:ascii="inter" w:hAnsi="inter" w:eastAsia="inter" w:cs="inter"/>
          <w:color w:val="000000"/>
          <w:sz w:val="21"/>
        </w:rPr>
        <w:t>Develop federal US autonomous vehicle liability legislation</w:t>
      </w:r>
    </w:p>
    <w:p w14:paraId="00182437">
      <w:pPr>
        <w:numPr>
          <w:ilvl w:val="0"/>
          <w:numId w:val="44"/>
        </w:numPr>
        <w:spacing w:before="105" w:after="105" w:line="360" w:lineRule="auto"/>
      </w:pPr>
      <w:r>
        <w:rPr>
          <w:rFonts w:ascii="inter" w:hAnsi="inter" w:eastAsia="inter" w:cs="inter"/>
          <w:color w:val="000000"/>
          <w:sz w:val="21"/>
        </w:rPr>
        <w:t>Establish manufacturer cybersecurity vulnerability disclosure and remediation standards</w:t>
      </w:r>
    </w:p>
    <w:p w14:paraId="26A6126F">
      <w:pPr>
        <w:spacing w:after="210" w:line="360" w:lineRule="auto"/>
      </w:pPr>
      <w:r>
        <w:rPr>
          <w:rFonts w:ascii="inter" w:hAnsi="inter" w:eastAsia="inter" w:cs="inter"/>
          <w:b/>
          <w:color w:val="000000"/>
        </w:rPr>
        <w:t>Long-Term (2028+)</w:t>
      </w:r>
      <w:r>
        <w:rPr>
          <w:rFonts w:ascii="inter" w:hAnsi="inter" w:eastAsia="inter" w:cs="inter"/>
          <w:color w:val="000000"/>
        </w:rPr>
        <w:t>:</w:t>
      </w:r>
    </w:p>
    <w:p w14:paraId="05F374B2">
      <w:pPr>
        <w:numPr>
          <w:ilvl w:val="0"/>
          <w:numId w:val="45"/>
        </w:numPr>
        <w:spacing w:before="105" w:after="105" w:line="360" w:lineRule="auto"/>
      </w:pPr>
      <w:r>
        <w:rPr>
          <w:rFonts w:ascii="inter" w:hAnsi="inter" w:eastAsia="inter" w:cs="inter"/>
          <w:color w:val="000000"/>
          <w:sz w:val="21"/>
        </w:rPr>
        <w:t>Achieve global harmonization of liability allocation frameworks through UNECE</w:t>
      </w:r>
    </w:p>
    <w:p w14:paraId="489C689D">
      <w:pPr>
        <w:numPr>
          <w:ilvl w:val="0"/>
          <w:numId w:val="45"/>
        </w:numPr>
        <w:spacing w:before="105" w:after="105" w:line="360" w:lineRule="auto"/>
      </w:pPr>
      <w:r>
        <w:rPr>
          <w:rFonts w:ascii="inter" w:hAnsi="inter" w:eastAsia="inter" w:cs="inter"/>
          <w:color w:val="000000"/>
          <w:sz w:val="21"/>
        </w:rPr>
        <w:t>Assess victim compensation fund feasibility and implementation</w:t>
      </w:r>
    </w:p>
    <w:p w14:paraId="36C63B6A">
      <w:pPr>
        <w:numPr>
          <w:ilvl w:val="0"/>
          <w:numId w:val="45"/>
        </w:numPr>
        <w:spacing w:before="105" w:after="105" w:line="360" w:lineRule="auto"/>
      </w:pPr>
      <w:r>
        <w:rPr>
          <w:rFonts w:ascii="inter" w:hAnsi="inter" w:eastAsia="inter" w:cs="inter"/>
          <w:color w:val="000000"/>
          <w:sz w:val="21"/>
        </w:rPr>
        <w:t>Refine safety standards based on real-world accident data from deployed Level 3/4 systems</w:t>
      </w:r>
    </w:p>
    <w:p w14:paraId="1DF9D9BF">
      <w:pPr>
        <w:numPr>
          <w:ilvl w:val="0"/>
          <w:numId w:val="45"/>
        </w:numPr>
        <w:spacing w:before="105" w:after="105" w:line="360" w:lineRule="auto"/>
      </w:pPr>
      <w:r>
        <w:rPr>
          <w:rFonts w:ascii="inter" w:hAnsi="inter" w:eastAsia="inter" w:cs="inter"/>
          <w:color w:val="000000"/>
          <w:sz w:val="21"/>
        </w:rPr>
        <w:t>Develop explainable AI requirements ensuring algorithmic accountability in autonomous driving</w:t>
      </w:r>
    </w:p>
    <w:p w14:paraId="517ED8BE">
      <w:pPr>
        <w:spacing w:before="315" w:after="105" w:line="360" w:lineRule="auto"/>
        <w:ind w:left="-30"/>
        <w:jc w:val="left"/>
      </w:pPr>
      <w:bookmarkStart w:id="268" w:name="d_conclusion"/>
      <w:r>
        <w:rPr>
          <w:rFonts w:ascii="inter" w:hAnsi="inter" w:eastAsia="inter" w:cs="inter"/>
          <w:b/>
          <w:color w:val="000000"/>
          <w:sz w:val="24"/>
        </w:rPr>
        <w:t>D. Conclusion</w:t>
      </w:r>
      <w:bookmarkEnd w:id="268"/>
    </w:p>
    <w:p w14:paraId="13378CF2">
      <w:pPr>
        <w:spacing w:after="210" w:line="360" w:lineRule="auto"/>
      </w:pPr>
      <w:r>
        <w:rPr>
          <w:rFonts w:ascii="inter" w:hAnsi="inter" w:eastAsia="inter" w:cs="inter"/>
          <w:color w:val="000000"/>
        </w:rPr>
        <w:t>The transition from human-driven vehicles to autonomous systems requires fundamental restructuring of liability allocation frameworks. Current regulatory divergence creates uncertainty for manufacturers, complexity for insurers, and potential gaps in victim compensation. Strategic harmonization of ODD standards, data recording requirements, transition demand specifications, and manufacturer accountability mechanisms will facilitate safe, efficient autonomous vehicle deployment while ensuring appropriate victim protection and manufacturer accountability.</w:t>
      </w:r>
    </w:p>
    <w:p w14:paraId="17050DA9">
      <w:pPr>
        <w:spacing w:after="210" w:line="360" w:lineRule="auto"/>
      </w:pPr>
      <w:r>
        <w:rPr>
          <w:rFonts w:ascii="inter" w:hAnsi="inter" w:eastAsia="inter" w:cs="inter"/>
          <w:color w:val="000000"/>
        </w:rPr>
        <w:t>The choice among liability paradigms—insurer-first, strict manufacturer liability, or negligence-based—reflects deeper policy judgments regarding risk allocation, innovation incentives, and victim protection. The UK framework prioritizes victim certainty; EU framework prioritizes manufacturer accountability; US framework prioritizes flexibility. Each reflects legitimate policy objectives. However, global deployment of autonomous vehicles requires sufficient harmonization to reduce compliance fragmentation while preserving jurisdictional regulatory autonomy.</w:t>
      </w:r>
    </w:p>
    <w:p w14:paraId="1B3A2134">
      <w:pPr>
        <w:spacing w:after="210" w:line="360" w:lineRule="auto"/>
      </w:pPr>
      <w:r>
        <w:rPr>
          <w:rFonts w:ascii="inter" w:hAnsi="inter" w:eastAsia="inter" w:cs="inter"/>
          <w:color w:val="000000"/>
        </w:rPr>
        <w:t>Success requires sustained coordination among regulators, manufacturers, insurers, and legal practitioners across jurisdictions—challenging but essential for responsible autonomous vehicle development.</w:t>
      </w:r>
    </w:p>
    <w:p w14:paraId="2690E7AA">
      <w:pPr>
        <w:spacing w:before="210" w:after="0" w:line="360" w:lineRule="auto"/>
      </w:pPr>
      <w:r>
        <w:pict>
          <v:rect id="_x0000_s1038" o:spid="_x0000_s1038" o:spt="1" style="height:0.05pt;width:475.5pt;" coordsize="21600,21600">
            <v:path/>
            <v:fill focussize="0,0"/>
            <v:stroke weight="1pt" color="#000000" opacity="0f"/>
            <v:imagedata o:title=""/>
            <o:lock v:ext="edit"/>
            <w10:wrap type="none"/>
            <w10:anchorlock/>
          </v:rect>
        </w:pict>
      </w:r>
    </w:p>
    <w:p w14:paraId="79806528">
      <w:pPr>
        <w:spacing w:before="315" w:after="105" w:line="360" w:lineRule="auto"/>
        <w:ind w:left="-30"/>
        <w:jc w:val="left"/>
      </w:pPr>
      <w:bookmarkStart w:id="269" w:name="references"/>
      <w:r>
        <w:rPr>
          <w:rFonts w:ascii="inter" w:hAnsi="inter" w:eastAsia="inter" w:cs="inter"/>
          <w:b/>
          <w:color w:val="000000"/>
          <w:sz w:val="24"/>
        </w:rPr>
        <w:t>REFERENCES</w:t>
      </w:r>
      <w:bookmarkEnd w:id="269"/>
    </w:p>
    <w:p w14:paraId="1F929EFC">
      <w:pPr>
        <w:spacing w:after="210" w:line="360" w:lineRule="auto"/>
      </w:pPr>
      <w:r>
        <w:rPr>
          <w:rFonts w:ascii="inter" w:hAnsi="inter" w:eastAsia="inter" w:cs="inter"/>
          <w:color w:val="000000"/>
        </w:rPr>
        <w:t>Brookings Institution, "Setting the standard of liability for self-driving cars" (2024)</w:t>
      </w:r>
      <w:bookmarkStart w:id="270" w:name="fnref44"/>
      <w:bookmarkEnd w:id="270"/>
      <w:r>
        <w:fldChar w:fldCharType="begin"/>
      </w:r>
      <w:r>
        <w:instrText xml:space="preserve"> HYPERLINK \l "fn44" \h </w:instrText>
      </w:r>
      <w:r>
        <w:fldChar w:fldCharType="separate"/>
      </w:r>
      <w:r>
        <w:rPr>
          <w:rFonts w:ascii="inter" w:hAnsi="inter" w:eastAsia="inter" w:cs="inter"/>
          <w:color w:val="000000"/>
          <w:u w:val="single"/>
          <w:vertAlign w:val="superscript"/>
        </w:rPr>
        <w:t>[44]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CMS Legal Guide, "Autonomous vehicles and drivers' liability" (2023)</w:t>
      </w:r>
      <w:bookmarkStart w:id="271" w:name="fnref24_8"/>
      <w:bookmarkEnd w:id="27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CMS Legal Guide, "Autonomous vehicles in Sweden" (2023)</w:t>
      </w:r>
      <w:bookmarkStart w:id="272" w:name="fnref45"/>
      <w:bookmarkEnd w:id="272"/>
      <w:r>
        <w:fldChar w:fldCharType="begin"/>
      </w:r>
      <w:r>
        <w:instrText xml:space="preserve"> HYPERLINK \l "fn45" \h </w:instrText>
      </w:r>
      <w:r>
        <w:fldChar w:fldCharType="separate"/>
      </w:r>
      <w:r>
        <w:rPr>
          <w:rFonts w:ascii="inter" w:hAnsi="inter" w:eastAsia="inter" w:cs="inter"/>
          <w:color w:val="000000"/>
          <w:u w:val="single"/>
          <w:vertAlign w:val="superscript"/>
        </w:rPr>
        <w:t>[45]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Allianz Centre for Technology, "Hands Off – The Safety Promise of Autonomous Driving" (2025)</w:t>
      </w:r>
      <w:bookmarkStart w:id="273" w:name="fnref26_1"/>
      <w:bookmarkEnd w:id="273"/>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Drew &amp; Napier, "Autonomous vehicles in Singapore – laws and liability" (2023)</w:t>
      </w:r>
      <w:bookmarkStart w:id="274" w:name="fnref8_26"/>
      <w:bookmarkEnd w:id="27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Jones Day, "Legal issues related to the development of automated vehicles" (2017)</w:t>
      </w:r>
      <w:bookmarkStart w:id="275" w:name="fnref16_1"/>
      <w:bookmarkEnd w:id="27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WEF, "Autonomous Vehicles: Timeline and Roadmap Ahead" (2025)</w:t>
      </w:r>
      <w:bookmarkStart w:id="276" w:name="fnref9_6"/>
      <w:bookmarkEnd w:id="27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Mayer Brown, "DOT and NHTSA Announce Autonomous Vehicle Framework" (2025)</w:t>
      </w:r>
      <w:bookmarkStart w:id="277" w:name="fnref17_2"/>
      <w:bookmarkEnd w:id="27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NHTSA, "Framework for Automated Driving System Safety" (ANPRM, 2020)</w:t>
      </w:r>
      <w:bookmarkStart w:id="278" w:name="fnref18_4"/>
      <w:bookmarkEnd w:id="278"/>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arXiv, "Data Authorisation and Validation in Autonomous Vehicles" (2024)</w:t>
      </w:r>
      <w:bookmarkStart w:id="279" w:name="fnref4_6"/>
      <w:bookmarkEnd w:id="279"/>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SAE International, "SAE Levels of Driving Automation™ Refined for Clarity" (2023)</w:t>
      </w:r>
      <w:bookmarkStart w:id="280" w:name="fnref29_1"/>
      <w:bookmarkEnd w:id="280"/>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Crowell &amp; Moring, "NHTSA Announces First Actions Under Trump Administration's New Framework" (2025)</w:t>
      </w:r>
      <w:bookmarkStart w:id="281" w:name="fnref19_4"/>
      <w:bookmarkEnd w:id="28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Denton's Global, "2025 Global Guide to Autonomous Vehicles" (2025)</w:t>
      </w:r>
      <w:bookmarkStart w:id="282" w:name="fnref46"/>
      <w:bookmarkEnd w:id="282"/>
      <w:r>
        <w:fldChar w:fldCharType="begin"/>
      </w:r>
      <w:r>
        <w:instrText xml:space="preserve"> HYPERLINK \l "fn46" \h </w:instrText>
      </w:r>
      <w:r>
        <w:fldChar w:fldCharType="separate"/>
      </w:r>
      <w:r>
        <w:rPr>
          <w:rFonts w:ascii="inter" w:hAnsi="inter" w:eastAsia="inter" w:cs="inter"/>
          <w:color w:val="000000"/>
          <w:u w:val="single"/>
          <w:vertAlign w:val="superscript"/>
        </w:rPr>
        <w:t>[46]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KWM, "Self-driving Cars: Who will be Liable?" (2024)</w:t>
      </w:r>
      <w:bookmarkStart w:id="283" w:name="fnref47"/>
      <w:bookmarkEnd w:id="283"/>
      <w:r>
        <w:fldChar w:fldCharType="begin"/>
      </w:r>
      <w:r>
        <w:instrText xml:space="preserve"> HYPERLINK \l "fn47" \h </w:instrText>
      </w:r>
      <w:r>
        <w:fldChar w:fldCharType="separate"/>
      </w:r>
      <w:r>
        <w:rPr>
          <w:rFonts w:ascii="inter" w:hAnsi="inter" w:eastAsia="inter" w:cs="inter"/>
          <w:color w:val="000000"/>
          <w:u w:val="single"/>
          <w:vertAlign w:val="superscript"/>
        </w:rPr>
        <w:t>[47]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Repairer Driven News, "NHTSA unveils new autonomous vehicle regulations" (2025)</w:t>
      </w:r>
      <w:bookmarkStart w:id="284" w:name="fnref20_1"/>
      <w:bookmarkEnd w:id="284"/>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Allianz General Insurance Singapore, "Advanced Driver Assistance Systems" (2025)</w:t>
      </w:r>
      <w:bookmarkStart w:id="285" w:name="fnref48"/>
      <w:bookmarkEnd w:id="285"/>
      <w:r>
        <w:fldChar w:fldCharType="begin"/>
      </w:r>
      <w:r>
        <w:instrText xml:space="preserve"> HYPERLINK \l "fn48" \h </w:instrText>
      </w:r>
      <w:r>
        <w:fldChar w:fldCharType="separate"/>
      </w:r>
      <w:r>
        <w:rPr>
          <w:rFonts w:ascii="inter" w:hAnsi="inter" w:eastAsia="inter" w:cs="inter"/>
          <w:color w:val="000000"/>
          <w:u w:val="single"/>
          <w:vertAlign w:val="superscript"/>
        </w:rPr>
        <w:t>[48]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Mercedes-Benz, "Automated and Autonomous Driving: Legal Framework" (2024)</w:t>
      </w:r>
      <w:bookmarkStart w:id="286" w:name="fnref49"/>
      <w:bookmarkEnd w:id="286"/>
      <w:r>
        <w:fldChar w:fldCharType="begin"/>
      </w:r>
      <w:r>
        <w:instrText xml:space="preserve"> HYPERLINK \l "fn49" \h </w:instrText>
      </w:r>
      <w:r>
        <w:fldChar w:fldCharType="separate"/>
      </w:r>
      <w:r>
        <w:rPr>
          <w:rFonts w:ascii="inter" w:hAnsi="inter" w:eastAsia="inter" w:cs="inter"/>
          <w:color w:val="000000"/>
          <w:u w:val="single"/>
          <w:vertAlign w:val="superscript"/>
        </w:rPr>
        <w:t>[49]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NHTSA, "A Framework for Automated Driving System Testable Cases" (2018)</w:t>
      </w:r>
      <w:bookmarkStart w:id="287" w:name="fnref50"/>
      <w:bookmarkEnd w:id="287"/>
      <w:r>
        <w:fldChar w:fldCharType="begin"/>
      </w:r>
      <w:r>
        <w:instrText xml:space="preserve"> HYPERLINK \l "fn50" \h </w:instrText>
      </w:r>
      <w:r>
        <w:fldChar w:fldCharType="separate"/>
      </w:r>
      <w:r>
        <w:rPr>
          <w:rFonts w:ascii="inter" w:hAnsi="inter" w:eastAsia="inter" w:cs="inter"/>
          <w:color w:val="000000"/>
          <w:u w:val="single"/>
          <w:vertAlign w:val="superscript"/>
        </w:rPr>
        <w:t>[50]</w:t>
      </w:r>
      <w:r>
        <w:rPr>
          <w:rFonts w:ascii="inter" w:hAnsi="inter" w:eastAsia="inter" w:cs="inter"/>
          <w:color w:val="000000"/>
          <w:u w:val="single"/>
          <w:vertAlign w:val="superscript"/>
        </w:rPr>
        <w:fldChar w:fldCharType="end"/>
      </w:r>
      <w:r>
        <w:rPr>
          <w:rFonts w:ascii="inter" w:hAnsi="inter" w:eastAsia="inter" w:cs="inter"/>
          <w:color w:val="000000"/>
        </w:rPr>
        <w:br w:type="textWrapping"/>
      </w:r>
      <w:r>
        <w:fldChar w:fldCharType="begin"/>
      </w:r>
      <w:r>
        <w:instrText xml:space="preserve"> HYPERLINK "http://Law.asia" \h </w:instrText>
      </w:r>
      <w:r>
        <w:fldChar w:fldCharType="separate"/>
      </w:r>
      <w:r>
        <w:rPr>
          <w:rFonts w:ascii="inter" w:hAnsi="inter" w:eastAsia="inter" w:cs="inter"/>
          <w:color w:val="000000"/>
          <w:u w:val="single"/>
        </w:rPr>
        <w:t>Law.asia</w:t>
      </w:r>
      <w:r>
        <w:rPr>
          <w:rFonts w:ascii="inter" w:hAnsi="inter" w:eastAsia="inter" w:cs="inter"/>
          <w:color w:val="000000"/>
          <w:u w:val="single"/>
        </w:rPr>
        <w:fldChar w:fldCharType="end"/>
      </w:r>
      <w:r>
        <w:rPr>
          <w:rFonts w:ascii="inter" w:hAnsi="inter" w:eastAsia="inter" w:cs="inter"/>
          <w:color w:val="000000"/>
        </w:rPr>
        <w:t>, "Autonomous vehicles regulation comparison" (2024)</w:t>
      </w:r>
      <w:bookmarkStart w:id="288" w:name="fnref51"/>
      <w:bookmarkEnd w:id="288"/>
      <w:r>
        <w:fldChar w:fldCharType="begin"/>
      </w:r>
      <w:r>
        <w:instrText xml:space="preserve"> HYPERLINK \l "fn51" \h </w:instrText>
      </w:r>
      <w:r>
        <w:fldChar w:fldCharType="separate"/>
      </w:r>
      <w:r>
        <w:rPr>
          <w:rFonts w:ascii="inter" w:hAnsi="inter" w:eastAsia="inter" w:cs="inter"/>
          <w:color w:val="000000"/>
          <w:u w:val="single"/>
          <w:vertAlign w:val="superscript"/>
        </w:rPr>
        <w:t>[51]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ScienceDirect, "Automated driving regulations – where are we now?" (2024)</w:t>
      </w:r>
      <w:bookmarkStart w:id="289" w:name="fnref52"/>
      <w:bookmarkEnd w:id="289"/>
      <w:r>
        <w:fldChar w:fldCharType="begin"/>
      </w:r>
      <w:r>
        <w:instrText xml:space="preserve"> HYPERLINK \l "fn52" \h </w:instrText>
      </w:r>
      <w:r>
        <w:fldChar w:fldCharType="separate"/>
      </w:r>
      <w:r>
        <w:rPr>
          <w:rFonts w:ascii="inter" w:hAnsi="inter" w:eastAsia="inter" w:cs="inter"/>
          <w:color w:val="000000"/>
          <w:u w:val="single"/>
          <w:vertAlign w:val="superscript"/>
        </w:rPr>
        <w:t>[52]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Gonzalez Cartwright, "Legal Implications of Accidents Involving Autonomous Uber Vehicles" (2024)</w:t>
      </w:r>
      <w:bookmarkStart w:id="290" w:name="fnref53"/>
      <w:bookmarkEnd w:id="290"/>
      <w:r>
        <w:fldChar w:fldCharType="begin"/>
      </w:r>
      <w:r>
        <w:instrText xml:space="preserve"> HYPERLINK \l "fn53" \h </w:instrText>
      </w:r>
      <w:r>
        <w:fldChar w:fldCharType="separate"/>
      </w:r>
      <w:r>
        <w:rPr>
          <w:rFonts w:ascii="inter" w:hAnsi="inter" w:eastAsia="inter" w:cs="inter"/>
          <w:color w:val="000000"/>
          <w:u w:val="single"/>
          <w:vertAlign w:val="superscript"/>
        </w:rPr>
        <w:t>[53]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Script-ed, "Autonomous cars: A driving force for change in motor liability and insurance" (2020)</w:t>
      </w:r>
      <w:bookmarkStart w:id="291" w:name="fnref21_4"/>
      <w:bookmarkEnd w:id="291"/>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Reed Smith, "The new EU Product Liability Directive: key implications for autonomous vehicles" (2025)</w:t>
      </w:r>
      <w:bookmarkStart w:id="292" w:name="fnref7_10"/>
      <w:bookmarkEnd w:id="29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Todd Miner Law, "Who Is Responsible for an Uber Self-Driving Car Accident?" (2025)</w:t>
      </w:r>
      <w:bookmarkStart w:id="293" w:name="fnref54"/>
      <w:bookmarkEnd w:id="293"/>
      <w:r>
        <w:fldChar w:fldCharType="begin"/>
      </w:r>
      <w:r>
        <w:instrText xml:space="preserve"> HYPERLINK \l "fn54" \h </w:instrText>
      </w:r>
      <w:r>
        <w:fldChar w:fldCharType="separate"/>
      </w:r>
      <w:r>
        <w:rPr>
          <w:rFonts w:ascii="inter" w:hAnsi="inter" w:eastAsia="inter" w:cs="inter"/>
          <w:color w:val="000000"/>
          <w:u w:val="single"/>
          <w:vertAlign w:val="superscript"/>
        </w:rPr>
        <w:t>[54]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Wistrand, "Automated Systems in Vehicles and Drivers' Liability" (CMS, 2023)</w:t>
      </w:r>
      <w:bookmarkStart w:id="294" w:name="fnref10_7"/>
      <w:bookmarkEnd w:id="29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Illinois Business Law Journal, "Automated Vehicles: Strict Products Liability, Negligence Liability" (2016)</w:t>
      </w:r>
      <w:bookmarkStart w:id="295" w:name="fnref22_8"/>
      <w:bookmarkEnd w:id="29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University of York, "Autonomous driving, accidents and fatalities" (2019)</w:t>
      </w:r>
      <w:bookmarkStart w:id="296" w:name="fnref43_2"/>
      <w:bookmarkEnd w:id="296"/>
      <w:r>
        <w:fldChar w:fldCharType="begin"/>
      </w:r>
      <w:r>
        <w:instrText xml:space="preserve"> HYPERLINK \l "fn43" \h </w:instrText>
      </w:r>
      <w:r>
        <w:fldChar w:fldCharType="separate"/>
      </w:r>
      <w:r>
        <w:rPr>
          <w:rFonts w:ascii="inter" w:hAnsi="inter" w:eastAsia="inter" w:cs="inter"/>
          <w:color w:val="000000"/>
          <w:u w:val="single"/>
          <w:vertAlign w:val="superscript"/>
        </w:rPr>
        <w:t>[43]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Justin Minton Law, "Car Accidents Caused by Autonomous Vehicles: Who's Liable?" (2025)</w:t>
      </w:r>
      <w:bookmarkStart w:id="297" w:name="fnref42_1"/>
      <w:bookmarkEnd w:id="297"/>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Duke Law, "Products Liability for Software Defects in Driverless Cars" (2016)</w:t>
      </w:r>
      <w:bookmarkStart w:id="298" w:name="fnref23_1"/>
      <w:bookmarkEnd w:id="29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Reuters, "Fatal U.S. self-driving auto accident raises novel legal questions" (2018)</w:t>
      </w:r>
      <w:bookmarkStart w:id="299" w:name="fnref40_6"/>
      <w:bookmarkEnd w:id="299"/>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Stanford Law School, "Uber Self-Driving Cars, Liability, and Regulation" (2018)</w:t>
      </w:r>
      <w:bookmarkStart w:id="300" w:name="fnref55"/>
      <w:bookmarkEnd w:id="300"/>
      <w:r>
        <w:fldChar w:fldCharType="begin"/>
      </w:r>
      <w:r>
        <w:instrText xml:space="preserve"> HYPERLINK \l "fn55" \h </w:instrText>
      </w:r>
      <w:r>
        <w:fldChar w:fldCharType="separate"/>
      </w:r>
      <w:r>
        <w:rPr>
          <w:rFonts w:ascii="inter" w:hAnsi="inter" w:eastAsia="inter" w:cs="inter"/>
          <w:color w:val="000000"/>
          <w:u w:val="single"/>
          <w:vertAlign w:val="superscript"/>
        </w:rPr>
        <w:t>[55]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ScienceDirect/Leaders in Law, "Liability in Self-Driving Car Accidents: Who's Responsible?" (2024)</w:t>
      </w:r>
      <w:bookmarkStart w:id="301" w:name="fnref5_15"/>
      <w:bookmarkEnd w:id="30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Brookings Institution, "Creating a compensation framework for autonomous vehicle incidents" (2025)</w:t>
      </w:r>
      <w:bookmarkStart w:id="302" w:name="fnref41_2"/>
      <w:bookmarkEnd w:id="302"/>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LinkedIn/Agnieszka Kulacka, "UK Regulates Robo-Taxis from 2026: Liability Shifts to ASDE" (2025)</w:t>
      </w:r>
      <w:bookmarkStart w:id="303" w:name="fnref34_1"/>
      <w:bookmarkEnd w:id="303"/>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AutoCrypt, "EDR and DSSAD: Vehicle Accident Analysis Tools" (2024)</w:t>
      </w:r>
      <w:bookmarkStart w:id="304" w:name="fnref12_2"/>
      <w:bookmarkEnd w:id="30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LBP Legal, "Liability for damage caused by autonomous vehicles" (2025)</w:t>
      </w:r>
      <w:bookmarkStart w:id="305" w:name="fnref25_1"/>
      <w:bookmarkEnd w:id="305"/>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39 Essex Chambers, "The UK's Automated Vehicles Act 2024: Comprehensive Overview" (2025)</w:t>
      </w:r>
      <w:bookmarkStart w:id="306" w:name="fnref14_19"/>
      <w:bookmarkEnd w:id="30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CYEQT, "EU Product Liability Directive (2024) – Automotive Industry" (2025)</w:t>
      </w:r>
      <w:bookmarkStart w:id="307" w:name="fnref6_14"/>
      <w:bookmarkEnd w:id="30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Stewarts Law, "Automated vehicles: lessons for personal injury practitioners" (2024)</w:t>
      </w:r>
      <w:bookmarkStart w:id="308" w:name="fnref38_1"/>
      <w:bookmarkEnd w:id="308"/>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Wikipedia, "Event data recorder" (2025)</w:t>
      </w:r>
      <w:bookmarkStart w:id="309" w:name="fnref11_1"/>
      <w:bookmarkEnd w:id="309"/>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Security Compass, "EU's Revised Product Liability Directive: Impact on Legal Liability" (2025)</w:t>
      </w:r>
      <w:bookmarkStart w:id="310" w:name="fnref15_3"/>
      <w:bookmarkEnd w:id="310"/>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ABI, "Insurer Requirements for Automated Vehicles" (2024)</w:t>
      </w:r>
      <w:bookmarkStart w:id="311" w:name="fnref39_2"/>
      <w:bookmarkEnd w:id="311"/>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UNECE, "EDR and DSSAD Data Specification" (2022)</w:t>
      </w:r>
      <w:bookmarkStart w:id="312" w:name="fnref56"/>
      <w:bookmarkEnd w:id="312"/>
      <w:r>
        <w:fldChar w:fldCharType="begin"/>
      </w:r>
      <w:r>
        <w:instrText xml:space="preserve"> HYPERLINK \l "fn56" \h </w:instrText>
      </w:r>
      <w:r>
        <w:fldChar w:fldCharType="separate"/>
      </w:r>
      <w:r>
        <w:rPr>
          <w:rFonts w:ascii="inter" w:hAnsi="inter" w:eastAsia="inter" w:cs="inter"/>
          <w:color w:val="000000"/>
          <w:u w:val="single"/>
          <w:vertAlign w:val="superscript"/>
        </w:rPr>
        <w:t>[56]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Business Car, "Allianz data shows ADAS benefits" (2025)</w:t>
      </w:r>
      <w:bookmarkStart w:id="313" w:name="fnref1_8"/>
      <w:bookmarkEnd w:id="31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Dorleco, "ADAS Sensor Fusion and Data Integration" (2025)</w:t>
      </w:r>
      <w:bookmarkStart w:id="314" w:name="fnref3_3"/>
      <w:bookmarkEnd w:id="31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Brookings Institution, "Creating a compensation framework for autonomous vehicle incidents" (2025)</w:t>
      </w:r>
      <w:bookmarkStart w:id="315" w:name="fnref35_7"/>
      <w:bookmarkEnd w:id="315"/>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Allianz, "Allianz reports safety gains from automated mobility" (2025)</w:t>
      </w:r>
      <w:bookmarkStart w:id="316" w:name="fnref32_3"/>
      <w:bookmarkEnd w:id="31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William &amp; Mary Law Review, "Autonomous Vehicles &amp; Alternative Victim Compensation Schemes" (2019)</w:t>
      </w:r>
      <w:bookmarkStart w:id="317" w:name="fnref36_6"/>
      <w:bookmarkEnd w:id="317"/>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American College of Coverage, "Insurance for Autonomous Vehicles" (2024)</w:t>
      </w:r>
      <w:bookmarkStart w:id="318" w:name="fnref37_1"/>
      <w:bookmarkEnd w:id="318"/>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Collins Law Firm, "Faulty ADAS: Who's Liable for Your Accident?" (2025)</w:t>
      </w:r>
      <w:bookmarkStart w:id="319" w:name="fnref57"/>
      <w:bookmarkEnd w:id="319"/>
      <w:r>
        <w:fldChar w:fldCharType="begin"/>
      </w:r>
      <w:r>
        <w:instrText xml:space="preserve"> HYPERLINK \l "fn57" \h </w:instrText>
      </w:r>
      <w:r>
        <w:fldChar w:fldCharType="separate"/>
      </w:r>
      <w:r>
        <w:rPr>
          <w:rFonts w:ascii="inter" w:hAnsi="inter" w:eastAsia="inter" w:cs="inter"/>
          <w:color w:val="000000"/>
          <w:u w:val="single"/>
          <w:vertAlign w:val="superscript"/>
        </w:rPr>
        <w:t>[57]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Singapore Academy of Law, "Autonomous Vehicles and Insurance Law Principles" (2020)</w:t>
      </w:r>
      <w:bookmarkStart w:id="320" w:name="fnref33_1"/>
      <w:bookmarkEnd w:id="320"/>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Allianz UK, "Designing vehicle risk ratings fit for the future" (2025)</w:t>
      </w:r>
      <w:bookmarkStart w:id="321" w:name="fnref27_4"/>
      <w:bookmarkEnd w:id="321"/>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Todd Miner Law, "Automotive Software Failure and Car Accidents" (2024)</w:t>
      </w:r>
      <w:bookmarkStart w:id="322" w:name="fnref58"/>
      <w:bookmarkEnd w:id="322"/>
      <w:r>
        <w:fldChar w:fldCharType="begin"/>
      </w:r>
      <w:r>
        <w:instrText xml:space="preserve"> HYPERLINK \l "fn58" \h </w:instrText>
      </w:r>
      <w:r>
        <w:fldChar w:fldCharType="separate"/>
      </w:r>
      <w:r>
        <w:rPr>
          <w:rFonts w:ascii="inter" w:hAnsi="inter" w:eastAsia="inter" w:cs="inter"/>
          <w:color w:val="000000"/>
          <w:u w:val="single"/>
          <w:vertAlign w:val="superscript"/>
        </w:rPr>
        <w:t>[58]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MIT, "Operational Design Domain (ODD) Framework" (2018)</w:t>
      </w:r>
      <w:bookmarkStart w:id="323" w:name="fnref2_12"/>
      <w:bookmarkEnd w:id="32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UNECE, "Global Technical Regulation on Automated Driving System (ADS)" (2025)</w:t>
      </w:r>
      <w:bookmarkStart w:id="324" w:name="fnref30_3"/>
      <w:bookmarkEnd w:id="324"/>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Dewesoft, "ADAS Standards and ADAS Safety Protocols" (2023)</w:t>
      </w:r>
      <w:bookmarkStart w:id="325" w:name="fnref31_5"/>
      <w:bookmarkEnd w:id="325"/>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ACEA, "Code of Practice for the Design and Evaluation of ADAS" (2008)</w:t>
      </w:r>
      <w:bookmarkStart w:id="326" w:name="fnref28_1"/>
      <w:bookmarkEnd w:id="326"/>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UNECE, "Emergency Lane Keeping System and DSSAD Guidance" (2025)</w:t>
      </w:r>
      <w:bookmarkStart w:id="327" w:name="fnref13_8"/>
      <w:bookmarkEnd w:id="32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08787282">
      <w:pPr>
        <w:spacing w:line="360" w:lineRule="auto"/>
      </w:pPr>
      <w:r>
        <w:rPr>
          <w:rFonts w:ascii="inter" w:hAnsi="inter" w:eastAsia="inter" w:cs="inter"/>
          <w:color w:val="000000"/>
        </w:rPr>
        <w:t>⁂</w:t>
      </w:r>
    </w:p>
    <w:p w14:paraId="08B8237A">
      <w:pPr>
        <w:spacing w:before="210" w:after="0" w:line="360" w:lineRule="auto"/>
      </w:pPr>
      <w:r>
        <w:pict>
          <v:rect id="_x0000_s1039" o:spid="_x0000_s1039" o:spt="1" style="height:0.05pt;width:475.5pt;" coordsize="21600,21600">
            <v:path/>
            <v:fill focussize="0,0"/>
            <v:stroke weight="1pt" color="#000000" opacity="0f"/>
            <v:imagedata o:title=""/>
            <o:lock v:ext="edit"/>
            <w10:wrap type="none"/>
            <w10:anchorlock/>
          </v:rect>
        </w:pict>
      </w:r>
    </w:p>
    <w:p w14:paraId="3620A29E">
      <w:pPr>
        <w:numPr>
          <w:ilvl w:val="0"/>
          <w:numId w:val="46"/>
        </w:numPr>
        <w:spacing w:after="210" w:line="360" w:lineRule="auto"/>
      </w:pPr>
      <w:bookmarkStart w:id="328" w:name="fn1"/>
      <w:bookmarkEnd w:id="328"/>
      <w:r>
        <w:fldChar w:fldCharType="begin"/>
      </w:r>
      <w:r>
        <w:instrText xml:space="preserve"> HYPERLINK "https://www.businesscar.co.uk/news/allianz-data-shows-adas-benefits/" \h </w:instrText>
      </w:r>
      <w:r>
        <w:fldChar w:fldCharType="separate"/>
      </w:r>
      <w:r>
        <w:rPr>
          <w:rFonts w:ascii="inter" w:hAnsi="inter" w:eastAsia="inter" w:cs="inter"/>
          <w:color w:val="000000"/>
          <w:sz w:val="18"/>
          <w:u w:val="single"/>
        </w:rPr>
        <w:t>https://www.businesscar.co.uk/news/allianz-data-shows-adas-benefits/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FCC2AA">
      <w:pPr>
        <w:numPr>
          <w:ilvl w:val="0"/>
          <w:numId w:val="46"/>
        </w:numPr>
        <w:spacing w:after="210" w:line="360" w:lineRule="auto"/>
      </w:pPr>
      <w:bookmarkStart w:id="329" w:name="fn2"/>
      <w:bookmarkEnd w:id="329"/>
      <w:r>
        <w:fldChar w:fldCharType="begin"/>
      </w:r>
      <w:r>
        <w:instrText xml:space="preserve"> HYPERLINK "https://dspace.mit.edu/bitstream/handle/1721.1/129156/1227276783-MIT.pdf?sequence=1" \h </w:instrText>
      </w:r>
      <w:r>
        <w:fldChar w:fldCharType="separate"/>
      </w:r>
      <w:r>
        <w:rPr>
          <w:rFonts w:ascii="inter" w:hAnsi="inter" w:eastAsia="inter" w:cs="inter"/>
          <w:color w:val="000000"/>
          <w:sz w:val="18"/>
          <w:u w:val="single"/>
        </w:rPr>
        <w:t>https://dspace.mit.edu/bitstream/handle/1721.1/129156/1227276783-MIT.pdf?sequence=1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0C6D15">
      <w:pPr>
        <w:numPr>
          <w:ilvl w:val="0"/>
          <w:numId w:val="46"/>
        </w:numPr>
        <w:spacing w:after="210" w:line="360" w:lineRule="auto"/>
      </w:pPr>
      <w:bookmarkStart w:id="330" w:name="fn3"/>
      <w:bookmarkEnd w:id="330"/>
      <w:r>
        <w:fldChar w:fldCharType="begin"/>
      </w:r>
      <w:r>
        <w:instrText xml:space="preserve"> HYPERLINK "https://dorleco.com/adas-sensor-fusion-and-data-integration/" \h </w:instrText>
      </w:r>
      <w:r>
        <w:fldChar w:fldCharType="separate"/>
      </w:r>
      <w:r>
        <w:rPr>
          <w:rFonts w:ascii="inter" w:hAnsi="inter" w:eastAsia="inter" w:cs="inter"/>
          <w:color w:val="000000"/>
          <w:sz w:val="18"/>
          <w:u w:val="single"/>
        </w:rPr>
        <w:t>https://dorleco.com/adas-sensor-fusion-and-data-integration/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E2075E">
      <w:pPr>
        <w:numPr>
          <w:ilvl w:val="0"/>
          <w:numId w:val="46"/>
        </w:numPr>
        <w:spacing w:after="210" w:line="360" w:lineRule="auto"/>
      </w:pPr>
      <w:bookmarkStart w:id="331" w:name="fn4"/>
      <w:bookmarkEnd w:id="331"/>
      <w:r>
        <w:fldChar w:fldCharType="begin"/>
      </w:r>
      <w:r>
        <w:instrText xml:space="preserve"> HYPERLINK "https://arxiv.org/html/2405.17435v2" \h </w:instrText>
      </w:r>
      <w:r>
        <w:fldChar w:fldCharType="separate"/>
      </w:r>
      <w:r>
        <w:rPr>
          <w:rFonts w:ascii="inter" w:hAnsi="inter" w:eastAsia="inter" w:cs="inter"/>
          <w:color w:val="000000"/>
          <w:sz w:val="18"/>
          <w:u w:val="single"/>
        </w:rPr>
        <w:t>https://arxiv.org/html/2405.17435v2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6083B4">
      <w:pPr>
        <w:numPr>
          <w:ilvl w:val="0"/>
          <w:numId w:val="46"/>
        </w:numPr>
        <w:spacing w:after="210" w:line="360" w:lineRule="auto"/>
      </w:pPr>
      <w:bookmarkStart w:id="332" w:name="fn5"/>
      <w:bookmarkEnd w:id="332"/>
      <w:r>
        <w:fldChar w:fldCharType="begin"/>
      </w:r>
      <w:r>
        <w:instrText xml:space="preserve"> HYPERLINK "https://scholarship.law.duke.edu/cgi/viewcontent.cgi?article=1322&amp;context=dltr" \h </w:instrText>
      </w:r>
      <w:r>
        <w:fldChar w:fldCharType="separate"/>
      </w:r>
      <w:r>
        <w:rPr>
          <w:rFonts w:ascii="inter" w:hAnsi="inter" w:eastAsia="inter" w:cs="inter"/>
          <w:color w:val="000000"/>
          <w:sz w:val="18"/>
          <w:u w:val="single"/>
        </w:rPr>
        <w:t>https://scholarship.law.duke.edu/cgi/viewcontent.cgi?article=1322&amp;context=dltr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E7C9EE">
      <w:pPr>
        <w:numPr>
          <w:ilvl w:val="0"/>
          <w:numId w:val="46"/>
        </w:numPr>
        <w:spacing w:after="210" w:line="360" w:lineRule="auto"/>
      </w:pPr>
      <w:bookmarkStart w:id="333" w:name="fn6"/>
      <w:bookmarkEnd w:id="333"/>
      <w:r>
        <w:fldChar w:fldCharType="begin"/>
      </w:r>
      <w:r>
        <w:instrText xml:space="preserve"> HYPERLINK "https://www.cyeqt.com/en/new-eu-product-liability-directive-2024-automotive-industry/" \h </w:instrText>
      </w:r>
      <w:r>
        <w:fldChar w:fldCharType="separate"/>
      </w:r>
      <w:r>
        <w:rPr>
          <w:rFonts w:ascii="inter" w:hAnsi="inter" w:eastAsia="inter" w:cs="inter"/>
          <w:color w:val="000000"/>
          <w:sz w:val="18"/>
          <w:u w:val="single"/>
        </w:rPr>
        <w:t>https://www.cyeqt.com/en/new-eu-product-liability-directive-2024-automotive-industry/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AF73E2">
      <w:pPr>
        <w:numPr>
          <w:ilvl w:val="0"/>
          <w:numId w:val="46"/>
        </w:numPr>
        <w:spacing w:after="210" w:line="360" w:lineRule="auto"/>
      </w:pPr>
      <w:bookmarkStart w:id="334" w:name="fn7"/>
      <w:bookmarkEnd w:id="334"/>
      <w:r>
        <w:fldChar w:fldCharType="begin"/>
      </w:r>
      <w:r>
        <w:instrText xml:space="preserve"> HYPERLINK "https://www.reedsmith.com/articles/the-new-eu-product-liability-key-implications-autonomous-vehicle/" \h </w:instrText>
      </w:r>
      <w:r>
        <w:fldChar w:fldCharType="separate"/>
      </w:r>
      <w:r>
        <w:rPr>
          <w:rFonts w:ascii="inter" w:hAnsi="inter" w:eastAsia="inter" w:cs="inter"/>
          <w:color w:val="000000"/>
          <w:sz w:val="18"/>
          <w:u w:val="single"/>
        </w:rPr>
        <w:t>https://www.reedsmith.com/articles/the-new-eu-product-liability-key-implications-autonomous-vehicle/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1CF53F">
      <w:pPr>
        <w:numPr>
          <w:ilvl w:val="0"/>
          <w:numId w:val="46"/>
        </w:numPr>
        <w:spacing w:after="210" w:line="360" w:lineRule="auto"/>
      </w:pPr>
      <w:bookmarkStart w:id="335" w:name="fn8"/>
      <w:bookmarkEnd w:id="335"/>
      <w:r>
        <w:fldChar w:fldCharType="begin"/>
      </w:r>
      <w:r>
        <w:instrText xml:space="preserve"> HYPERLINK "https://www.drewnapier.com/DrewNapier/media/DrewNapier/Autonomous-vehicles-in-Singapore-laws-and-liability.pdf" \h </w:instrText>
      </w:r>
      <w:r>
        <w:fldChar w:fldCharType="separate"/>
      </w:r>
      <w:r>
        <w:rPr>
          <w:rFonts w:ascii="inter" w:hAnsi="inter" w:eastAsia="inter" w:cs="inter"/>
          <w:color w:val="000000"/>
          <w:sz w:val="18"/>
          <w:u w:val="single"/>
        </w:rPr>
        <w:t>https://www.drewnapier.com/DrewNapier/media/DrewNapier/Autonomous-vehicles-in-Singapore-laws-and-liability.pdf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1B539E">
      <w:pPr>
        <w:numPr>
          <w:ilvl w:val="0"/>
          <w:numId w:val="46"/>
        </w:numPr>
        <w:spacing w:after="210" w:line="360" w:lineRule="auto"/>
      </w:pPr>
      <w:bookmarkStart w:id="336" w:name="fn9"/>
      <w:bookmarkEnd w:id="336"/>
      <w:r>
        <w:fldChar w:fldCharType="begin"/>
      </w:r>
      <w:r>
        <w:instrText xml:space="preserve"> HYPERLINK "https://reports.weforum.org/docs/WEF_Autonomous_Vehicles_2025.pdf" \h </w:instrText>
      </w:r>
      <w:r>
        <w:fldChar w:fldCharType="separate"/>
      </w:r>
      <w:r>
        <w:rPr>
          <w:rFonts w:ascii="inter" w:hAnsi="inter" w:eastAsia="inter" w:cs="inter"/>
          <w:color w:val="000000"/>
          <w:sz w:val="18"/>
          <w:u w:val="single"/>
        </w:rPr>
        <w:t>https://reports.weforum.org/docs/WEF_Autonomous_Vehicles_2025.pdf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99447E">
      <w:pPr>
        <w:numPr>
          <w:ilvl w:val="0"/>
          <w:numId w:val="46"/>
        </w:numPr>
        <w:spacing w:after="210" w:line="360" w:lineRule="auto"/>
      </w:pPr>
      <w:bookmarkStart w:id="337" w:name="fn10"/>
      <w:bookmarkEnd w:id="337"/>
      <w:r>
        <w:fldChar w:fldCharType="begin"/>
      </w:r>
      <w:r>
        <w:instrText xml:space="preserve"> HYPERLINK "https://cms.law/en/swe/news/automated-systems-in-vehicles-and-drivers-liability" \h </w:instrText>
      </w:r>
      <w:r>
        <w:fldChar w:fldCharType="separate"/>
      </w:r>
      <w:r>
        <w:rPr>
          <w:rFonts w:ascii="inter" w:hAnsi="inter" w:eastAsia="inter" w:cs="inter"/>
          <w:color w:val="000000"/>
          <w:sz w:val="18"/>
          <w:u w:val="single"/>
        </w:rPr>
        <w:t>https://cms.law/en/swe/news/automated-systems-in-vehicles-and-drivers-liability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C76CAB2">
      <w:pPr>
        <w:numPr>
          <w:ilvl w:val="0"/>
          <w:numId w:val="46"/>
        </w:numPr>
        <w:spacing w:after="210" w:line="360" w:lineRule="auto"/>
      </w:pPr>
      <w:bookmarkStart w:id="338" w:name="fn11"/>
      <w:bookmarkEnd w:id="338"/>
      <w:r>
        <w:fldChar w:fldCharType="begin"/>
      </w:r>
      <w:r>
        <w:instrText xml:space="preserve"> HYPERLINK "https://en.wikipedia.org/wiki/Event_data_recorder" \h </w:instrText>
      </w:r>
      <w:r>
        <w:fldChar w:fldCharType="separate"/>
      </w:r>
      <w:r>
        <w:rPr>
          <w:rFonts w:ascii="inter" w:hAnsi="inter" w:eastAsia="inter" w:cs="inter"/>
          <w:color w:val="000000"/>
          <w:sz w:val="18"/>
          <w:u w:val="single"/>
        </w:rPr>
        <w:t>https://en.wikipedia.org/wiki/Event_data_recorder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FAA48F">
      <w:pPr>
        <w:numPr>
          <w:ilvl w:val="0"/>
          <w:numId w:val="46"/>
        </w:numPr>
        <w:spacing w:after="210" w:line="360" w:lineRule="auto"/>
      </w:pPr>
      <w:bookmarkStart w:id="339" w:name="fn12"/>
      <w:bookmarkEnd w:id="339"/>
      <w:r>
        <w:fldChar w:fldCharType="begin"/>
      </w:r>
      <w:r>
        <w:instrText xml:space="preserve"> HYPERLINK "https://autocrypt.io/edr-dssad-vehicle-accident-analysis-tools/" \h </w:instrText>
      </w:r>
      <w:r>
        <w:fldChar w:fldCharType="separate"/>
      </w:r>
      <w:r>
        <w:rPr>
          <w:rFonts w:ascii="inter" w:hAnsi="inter" w:eastAsia="inter" w:cs="inter"/>
          <w:color w:val="000000"/>
          <w:sz w:val="18"/>
          <w:u w:val="single"/>
        </w:rPr>
        <w:t>https://autocrypt.io/edr-dssad-vehicle-accident-analysis-tools/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383F9A">
      <w:pPr>
        <w:numPr>
          <w:ilvl w:val="0"/>
          <w:numId w:val="46"/>
        </w:numPr>
        <w:spacing w:after="210" w:line="360" w:lineRule="auto"/>
      </w:pPr>
      <w:bookmarkStart w:id="340" w:name="fn13"/>
      <w:bookmarkEnd w:id="340"/>
      <w:r>
        <w:fldChar w:fldCharType="begin"/>
      </w:r>
      <w:r>
        <w:instrText xml:space="preserve"> HYPERLINK "https://unece.org/media/press/403929" \h </w:instrText>
      </w:r>
      <w:r>
        <w:fldChar w:fldCharType="separate"/>
      </w:r>
      <w:r>
        <w:rPr>
          <w:rFonts w:ascii="inter" w:hAnsi="inter" w:eastAsia="inter" w:cs="inter"/>
          <w:color w:val="000000"/>
          <w:sz w:val="18"/>
          <w:u w:val="single"/>
        </w:rPr>
        <w:t>https://unece.org/media/press/403929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682E50">
      <w:pPr>
        <w:numPr>
          <w:ilvl w:val="0"/>
          <w:numId w:val="46"/>
        </w:numPr>
        <w:spacing w:after="210" w:line="360" w:lineRule="auto"/>
      </w:pPr>
      <w:bookmarkStart w:id="341" w:name="fn14"/>
      <w:bookmarkEnd w:id="341"/>
      <w:r>
        <w:fldChar w:fldCharType="begin"/>
      </w:r>
      <w:r>
        <w:instrText xml:space="preserve"> HYPERLINK "https://www.39essex.com/information-hub/blog/uks-automated-vehicles-act-2024-comprehensive-overview" \h </w:instrText>
      </w:r>
      <w:r>
        <w:fldChar w:fldCharType="separate"/>
      </w:r>
      <w:r>
        <w:rPr>
          <w:rFonts w:ascii="inter" w:hAnsi="inter" w:eastAsia="inter" w:cs="inter"/>
          <w:color w:val="000000"/>
          <w:sz w:val="18"/>
          <w:u w:val="single"/>
        </w:rPr>
        <w:t>https://www.39essex.com/information-hub/blog/uks-automated-vehicles-act-2024-comprehensive-overview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8A83BB">
      <w:pPr>
        <w:numPr>
          <w:ilvl w:val="0"/>
          <w:numId w:val="46"/>
        </w:numPr>
        <w:spacing w:after="210" w:line="360" w:lineRule="auto"/>
      </w:pPr>
      <w:bookmarkStart w:id="342" w:name="fn15"/>
      <w:bookmarkEnd w:id="342"/>
      <w:r>
        <w:fldChar w:fldCharType="begin"/>
      </w:r>
      <w:r>
        <w:instrText xml:space="preserve"> HYPERLINK "https://www.securitycompass.com/blog/eu-revised-product-liability-directive/" \h </w:instrText>
      </w:r>
      <w:r>
        <w:fldChar w:fldCharType="separate"/>
      </w:r>
      <w:r>
        <w:rPr>
          <w:rFonts w:ascii="inter" w:hAnsi="inter" w:eastAsia="inter" w:cs="inter"/>
          <w:color w:val="000000"/>
          <w:sz w:val="18"/>
          <w:u w:val="single"/>
        </w:rPr>
        <w:t>https://www.securitycompass.com/blog/eu-revised-product-liability-directive/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016ACE">
      <w:pPr>
        <w:numPr>
          <w:ilvl w:val="0"/>
          <w:numId w:val="46"/>
        </w:numPr>
        <w:spacing w:after="210" w:line="360" w:lineRule="auto"/>
      </w:pPr>
      <w:bookmarkStart w:id="343" w:name="fn16"/>
      <w:bookmarkEnd w:id="343"/>
      <w:r>
        <w:fldChar w:fldCharType="begin"/>
      </w:r>
      <w:r>
        <w:instrText xml:space="preserve"> HYPERLINK "https://www.nhtsa.gov/sites/nhtsa.dot.gov/files/documents/ads_safety_principles_anprm_website_version.pdf" \h </w:instrText>
      </w:r>
      <w:r>
        <w:fldChar w:fldCharType="separate"/>
      </w:r>
      <w:r>
        <w:rPr>
          <w:rFonts w:ascii="inter" w:hAnsi="inter" w:eastAsia="inter" w:cs="inter"/>
          <w:color w:val="000000"/>
          <w:sz w:val="18"/>
          <w:u w:val="single"/>
        </w:rPr>
        <w:t>https://www.nhtsa.gov/sites/nhtsa.dot.gov/files/documents/ads_safety_principles_anprm_website_version.pdf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46A52D">
      <w:pPr>
        <w:numPr>
          <w:ilvl w:val="0"/>
          <w:numId w:val="46"/>
        </w:numPr>
        <w:spacing w:after="210" w:line="360" w:lineRule="auto"/>
      </w:pPr>
      <w:bookmarkStart w:id="344" w:name="fn17"/>
      <w:bookmarkEnd w:id="344"/>
      <w:r>
        <w:fldChar w:fldCharType="begin"/>
      </w:r>
      <w:r>
        <w:instrText xml:space="preserve"> HYPERLINK "https://www.jonesday.com/-/media/files/publications/2017/11/legal-issues-related-to-the-development-of-automat/files/legal-issues-related-to-autonomous-carspdf/fileattachment/legal-issues-related-to-autonomous-cars.pdf" \h </w:instrText>
      </w:r>
      <w:r>
        <w:fldChar w:fldCharType="separate"/>
      </w:r>
      <w:r>
        <w:rPr>
          <w:rFonts w:ascii="inter" w:hAnsi="inter" w:eastAsia="inter" w:cs="inter"/>
          <w:color w:val="000000"/>
          <w:sz w:val="18"/>
          <w:u w:val="single"/>
        </w:rPr>
        <w:t>https://www.jonesday.com/-/media/files/publications/2017/11/legal-issues-related-to-the-development-of-automat/files/legal-issues-related-to-autonomous-carspdf/fileattachment/legal-issues-related-to-autonomous-cars.pdf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D10CA1">
      <w:pPr>
        <w:numPr>
          <w:ilvl w:val="0"/>
          <w:numId w:val="46"/>
        </w:numPr>
        <w:spacing w:after="210" w:line="360" w:lineRule="auto"/>
      </w:pPr>
      <w:bookmarkStart w:id="345" w:name="fn18"/>
      <w:bookmarkEnd w:id="345"/>
      <w:r>
        <w:fldChar w:fldCharType="begin"/>
      </w:r>
      <w:r>
        <w:instrText xml:space="preserve"> HYPERLINK "https://www.mayerbrown.com/en/insights/publications/2025/04/dot-and-nhtsa-announce-autonomous-vehicle-framework" \h </w:instrText>
      </w:r>
      <w:r>
        <w:fldChar w:fldCharType="separate"/>
      </w:r>
      <w:r>
        <w:rPr>
          <w:rFonts w:ascii="inter" w:hAnsi="inter" w:eastAsia="inter" w:cs="inter"/>
          <w:color w:val="000000"/>
          <w:sz w:val="18"/>
          <w:u w:val="single"/>
        </w:rPr>
        <w:t>https://www.mayerbrown.com/en/insights/publications/2025/04/dot-and-nhtsa-announce-autonomous-vehicle-framework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9151D3">
      <w:pPr>
        <w:numPr>
          <w:ilvl w:val="0"/>
          <w:numId w:val="46"/>
        </w:numPr>
        <w:spacing w:after="210" w:line="360" w:lineRule="auto"/>
      </w:pPr>
      <w:bookmarkStart w:id="346" w:name="fn19"/>
      <w:bookmarkEnd w:id="346"/>
      <w:r>
        <w:fldChar w:fldCharType="begin"/>
      </w:r>
      <w:r>
        <w:instrText xml:space="preserve"> HYPERLINK "https://www.crowell.com/en/insights/client-alerts/nhtsa-announces-first-actions-under-trump-administrations-new-framework-for-removing-regulatory-barriers-for-automated-vehicles" \h </w:instrText>
      </w:r>
      <w:r>
        <w:fldChar w:fldCharType="separate"/>
      </w:r>
      <w:r>
        <w:rPr>
          <w:rFonts w:ascii="inter" w:hAnsi="inter" w:eastAsia="inter" w:cs="inter"/>
          <w:color w:val="000000"/>
          <w:sz w:val="18"/>
          <w:u w:val="single"/>
        </w:rPr>
        <w:t>https://www.crowell.com/en/insights/client-alerts/nhtsa-announces-first-actions-under-trump-administrations-new-framework-for-removing-regulatory-barriers-for-automated-vehicles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DD8B82">
      <w:pPr>
        <w:numPr>
          <w:ilvl w:val="0"/>
          <w:numId w:val="46"/>
        </w:numPr>
        <w:spacing w:after="210" w:line="360" w:lineRule="auto"/>
      </w:pPr>
      <w:bookmarkStart w:id="347" w:name="fn20"/>
      <w:bookmarkEnd w:id="347"/>
      <w:r>
        <w:fldChar w:fldCharType="begin"/>
      </w:r>
      <w:r>
        <w:instrText xml:space="preserve"> HYPERLINK "https://www.repairerdrivennews.com/2025/04/28/nhtsa-unveils-new-autonomous-vehicle-regulations-to-prevent-patchwork-of-state-laws/" \h </w:instrText>
      </w:r>
      <w:r>
        <w:fldChar w:fldCharType="separate"/>
      </w:r>
      <w:r>
        <w:rPr>
          <w:rFonts w:ascii="inter" w:hAnsi="inter" w:eastAsia="inter" w:cs="inter"/>
          <w:color w:val="000000"/>
          <w:sz w:val="18"/>
          <w:u w:val="single"/>
        </w:rPr>
        <w:t>https://www.repairerdrivennews.com/2025/04/28/nhtsa-unveils-new-autonomous-vehicle-regulations-to-prevent-patchwork-of-state-laws/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45B3A7">
      <w:pPr>
        <w:numPr>
          <w:ilvl w:val="0"/>
          <w:numId w:val="46"/>
        </w:numPr>
        <w:spacing w:after="210" w:line="360" w:lineRule="auto"/>
      </w:pPr>
      <w:bookmarkStart w:id="348" w:name="fn21"/>
      <w:bookmarkEnd w:id="348"/>
      <w:r>
        <w:fldChar w:fldCharType="begin"/>
      </w:r>
      <w:r>
        <w:instrText xml:space="preserve"> HYPERLINK "https://script-ed.org/article/autonomous-cars-a-driving-force-for-change-in-motor-liability-and-insurance/" \h </w:instrText>
      </w:r>
      <w:r>
        <w:fldChar w:fldCharType="separate"/>
      </w:r>
      <w:r>
        <w:rPr>
          <w:rFonts w:ascii="inter" w:hAnsi="inter" w:eastAsia="inter" w:cs="inter"/>
          <w:color w:val="000000"/>
          <w:sz w:val="18"/>
          <w:u w:val="single"/>
        </w:rPr>
        <w:t>https://script-ed.org/article/autonomous-cars-a-driving-force-for-change-in-motor-liability-and-insurance/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40017A">
      <w:pPr>
        <w:numPr>
          <w:ilvl w:val="0"/>
          <w:numId w:val="46"/>
        </w:numPr>
        <w:spacing w:after="210" w:line="360" w:lineRule="auto"/>
      </w:pPr>
      <w:bookmarkStart w:id="349" w:name="fn22"/>
      <w:bookmarkEnd w:id="349"/>
      <w:r>
        <w:fldChar w:fldCharType="begin"/>
      </w:r>
      <w:r>
        <w:instrText xml:space="preserve"> HYPERLINK "https://publish.illinois.edu/illinoisblj/2016/01/07/automated-vehicles-strict-products-liability-negligence-liability-and-proliferation/" \h </w:instrText>
      </w:r>
      <w:r>
        <w:fldChar w:fldCharType="separate"/>
      </w:r>
      <w:r>
        <w:rPr>
          <w:rFonts w:ascii="inter" w:hAnsi="inter" w:eastAsia="inter" w:cs="inter"/>
          <w:color w:val="000000"/>
          <w:sz w:val="18"/>
          <w:u w:val="single"/>
        </w:rPr>
        <w:t>https://publish.illinois.edu/illinoisblj/2016/01/07/automated-vehicles-strict-products-liability-negligence-liability-and-proliferation/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BB1787">
      <w:pPr>
        <w:numPr>
          <w:ilvl w:val="0"/>
          <w:numId w:val="46"/>
        </w:numPr>
        <w:spacing w:after="210" w:line="360" w:lineRule="auto"/>
      </w:pPr>
      <w:bookmarkStart w:id="350" w:name="fn23"/>
      <w:bookmarkEnd w:id="350"/>
      <w:r>
        <w:fldChar w:fldCharType="begin"/>
      </w:r>
      <w:r>
        <w:instrText xml:space="preserve"> HYPERLINK "https://gould.usc.edu/why/students/orgs/ilj/assets/docs/32-1-Rustad.pdf" \h </w:instrText>
      </w:r>
      <w:r>
        <w:fldChar w:fldCharType="separate"/>
      </w:r>
      <w:r>
        <w:rPr>
          <w:rFonts w:ascii="inter" w:hAnsi="inter" w:eastAsia="inter" w:cs="inter"/>
          <w:color w:val="000000"/>
          <w:sz w:val="18"/>
          <w:u w:val="single"/>
        </w:rPr>
        <w:t>https://gould.usc.edu/why/students/orgs/ilj/assets/docs/32-1-Rustad.pdf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55099E">
      <w:pPr>
        <w:numPr>
          <w:ilvl w:val="0"/>
          <w:numId w:val="46"/>
        </w:numPr>
        <w:spacing w:after="210" w:line="360" w:lineRule="auto"/>
      </w:pPr>
      <w:bookmarkStart w:id="351" w:name="fn24"/>
      <w:bookmarkEnd w:id="351"/>
      <w:r>
        <w:fldChar w:fldCharType="begin"/>
      </w:r>
      <w:r>
        <w:instrText xml:space="preserve"> HYPERLINK "https://www.legalink.net/en/publications/newsletters/legal-issues-arising-in-autonomous-driverless-vehicles-liability-and-privacy/6661/" \h </w:instrText>
      </w:r>
      <w:r>
        <w:fldChar w:fldCharType="separate"/>
      </w:r>
      <w:r>
        <w:rPr>
          <w:rFonts w:ascii="inter" w:hAnsi="inter" w:eastAsia="inter" w:cs="inter"/>
          <w:color w:val="000000"/>
          <w:sz w:val="18"/>
          <w:u w:val="single"/>
        </w:rPr>
        <w:t>https://www.legalink.net/en/publications/newsletters/legal-issues-arising-in-autonomous-driverless-vehicles-liability-and-privacy/6661/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D08EB9">
      <w:pPr>
        <w:numPr>
          <w:ilvl w:val="0"/>
          <w:numId w:val="46"/>
        </w:numPr>
        <w:spacing w:after="210" w:line="360" w:lineRule="auto"/>
      </w:pPr>
      <w:bookmarkStart w:id="352" w:name="fn25"/>
      <w:bookmarkEnd w:id="352"/>
      <w:r>
        <w:fldChar w:fldCharType="begin"/>
      </w:r>
      <w:r>
        <w:instrText xml:space="preserve"> HYPERLINK "https://lbplegal.com/en/liability-for-damage-caused-by-autonomous-vehicles-who-is-legally-responsible/" \h </w:instrText>
      </w:r>
      <w:r>
        <w:fldChar w:fldCharType="separate"/>
      </w:r>
      <w:r>
        <w:rPr>
          <w:rFonts w:ascii="inter" w:hAnsi="inter" w:eastAsia="inter" w:cs="inter"/>
          <w:color w:val="000000"/>
          <w:sz w:val="18"/>
          <w:u w:val="single"/>
        </w:rPr>
        <w:t>https://lbplegal.com/en/liability-for-damage-caused-by-autonomous-vehicles-who-is-legally-responsible/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17760A">
      <w:pPr>
        <w:numPr>
          <w:ilvl w:val="0"/>
          <w:numId w:val="46"/>
        </w:numPr>
        <w:spacing w:after="210" w:line="360" w:lineRule="auto"/>
      </w:pPr>
      <w:bookmarkStart w:id="353" w:name="fn26"/>
      <w:bookmarkEnd w:id="353"/>
      <w:r>
        <w:fldChar w:fldCharType="begin"/>
      </w:r>
      <w:r>
        <w:instrText xml:space="preserve"> HYPERLINK "https://www.allianz.com/content/dam/onemarketing/azcom/Allianz_com/press/document/motor-day-2025-report-hands-off-safety-promise-autonomous-driving.pdf" \h </w:instrText>
      </w:r>
      <w:r>
        <w:fldChar w:fldCharType="separate"/>
      </w:r>
      <w:r>
        <w:rPr>
          <w:rFonts w:ascii="inter" w:hAnsi="inter" w:eastAsia="inter" w:cs="inter"/>
          <w:color w:val="000000"/>
          <w:sz w:val="18"/>
          <w:u w:val="single"/>
        </w:rPr>
        <w:t>https://www.allianz.com/content/dam/onemarketing/azcom/Allianz_com/press/document/motor-day-2025-report-hands-off-safety-promise-autonomous-driving.pdf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E05092">
      <w:pPr>
        <w:numPr>
          <w:ilvl w:val="0"/>
          <w:numId w:val="46"/>
        </w:numPr>
        <w:spacing w:after="210" w:line="360" w:lineRule="auto"/>
      </w:pPr>
      <w:bookmarkStart w:id="354" w:name="fn27"/>
      <w:bookmarkEnd w:id="354"/>
      <w:r>
        <w:fldChar w:fldCharType="begin"/>
      </w:r>
      <w:r>
        <w:instrText xml:space="preserve"> HYPERLINK "https://www.allianz.com/en/mediacenter/topics/motor-day-2025.html" \h </w:instrText>
      </w:r>
      <w:r>
        <w:fldChar w:fldCharType="separate"/>
      </w:r>
      <w:r>
        <w:rPr>
          <w:rFonts w:ascii="inter" w:hAnsi="inter" w:eastAsia="inter" w:cs="inter"/>
          <w:color w:val="000000"/>
          <w:sz w:val="18"/>
          <w:u w:val="single"/>
        </w:rPr>
        <w:t>https://www.allianz.com/en/mediacenter/topics/motor-day-2025.html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216148">
      <w:pPr>
        <w:numPr>
          <w:ilvl w:val="0"/>
          <w:numId w:val="46"/>
        </w:numPr>
        <w:spacing w:after="210" w:line="360" w:lineRule="auto"/>
      </w:pPr>
      <w:bookmarkStart w:id="355" w:name="fn28"/>
      <w:bookmarkEnd w:id="355"/>
      <w:r>
        <w:fldChar w:fldCharType="begin"/>
      </w:r>
      <w:r>
        <w:instrText xml:space="preserve"> HYPERLINK "https://www.acea.auto/files/20090831_Code_of_Practice_ADAS.pdf" \h </w:instrText>
      </w:r>
      <w:r>
        <w:fldChar w:fldCharType="separate"/>
      </w:r>
      <w:r>
        <w:rPr>
          <w:rFonts w:ascii="inter" w:hAnsi="inter" w:eastAsia="inter" w:cs="inter"/>
          <w:color w:val="000000"/>
          <w:sz w:val="18"/>
          <w:u w:val="single"/>
        </w:rPr>
        <w:t>https://www.acea.auto/files/20090831_Code_of_Practice_ADAS.pdf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B43583">
      <w:pPr>
        <w:numPr>
          <w:ilvl w:val="0"/>
          <w:numId w:val="46"/>
        </w:numPr>
        <w:spacing w:after="210" w:line="360" w:lineRule="auto"/>
      </w:pPr>
      <w:bookmarkStart w:id="356" w:name="fn29"/>
      <w:bookmarkEnd w:id="356"/>
      <w:r>
        <w:fldChar w:fldCharType="begin"/>
      </w:r>
      <w:r>
        <w:instrText xml:space="preserve"> HYPERLINK "https://www.sae.org/news/blog/sae-levels-driving-automation-clarity-refinements" \h </w:instrText>
      </w:r>
      <w:r>
        <w:fldChar w:fldCharType="separate"/>
      </w:r>
      <w:r>
        <w:rPr>
          <w:rFonts w:ascii="inter" w:hAnsi="inter" w:eastAsia="inter" w:cs="inter"/>
          <w:color w:val="000000"/>
          <w:sz w:val="18"/>
          <w:u w:val="single"/>
        </w:rPr>
        <w:t>https://www.sae.org/news/blog/sae-levels-driving-automation-clarity-refinements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9114DD">
      <w:pPr>
        <w:numPr>
          <w:ilvl w:val="0"/>
          <w:numId w:val="46"/>
        </w:numPr>
        <w:spacing w:after="210" w:line="360" w:lineRule="auto"/>
      </w:pPr>
      <w:bookmarkStart w:id="357" w:name="fn30"/>
      <w:bookmarkEnd w:id="357"/>
      <w:r>
        <w:fldChar w:fldCharType="begin"/>
      </w:r>
      <w:r>
        <w:instrText xml:space="preserve"> HYPERLINK "https://unece.org/sites/default/files/2025-03/GRVA-WS06-03r2e_0.pdf" \h </w:instrText>
      </w:r>
      <w:r>
        <w:fldChar w:fldCharType="separate"/>
      </w:r>
      <w:r>
        <w:rPr>
          <w:rFonts w:ascii="inter" w:hAnsi="inter" w:eastAsia="inter" w:cs="inter"/>
          <w:color w:val="000000"/>
          <w:sz w:val="18"/>
          <w:u w:val="single"/>
        </w:rPr>
        <w:t>https://unece.org/sites/default/files/2025-03/GRVA-WS06-03r2e_0.pdf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DC82B4">
      <w:pPr>
        <w:numPr>
          <w:ilvl w:val="0"/>
          <w:numId w:val="46"/>
        </w:numPr>
        <w:spacing w:after="210" w:line="360" w:lineRule="auto"/>
      </w:pPr>
      <w:bookmarkStart w:id="358" w:name="fn31"/>
      <w:bookmarkEnd w:id="358"/>
      <w:r>
        <w:fldChar w:fldCharType="begin"/>
      </w:r>
      <w:r>
        <w:instrText xml:space="preserve"> HYPERLINK "https://dewesoft.com/blog/adas-standards-and-adas-safety-protocols" \h </w:instrText>
      </w:r>
      <w:r>
        <w:fldChar w:fldCharType="separate"/>
      </w:r>
      <w:r>
        <w:rPr>
          <w:rFonts w:ascii="inter" w:hAnsi="inter" w:eastAsia="inter" w:cs="inter"/>
          <w:color w:val="000000"/>
          <w:sz w:val="18"/>
          <w:u w:val="single"/>
        </w:rPr>
        <w:t>https://dewesoft.com/blog/adas-standards-and-adas-safety-protocols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E8308A">
      <w:pPr>
        <w:numPr>
          <w:ilvl w:val="0"/>
          <w:numId w:val="46"/>
        </w:numPr>
        <w:spacing w:after="210" w:line="360" w:lineRule="auto"/>
      </w:pPr>
      <w:bookmarkStart w:id="359" w:name="fn32"/>
      <w:bookmarkEnd w:id="359"/>
      <w:r>
        <w:fldChar w:fldCharType="begin"/>
      </w:r>
      <w:r>
        <w:instrText xml:space="preserve"> HYPERLINK "https://www.allianz.com/en/mediacenter/news/media-releases/251028-allianz-motor-day-2025.html" \h </w:instrText>
      </w:r>
      <w:r>
        <w:fldChar w:fldCharType="separate"/>
      </w:r>
      <w:r>
        <w:rPr>
          <w:rFonts w:ascii="inter" w:hAnsi="inter" w:eastAsia="inter" w:cs="inter"/>
          <w:color w:val="000000"/>
          <w:sz w:val="18"/>
          <w:u w:val="single"/>
        </w:rPr>
        <w:t>https://www.allianz.com/en/mediacenter/news/media-releases/251028-allianz-motor-day-2025.html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89EF22">
      <w:pPr>
        <w:numPr>
          <w:ilvl w:val="0"/>
          <w:numId w:val="46"/>
        </w:numPr>
        <w:spacing w:after="210" w:line="360" w:lineRule="auto"/>
      </w:pPr>
      <w:bookmarkStart w:id="360" w:name="fn33"/>
      <w:bookmarkEnd w:id="360"/>
      <w:r>
        <w:fldChar w:fldCharType="begin"/>
      </w:r>
      <w:r>
        <w:instrText xml:space="preserve"> HYPERLINK "https://journalsonline.academypublishing.org.sg/Journals/Singapore-Academy-of-Law-Journal/Current-Issue/ctl/eFirstSALPDFJournalView/mid/494/ArticleId/1946/Citation/JournalsOnlinePDF" \h </w:instrText>
      </w:r>
      <w:r>
        <w:fldChar w:fldCharType="separate"/>
      </w:r>
      <w:r>
        <w:rPr>
          <w:rFonts w:ascii="inter" w:hAnsi="inter" w:eastAsia="inter" w:cs="inter"/>
          <w:color w:val="000000"/>
          <w:sz w:val="18"/>
          <w:u w:val="single"/>
        </w:rPr>
        <w:t>https://journalsonline.academypublishing.org.sg/Journals/Singapore-Academy-of-Law-Journal/Current-Issue/ctl/eFirstSALPDFJournalView/mid/494/ArticleId/1946/Citation/JournalsOnlinePDF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CCE83E">
      <w:pPr>
        <w:numPr>
          <w:ilvl w:val="0"/>
          <w:numId w:val="46"/>
        </w:numPr>
        <w:spacing w:after="210" w:line="360" w:lineRule="auto"/>
      </w:pPr>
      <w:bookmarkStart w:id="361" w:name="fn34"/>
      <w:bookmarkEnd w:id="361"/>
      <w:r>
        <w:fldChar w:fldCharType="begin"/>
      </w:r>
      <w:r>
        <w:instrText xml:space="preserve"> HYPERLINK "https://www.linkedin.com/posts/agnieszka-kulacka_automatedvehicles-autonomousvehicles-airegulation-activity-7402732249202446336-RY-j" \h </w:instrText>
      </w:r>
      <w:r>
        <w:fldChar w:fldCharType="separate"/>
      </w:r>
      <w:r>
        <w:rPr>
          <w:rFonts w:ascii="inter" w:hAnsi="inter" w:eastAsia="inter" w:cs="inter"/>
          <w:color w:val="000000"/>
          <w:sz w:val="18"/>
          <w:u w:val="single"/>
        </w:rPr>
        <w:t>https://www.linkedin.com/posts/agnieszka-kulacka_automatedvehicles-autonomousvehicles-airegulation-activity-7402732249202446336-RY-j</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F55DF5">
      <w:pPr>
        <w:numPr>
          <w:ilvl w:val="0"/>
          <w:numId w:val="46"/>
        </w:numPr>
        <w:spacing w:after="210" w:line="360" w:lineRule="auto"/>
      </w:pPr>
      <w:bookmarkStart w:id="362" w:name="fn35"/>
      <w:bookmarkEnd w:id="362"/>
      <w:r>
        <w:fldChar w:fldCharType="begin"/>
      </w:r>
      <w:r>
        <w:instrText xml:space="preserve"> HYPERLINK "https://www.brookings.edu/articles/navigating-the-future-creating-a-compensation-framework-for-autonomous-vehicle-incidents/" \h </w:instrText>
      </w:r>
      <w:r>
        <w:fldChar w:fldCharType="separate"/>
      </w:r>
      <w:r>
        <w:rPr>
          <w:rFonts w:ascii="inter" w:hAnsi="inter" w:eastAsia="inter" w:cs="inter"/>
          <w:color w:val="000000"/>
          <w:sz w:val="18"/>
          <w:u w:val="single"/>
        </w:rPr>
        <w:t>https://www.brookings.edu/articles/navigating-the-future-creating-a-compensation-framework-for-autonomous-vehicle-incidents/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91A588">
      <w:pPr>
        <w:numPr>
          <w:ilvl w:val="0"/>
          <w:numId w:val="46"/>
        </w:numPr>
        <w:spacing w:after="210" w:line="360" w:lineRule="auto"/>
      </w:pPr>
      <w:bookmarkStart w:id="363" w:name="fn36"/>
      <w:bookmarkEnd w:id="363"/>
      <w:r>
        <w:fldChar w:fldCharType="begin"/>
      </w:r>
      <w:r>
        <w:instrText xml:space="preserve"> HYPERLINK "https://scholarship.law.wm.edu/cgi/viewcontent.cgi?article=3811&amp;context=wmlr" \h </w:instrText>
      </w:r>
      <w:r>
        <w:fldChar w:fldCharType="separate"/>
      </w:r>
      <w:r>
        <w:rPr>
          <w:rFonts w:ascii="inter" w:hAnsi="inter" w:eastAsia="inter" w:cs="inter"/>
          <w:color w:val="000000"/>
          <w:sz w:val="18"/>
          <w:u w:val="single"/>
        </w:rPr>
        <w:t>https://scholarship.law.wm.edu/cgi/viewcontent.cgi?article=3811&amp;context=wmlr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963650">
      <w:pPr>
        <w:numPr>
          <w:ilvl w:val="0"/>
          <w:numId w:val="46"/>
        </w:numPr>
        <w:spacing w:after="210" w:line="360" w:lineRule="auto"/>
      </w:pPr>
      <w:bookmarkStart w:id="364" w:name="fn37"/>
      <w:bookmarkEnd w:id="364"/>
      <w:r>
        <w:fldChar w:fldCharType="begin"/>
      </w:r>
      <w:r>
        <w:instrText xml:space="preserve"> HYPERLINK "https://www.americancollegecoverage.org/assets/CommitteeNewsArticles/ACCC_Articles_PracticalLawyer_InsForAutonomousVehicles-WhoWillDriveThoseRisks_20231109.pdf" \h </w:instrText>
      </w:r>
      <w:r>
        <w:fldChar w:fldCharType="separate"/>
      </w:r>
      <w:r>
        <w:rPr>
          <w:rFonts w:ascii="inter" w:hAnsi="inter" w:eastAsia="inter" w:cs="inter"/>
          <w:color w:val="000000"/>
          <w:sz w:val="18"/>
          <w:u w:val="single"/>
        </w:rPr>
        <w:t>https://www.americancollegecoverage.org/assets/CommitteeNewsArticles/ACCC_Articles_PracticalLawyer_InsForAutonomousVehicles-WhoWillDriveThoseRisks_20231109.pdf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A2D8FB">
      <w:pPr>
        <w:numPr>
          <w:ilvl w:val="0"/>
          <w:numId w:val="46"/>
        </w:numPr>
        <w:spacing w:after="210" w:line="360" w:lineRule="auto"/>
      </w:pPr>
      <w:bookmarkStart w:id="365" w:name="fn38"/>
      <w:bookmarkEnd w:id="365"/>
      <w:r>
        <w:fldChar w:fldCharType="begin"/>
      </w:r>
      <w:r>
        <w:instrText xml:space="preserve"> HYPERLINK "https://cms.law/en/int/expert-guides/cms-expert-guide-to-autonomous-vehicles-avs/united-kingdom" \h </w:instrText>
      </w:r>
      <w:r>
        <w:fldChar w:fldCharType="separate"/>
      </w:r>
      <w:r>
        <w:rPr>
          <w:rFonts w:ascii="inter" w:hAnsi="inter" w:eastAsia="inter" w:cs="inter"/>
          <w:color w:val="000000"/>
          <w:sz w:val="18"/>
          <w:u w:val="single"/>
        </w:rPr>
        <w:t>https://cms.law/en/int/expert-guides/cms-expert-guide-to-autonomous-vehicles-avs/united-kingdom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A92A90">
      <w:pPr>
        <w:numPr>
          <w:ilvl w:val="0"/>
          <w:numId w:val="46"/>
        </w:numPr>
        <w:spacing w:after="210" w:line="360" w:lineRule="auto"/>
      </w:pPr>
      <w:bookmarkStart w:id="366" w:name="fn39"/>
      <w:bookmarkEnd w:id="366"/>
      <w:r>
        <w:fldChar w:fldCharType="begin"/>
      </w:r>
      <w:r>
        <w:instrText xml:space="preserve"> HYPERLINK "https://www.abi.org.uk/globalassets/files/publications/public/motor/2024/insurer-requirements-for-automated-vehicles.pdf" \h </w:instrText>
      </w:r>
      <w:r>
        <w:fldChar w:fldCharType="separate"/>
      </w:r>
      <w:r>
        <w:rPr>
          <w:rFonts w:ascii="inter" w:hAnsi="inter" w:eastAsia="inter" w:cs="inter"/>
          <w:color w:val="000000"/>
          <w:sz w:val="18"/>
          <w:u w:val="single"/>
        </w:rPr>
        <w:t>https://www.abi.org.uk/globalassets/files/publications/public/motor/2024/insurer-requirements-for-automated-vehicles.pdf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B7BD2D">
      <w:pPr>
        <w:numPr>
          <w:ilvl w:val="0"/>
          <w:numId w:val="46"/>
        </w:numPr>
        <w:spacing w:after="210" w:line="360" w:lineRule="auto"/>
      </w:pPr>
      <w:bookmarkStart w:id="367" w:name="fn40"/>
      <w:bookmarkEnd w:id="367"/>
      <w:r>
        <w:fldChar w:fldCharType="begin"/>
      </w:r>
      <w:r>
        <w:instrText xml:space="preserve"> HYPERLINK "https://www.reuters.com/article/technology/fatal-us-self-driving-auto-accident-raises-novel-legal-questions-idUSKBN1GW2VX/" \h </w:instrText>
      </w:r>
      <w:r>
        <w:fldChar w:fldCharType="separate"/>
      </w:r>
      <w:r>
        <w:rPr>
          <w:rFonts w:ascii="inter" w:hAnsi="inter" w:eastAsia="inter" w:cs="inter"/>
          <w:color w:val="000000"/>
          <w:sz w:val="18"/>
          <w:u w:val="single"/>
        </w:rPr>
        <w:t>https://www.reuters.com/article/technology/fatal-us-self-driving-auto-accident-raises-novel-legal-questions-idUSKBN1GW2VX/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CDF308">
      <w:pPr>
        <w:numPr>
          <w:ilvl w:val="0"/>
          <w:numId w:val="46"/>
        </w:numPr>
        <w:spacing w:after="210" w:line="360" w:lineRule="auto"/>
      </w:pPr>
      <w:bookmarkStart w:id="368" w:name="fn41"/>
      <w:bookmarkEnd w:id="368"/>
      <w:r>
        <w:fldChar w:fldCharType="begin"/>
      </w:r>
      <w:r>
        <w:instrText xml:space="preserve"> HYPERLINK "https://law.stanford.edu/2018/03/20/uber-self-driving-cars-liability-regulation/" \h </w:instrText>
      </w:r>
      <w:r>
        <w:fldChar w:fldCharType="separate"/>
      </w:r>
      <w:r>
        <w:rPr>
          <w:rFonts w:ascii="inter" w:hAnsi="inter" w:eastAsia="inter" w:cs="inter"/>
          <w:color w:val="000000"/>
          <w:sz w:val="18"/>
          <w:u w:val="single"/>
        </w:rPr>
        <w:t>https://law.stanford.edu/2018/03/20/uber-self-driving-cars-liability-regulation/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01CBE0">
      <w:pPr>
        <w:numPr>
          <w:ilvl w:val="0"/>
          <w:numId w:val="46"/>
        </w:numPr>
        <w:spacing w:after="210" w:line="360" w:lineRule="auto"/>
      </w:pPr>
      <w:bookmarkStart w:id="369" w:name="fn42"/>
      <w:bookmarkEnd w:id="369"/>
      <w:r>
        <w:fldChar w:fldCharType="begin"/>
      </w:r>
      <w:r>
        <w:instrText xml:space="preserve"> HYPERLINK "https://justinmintonlaw.com/car-accidents-caused-by-autonomous-vehicles-whos-liable/" \h </w:instrText>
      </w:r>
      <w:r>
        <w:fldChar w:fldCharType="separate"/>
      </w:r>
      <w:r>
        <w:rPr>
          <w:rFonts w:ascii="inter" w:hAnsi="inter" w:eastAsia="inter" w:cs="inter"/>
          <w:color w:val="000000"/>
          <w:sz w:val="18"/>
          <w:u w:val="single"/>
        </w:rPr>
        <w:t>https://justinmintonlaw.com/car-accidents-caused-by-autonomous-vehicles-whos-liable/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07DA25">
      <w:pPr>
        <w:numPr>
          <w:ilvl w:val="0"/>
          <w:numId w:val="46"/>
        </w:numPr>
        <w:spacing w:after="210" w:line="360" w:lineRule="auto"/>
      </w:pPr>
      <w:bookmarkStart w:id="370" w:name="fn43"/>
      <w:bookmarkEnd w:id="370"/>
      <w:r>
        <w:fldChar w:fldCharType="begin"/>
      </w:r>
      <w:r>
        <w:instrText xml:space="preserve"> HYPERLINK "https://www.york.ac.uk/assuring-autonomy/news/blog/autonomous-driving-responsibility/" \h </w:instrText>
      </w:r>
      <w:r>
        <w:fldChar w:fldCharType="separate"/>
      </w:r>
      <w:r>
        <w:rPr>
          <w:rFonts w:ascii="inter" w:hAnsi="inter" w:eastAsia="inter" w:cs="inter"/>
          <w:color w:val="000000"/>
          <w:sz w:val="18"/>
          <w:u w:val="single"/>
        </w:rPr>
        <w:t>https://www.york.ac.uk/assuring-autonomy/news/blog/autonomous-driving-responsibility/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FCBDD7">
      <w:pPr>
        <w:numPr>
          <w:ilvl w:val="0"/>
          <w:numId w:val="46"/>
        </w:numPr>
        <w:spacing w:after="210" w:line="360" w:lineRule="auto"/>
      </w:pPr>
      <w:bookmarkStart w:id="371" w:name="fn44"/>
      <w:bookmarkEnd w:id="371"/>
      <w:r>
        <w:fldChar w:fldCharType="begin"/>
      </w:r>
      <w:r>
        <w:instrText xml:space="preserve"> HYPERLINK "https://datahorizzonresearch.com/adas-and-autonomous-driving-components-market-67882" \h </w:instrText>
      </w:r>
      <w:r>
        <w:fldChar w:fldCharType="separate"/>
      </w:r>
      <w:r>
        <w:rPr>
          <w:rFonts w:ascii="inter" w:hAnsi="inter" w:eastAsia="inter" w:cs="inter"/>
          <w:color w:val="000000"/>
          <w:sz w:val="18"/>
          <w:u w:val="single"/>
        </w:rPr>
        <w:t>https://datahorizzonresearch.com/adas-and-autonomous-driving-components-market-67882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C14778">
      <w:pPr>
        <w:numPr>
          <w:ilvl w:val="0"/>
          <w:numId w:val="46"/>
        </w:numPr>
        <w:spacing w:after="210" w:line="360" w:lineRule="auto"/>
      </w:pPr>
      <w:bookmarkStart w:id="372" w:name="fn45"/>
      <w:bookmarkEnd w:id="372"/>
      <w:r>
        <w:fldChar w:fldCharType="begin"/>
      </w:r>
      <w:r>
        <w:instrText xml:space="preserve"> HYPERLINK "https://www.verifiedmarketresearch.com/blog/adas-regulations-and-standards/" \h </w:instrText>
      </w:r>
      <w:r>
        <w:fldChar w:fldCharType="separate"/>
      </w:r>
      <w:r>
        <w:rPr>
          <w:rFonts w:ascii="inter" w:hAnsi="inter" w:eastAsia="inter" w:cs="inter"/>
          <w:color w:val="000000"/>
          <w:sz w:val="18"/>
          <w:u w:val="single"/>
        </w:rPr>
        <w:t>https://www.verifiedmarketresearch.com/blog/adas-regulations-and-standards/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AE08DF">
      <w:pPr>
        <w:numPr>
          <w:ilvl w:val="0"/>
          <w:numId w:val="46"/>
        </w:numPr>
        <w:spacing w:after="210" w:line="360" w:lineRule="auto"/>
      </w:pPr>
      <w:bookmarkStart w:id="373" w:name="fn46"/>
      <w:bookmarkEnd w:id="373"/>
      <w:r>
        <w:fldChar w:fldCharType="begin"/>
      </w:r>
      <w:r>
        <w:instrText xml:space="preserve"> HYPERLINK "https://www.thedriverlesscommute.com/wp-content/uploads/2025/10/Dentons-Global-Guide-to-Autonomous-Vehicles-2025.pdf" \h </w:instrText>
      </w:r>
      <w:r>
        <w:fldChar w:fldCharType="separate"/>
      </w:r>
      <w:r>
        <w:rPr>
          <w:rFonts w:ascii="inter" w:hAnsi="inter" w:eastAsia="inter" w:cs="inter"/>
          <w:color w:val="000000"/>
          <w:sz w:val="18"/>
          <w:u w:val="single"/>
        </w:rPr>
        <w:t>https://www.thedriverlesscommute.com/wp-content/uploads/2025/10/Dentons-Global-Guide-to-Autonomous-Vehicles-2025.pdf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DDCA01">
      <w:pPr>
        <w:numPr>
          <w:ilvl w:val="0"/>
          <w:numId w:val="46"/>
        </w:numPr>
        <w:spacing w:after="210" w:line="360" w:lineRule="auto"/>
      </w:pPr>
      <w:bookmarkStart w:id="374" w:name="fn47"/>
      <w:bookmarkEnd w:id="374"/>
      <w:r>
        <w:fldChar w:fldCharType="begin"/>
      </w:r>
      <w:r>
        <w:instrText xml:space="preserve"> HYPERLINK "https://www.kwm.com/global/en/insights/latest-thinking/self-driving-cars-who-will-be-liable.html" \h </w:instrText>
      </w:r>
      <w:r>
        <w:fldChar w:fldCharType="separate"/>
      </w:r>
      <w:r>
        <w:rPr>
          <w:rFonts w:ascii="inter" w:hAnsi="inter" w:eastAsia="inter" w:cs="inter"/>
          <w:color w:val="000000"/>
          <w:sz w:val="18"/>
          <w:u w:val="single"/>
        </w:rPr>
        <w:t>https://www.kwm.com/global/en/insights/latest-thinking/self-driving-cars-who-will-be-liable.html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AAC60E">
      <w:pPr>
        <w:numPr>
          <w:ilvl w:val="0"/>
          <w:numId w:val="46"/>
        </w:numPr>
        <w:spacing w:after="210" w:line="360" w:lineRule="auto"/>
      </w:pPr>
      <w:bookmarkStart w:id="375" w:name="fn48"/>
      <w:bookmarkEnd w:id="375"/>
      <w:r>
        <w:fldChar w:fldCharType="begin"/>
      </w:r>
      <w:r>
        <w:instrText xml:space="preserve"> HYPERLINK "https://sg.allianzgi.com/en-sg/insights/outlook-and-commentary/202506-advanced-driver-assistance-systems" \h </w:instrText>
      </w:r>
      <w:r>
        <w:fldChar w:fldCharType="separate"/>
      </w:r>
      <w:r>
        <w:rPr>
          <w:rFonts w:ascii="inter" w:hAnsi="inter" w:eastAsia="inter" w:cs="inter"/>
          <w:color w:val="000000"/>
          <w:sz w:val="18"/>
          <w:u w:val="single"/>
        </w:rPr>
        <w:t>https://sg.allianzgi.com/en-sg/insights/outlook-and-commentary/202506-advanced-driver-assistance-systems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62AB9B">
      <w:pPr>
        <w:numPr>
          <w:ilvl w:val="0"/>
          <w:numId w:val="46"/>
        </w:numPr>
        <w:spacing w:after="210" w:line="360" w:lineRule="auto"/>
      </w:pPr>
      <w:bookmarkStart w:id="376" w:name="fn49"/>
      <w:bookmarkEnd w:id="376"/>
      <w:r>
        <w:fldChar w:fldCharType="begin"/>
      </w:r>
      <w:r>
        <w:instrText xml:space="preserve"> HYPERLINK "https://group.mercedes-benz.com/innovation/case/autonomous/legal-framework.html" \h </w:instrText>
      </w:r>
      <w:r>
        <w:fldChar w:fldCharType="separate"/>
      </w:r>
      <w:r>
        <w:rPr>
          <w:rFonts w:ascii="inter" w:hAnsi="inter" w:eastAsia="inter" w:cs="inter"/>
          <w:color w:val="000000"/>
          <w:sz w:val="18"/>
          <w:u w:val="single"/>
        </w:rPr>
        <w:t>https://group.mercedes-benz.com/innovation/case/autonomous/legal-framework.html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C3D7F6">
      <w:pPr>
        <w:numPr>
          <w:ilvl w:val="0"/>
          <w:numId w:val="46"/>
        </w:numPr>
        <w:spacing w:after="210" w:line="360" w:lineRule="auto"/>
      </w:pPr>
      <w:bookmarkStart w:id="377" w:name="fn50"/>
      <w:bookmarkEnd w:id="377"/>
      <w:r>
        <w:fldChar w:fldCharType="begin"/>
      </w:r>
      <w:r>
        <w:instrText xml:space="preserve"> HYPERLINK "https://www.nhtsa.gov/sites/nhtsa.gov/files/documents/13882-automateddrivingsystems_092618_v1a_tag.pdf" \h </w:instrText>
      </w:r>
      <w:r>
        <w:fldChar w:fldCharType="separate"/>
      </w:r>
      <w:r>
        <w:rPr>
          <w:rFonts w:ascii="inter" w:hAnsi="inter" w:eastAsia="inter" w:cs="inter"/>
          <w:color w:val="000000"/>
          <w:sz w:val="18"/>
          <w:u w:val="single"/>
        </w:rPr>
        <w:t>https://www.nhtsa.gov/sites/nhtsa.gov/files/documents/13882-automateddrivingsystems_092618_v1a_tag.pdf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BC1EE0">
      <w:pPr>
        <w:numPr>
          <w:ilvl w:val="0"/>
          <w:numId w:val="46"/>
        </w:numPr>
        <w:spacing w:after="210" w:line="360" w:lineRule="auto"/>
      </w:pPr>
      <w:bookmarkStart w:id="378" w:name="fn51"/>
      <w:bookmarkEnd w:id="378"/>
      <w:r>
        <w:fldChar w:fldCharType="begin"/>
      </w:r>
      <w:r>
        <w:instrText xml:space="preserve"> HYPERLINK "https://law.asia/autonomous-vehicles-china-taiwan-regulation-comparison/" \h </w:instrText>
      </w:r>
      <w:r>
        <w:fldChar w:fldCharType="separate"/>
      </w:r>
      <w:r>
        <w:rPr>
          <w:rFonts w:ascii="inter" w:hAnsi="inter" w:eastAsia="inter" w:cs="inter"/>
          <w:color w:val="000000"/>
          <w:sz w:val="18"/>
          <w:u w:val="single"/>
        </w:rPr>
        <w:t>https://law.asia/autonomous-vehicles-china-taiwan-regulation-comparison/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0907A4">
      <w:pPr>
        <w:numPr>
          <w:ilvl w:val="0"/>
          <w:numId w:val="46"/>
        </w:numPr>
        <w:spacing w:after="210" w:line="360" w:lineRule="auto"/>
      </w:pPr>
      <w:bookmarkStart w:id="379" w:name="fn52"/>
      <w:bookmarkEnd w:id="379"/>
      <w:r>
        <w:fldChar w:fldCharType="begin"/>
      </w:r>
      <w:r>
        <w:instrText xml:space="preserve"> HYPERLINK "https://www.sciencedirect.com/science/article/pii/S2590198224000198" \h </w:instrText>
      </w:r>
      <w:r>
        <w:fldChar w:fldCharType="separate"/>
      </w:r>
      <w:r>
        <w:rPr>
          <w:rFonts w:ascii="inter" w:hAnsi="inter" w:eastAsia="inter" w:cs="inter"/>
          <w:color w:val="000000"/>
          <w:sz w:val="18"/>
          <w:u w:val="single"/>
        </w:rPr>
        <w:t>https://www.sciencedirect.com/science/article/pii/S2590198224000198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C505FB">
      <w:pPr>
        <w:numPr>
          <w:ilvl w:val="0"/>
          <w:numId w:val="46"/>
        </w:numPr>
        <w:spacing w:after="210" w:line="360" w:lineRule="auto"/>
      </w:pPr>
      <w:bookmarkStart w:id="380" w:name="fn53"/>
      <w:bookmarkEnd w:id="380"/>
      <w:r>
        <w:fldChar w:fldCharType="begin"/>
      </w:r>
      <w:r>
        <w:instrText xml:space="preserve"> HYPERLINK "https://www.gonzalezcartwright.com/the-legal-implications-of-accidents-involving-autonomous-uber-vehicles/" \h </w:instrText>
      </w:r>
      <w:r>
        <w:fldChar w:fldCharType="separate"/>
      </w:r>
      <w:r>
        <w:rPr>
          <w:rFonts w:ascii="inter" w:hAnsi="inter" w:eastAsia="inter" w:cs="inter"/>
          <w:color w:val="000000"/>
          <w:sz w:val="18"/>
          <w:u w:val="single"/>
        </w:rPr>
        <w:t>https://www.gonzalezcartwright.com/the-legal-implications-of-accidents-involving-autonomous-uber-vehicles/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3D82A8">
      <w:pPr>
        <w:numPr>
          <w:ilvl w:val="0"/>
          <w:numId w:val="46"/>
        </w:numPr>
        <w:spacing w:after="210" w:line="360" w:lineRule="auto"/>
      </w:pPr>
      <w:bookmarkStart w:id="381" w:name="fn54"/>
      <w:bookmarkEnd w:id="381"/>
      <w:r>
        <w:fldChar w:fldCharType="begin"/>
      </w:r>
      <w:r>
        <w:instrText xml:space="preserve"> HYPERLINK "https://toddminerlaw.com/uber-self-driving-car-accident/" \h </w:instrText>
      </w:r>
      <w:r>
        <w:fldChar w:fldCharType="separate"/>
      </w:r>
      <w:r>
        <w:rPr>
          <w:rFonts w:ascii="inter" w:hAnsi="inter" w:eastAsia="inter" w:cs="inter"/>
          <w:color w:val="000000"/>
          <w:sz w:val="18"/>
          <w:u w:val="single"/>
        </w:rPr>
        <w:t>https://toddminerlaw.com/uber-self-driving-car-accident/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AC90EC">
      <w:pPr>
        <w:numPr>
          <w:ilvl w:val="0"/>
          <w:numId w:val="46"/>
        </w:numPr>
        <w:spacing w:after="210" w:line="360" w:lineRule="auto"/>
      </w:pPr>
      <w:bookmarkStart w:id="382" w:name="fn55"/>
      <w:bookmarkEnd w:id="382"/>
      <w:r>
        <w:fldChar w:fldCharType="begin"/>
      </w:r>
      <w:r>
        <w:instrText xml:space="preserve"> HYPERLINK "https://safeautonomy.blogspot.com/2023/05/a-liability-approach-for-automated.html" \h </w:instrText>
      </w:r>
      <w:r>
        <w:fldChar w:fldCharType="separate"/>
      </w:r>
      <w:r>
        <w:rPr>
          <w:rFonts w:ascii="inter" w:hAnsi="inter" w:eastAsia="inter" w:cs="inter"/>
          <w:color w:val="000000"/>
          <w:sz w:val="18"/>
          <w:u w:val="single"/>
        </w:rPr>
        <w:t>https://safeautonomy.blogspot.com/2023/05/a-liability-approach-for-automated.html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735A2B">
      <w:pPr>
        <w:numPr>
          <w:ilvl w:val="0"/>
          <w:numId w:val="46"/>
        </w:numPr>
        <w:spacing w:after="210" w:line="360" w:lineRule="auto"/>
      </w:pPr>
      <w:bookmarkStart w:id="383" w:name="fn56"/>
      <w:bookmarkEnd w:id="383"/>
      <w:r>
        <w:fldChar w:fldCharType="begin"/>
      </w:r>
      <w:r>
        <w:instrText xml:space="preserve"> HYPERLINK "https://unece.org/sites/default/files/2022-09/GRVA-14-40r1e.docx" \h </w:instrText>
      </w:r>
      <w:r>
        <w:fldChar w:fldCharType="separate"/>
      </w:r>
      <w:r>
        <w:rPr>
          <w:rFonts w:ascii="inter" w:hAnsi="inter" w:eastAsia="inter" w:cs="inter"/>
          <w:color w:val="000000"/>
          <w:sz w:val="18"/>
          <w:u w:val="single"/>
        </w:rPr>
        <w:t>https://unece.org/sites/default/files/2022-09/GRVA-14-40r1e.docx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ED69F6">
      <w:pPr>
        <w:numPr>
          <w:ilvl w:val="0"/>
          <w:numId w:val="46"/>
        </w:numPr>
        <w:spacing w:after="210" w:line="360" w:lineRule="auto"/>
      </w:pPr>
      <w:bookmarkStart w:id="384" w:name="fn57"/>
      <w:bookmarkEnd w:id="384"/>
      <w:r>
        <w:fldChar w:fldCharType="begin"/>
      </w:r>
      <w:r>
        <w:instrText xml:space="preserve"> HYPERLINK "https://www.collinslaw.com/faulty-adas-whos-liable-for-your-accident/" \h </w:instrText>
      </w:r>
      <w:r>
        <w:fldChar w:fldCharType="separate"/>
      </w:r>
      <w:r>
        <w:rPr>
          <w:rFonts w:ascii="inter" w:hAnsi="inter" w:eastAsia="inter" w:cs="inter"/>
          <w:color w:val="000000"/>
          <w:sz w:val="18"/>
          <w:u w:val="single"/>
        </w:rPr>
        <w:t>https://www.collinslaw.com/faulty-adas-whos-liable-for-your-accident/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0F96BA">
      <w:pPr>
        <w:numPr>
          <w:ilvl w:val="0"/>
          <w:numId w:val="46"/>
        </w:numPr>
        <w:spacing w:after="210" w:line="360" w:lineRule="auto"/>
      </w:pPr>
      <w:bookmarkStart w:id="385" w:name="fn58"/>
      <w:bookmarkEnd w:id="385"/>
      <w:r>
        <w:fldChar w:fldCharType="begin"/>
      </w:r>
      <w:r>
        <w:instrText xml:space="preserve"> HYPERLINK "https://www.aaaa.com.au/wp-content/uploads/2025/06/ADAS-Industry-Code-Of-Conduct-print.pdf" \h </w:instrText>
      </w:r>
      <w:r>
        <w:fldChar w:fldCharType="separate"/>
      </w:r>
      <w:r>
        <w:rPr>
          <w:rFonts w:ascii="inter" w:hAnsi="inter" w:eastAsia="inter" w:cs="inter"/>
          <w:color w:val="000000"/>
          <w:sz w:val="18"/>
          <w:u w:val="single"/>
        </w:rPr>
        <w:t>https://www.aaaa.com.au/wp-content/uploads/2025/06/ADAS-Industry-Code-Of-Conduct-print.pdf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E2F170">
      <w:pPr>
        <w:numPr>
          <w:ilvl w:val="0"/>
          <w:numId w:val="46"/>
        </w:numPr>
        <w:spacing w:after="210" w:line="360" w:lineRule="auto"/>
      </w:pPr>
      <w:bookmarkStart w:id="386" w:name="fn59"/>
      <w:bookmarkEnd w:id="386"/>
      <w:r>
        <w:fldChar w:fldCharType="begin"/>
      </w:r>
      <w:r>
        <w:instrText xml:space="preserve"> HYPERLINK "https://www.insurtechworld.org/post/102hm3v/the-line-between-auto-insurers-and-auto-oems-accepting-liability-for-road-crashes" \h </w:instrText>
      </w:r>
      <w:r>
        <w:fldChar w:fldCharType="separate"/>
      </w:r>
      <w:r>
        <w:rPr>
          <w:rFonts w:ascii="inter" w:hAnsi="inter" w:eastAsia="inter" w:cs="inter"/>
          <w:color w:val="000000"/>
          <w:sz w:val="18"/>
          <w:u w:val="single"/>
        </w:rPr>
        <w:t>https://www.insurtechworld.org/post/102hm3v/the-line-between-auto-insurers-and-auto-oems-accepting-liability-for-road-crashes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1C5BDA">
      <w:pPr>
        <w:numPr>
          <w:ilvl w:val="0"/>
          <w:numId w:val="46"/>
        </w:numPr>
        <w:spacing w:after="210" w:line="360" w:lineRule="auto"/>
      </w:pPr>
      <w:bookmarkStart w:id="387" w:name="fn60"/>
      <w:bookmarkEnd w:id="387"/>
      <w:r>
        <w:fldChar w:fldCharType="begin"/>
      </w:r>
      <w:r>
        <w:instrText xml:space="preserve"> HYPERLINK "https://www.leaders-in-law.com/liability-in-self-driving-car-accidents-whos-responsible/" \h </w:instrText>
      </w:r>
      <w:r>
        <w:fldChar w:fldCharType="separate"/>
      </w:r>
      <w:r>
        <w:rPr>
          <w:rFonts w:ascii="inter" w:hAnsi="inter" w:eastAsia="inter" w:cs="inter"/>
          <w:color w:val="000000"/>
          <w:sz w:val="18"/>
          <w:u w:val="single"/>
        </w:rPr>
        <w:t>https://www.leaders-in-law.com/liability-in-self-driving-car-accidents-whos-responsible/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EFAD66">
      <w:pPr>
        <w:numPr>
          <w:ilvl w:val="0"/>
          <w:numId w:val="46"/>
        </w:numPr>
        <w:spacing w:after="210" w:line="360" w:lineRule="auto"/>
      </w:pPr>
      <w:bookmarkStart w:id="388" w:name="fn61"/>
      <w:bookmarkEnd w:id="388"/>
      <w:r>
        <w:fldChar w:fldCharType="begin"/>
      </w:r>
      <w:r>
        <w:instrText xml:space="preserve"> HYPERLINK "https://www.mouser.sg/applications/ADAS-autonomy-level-3-vehicles/" \h </w:instrText>
      </w:r>
      <w:r>
        <w:fldChar w:fldCharType="separate"/>
      </w:r>
      <w:r>
        <w:rPr>
          <w:rFonts w:ascii="inter" w:hAnsi="inter" w:eastAsia="inter" w:cs="inter"/>
          <w:color w:val="000000"/>
          <w:sz w:val="18"/>
          <w:u w:val="single"/>
        </w:rPr>
        <w:t>https://www.mouser.sg/applications/ADAS-autonomy-level-3-vehicles/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60185E">
      <w:pPr>
        <w:numPr>
          <w:ilvl w:val="0"/>
          <w:numId w:val="46"/>
        </w:numPr>
        <w:spacing w:after="210" w:line="360" w:lineRule="auto"/>
      </w:pPr>
      <w:bookmarkStart w:id="389" w:name="fn62"/>
      <w:bookmarkEnd w:id="389"/>
      <w:r>
        <w:fldChar w:fldCharType="begin"/>
      </w:r>
      <w:r>
        <w:instrText xml:space="preserve"> HYPERLINK "https://www.brookings.edu/articles/setting-the-standard-of-liability-for-self-driving-cars/" \h </w:instrText>
      </w:r>
      <w:r>
        <w:fldChar w:fldCharType="separate"/>
      </w:r>
      <w:r>
        <w:rPr>
          <w:rFonts w:ascii="inter" w:hAnsi="inter" w:eastAsia="inter" w:cs="inter"/>
          <w:color w:val="000000"/>
          <w:sz w:val="18"/>
          <w:u w:val="single"/>
        </w:rPr>
        <w:t>https://www.brookings.edu/articles/setting-the-standard-of-liability-for-self-driving-cars/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099B1D">
      <w:pPr>
        <w:numPr>
          <w:ilvl w:val="0"/>
          <w:numId w:val="46"/>
        </w:numPr>
        <w:spacing w:after="210" w:line="360" w:lineRule="auto"/>
      </w:pPr>
      <w:bookmarkStart w:id="390" w:name="fn63"/>
      <w:bookmarkEnd w:id="390"/>
      <w:r>
        <w:fldChar w:fldCharType="begin"/>
      </w:r>
      <w:r>
        <w:instrText xml:space="preserve"> HYPERLINK "https://www.kennedyslaw.com/en/thought-leadership/article/who-is-to-blame-when-autonomous-vehicles-are-involved/" \h </w:instrText>
      </w:r>
      <w:r>
        <w:fldChar w:fldCharType="separate"/>
      </w:r>
      <w:r>
        <w:rPr>
          <w:rFonts w:ascii="inter" w:hAnsi="inter" w:eastAsia="inter" w:cs="inter"/>
          <w:color w:val="000000"/>
          <w:sz w:val="18"/>
          <w:u w:val="single"/>
        </w:rPr>
        <w:t>https://www.kennedyslaw.com/en/thought-leadership/article/who-is-to-blame-when-autonomous-vehicles-are-involved/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B8DECE">
      <w:pPr>
        <w:numPr>
          <w:ilvl w:val="0"/>
          <w:numId w:val="46"/>
        </w:numPr>
        <w:spacing w:after="210" w:line="360" w:lineRule="auto"/>
      </w:pPr>
      <w:bookmarkStart w:id="391" w:name="fn64"/>
      <w:bookmarkEnd w:id="391"/>
      <w:r>
        <w:fldChar w:fldCharType="begin"/>
      </w:r>
      <w:r>
        <w:instrText xml:space="preserve"> HYPERLINK "https://academic.oup.com/policyandsociety/article/40/2/250/6509329" \h </w:instrText>
      </w:r>
      <w:r>
        <w:fldChar w:fldCharType="separate"/>
      </w:r>
      <w:r>
        <w:rPr>
          <w:rFonts w:ascii="inter" w:hAnsi="inter" w:eastAsia="inter" w:cs="inter"/>
          <w:color w:val="000000"/>
          <w:sz w:val="18"/>
          <w:u w:val="single"/>
        </w:rPr>
        <w:t>https://academic.oup.com/policyandsociety/article/40/2/250/6509329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888C60">
      <w:pPr>
        <w:numPr>
          <w:ilvl w:val="0"/>
          <w:numId w:val="46"/>
        </w:numPr>
        <w:spacing w:after="210" w:line="360" w:lineRule="auto"/>
      </w:pPr>
      <w:bookmarkStart w:id="392" w:name="fn65"/>
      <w:bookmarkEnd w:id="392"/>
      <w:r>
        <w:fldChar w:fldCharType="begin"/>
      </w:r>
      <w:r>
        <w:instrText xml:space="preserve"> HYPERLINK "https://www.stewartslaw.com/news/automated-vehicles-lessons-for-personal-injury-practitioners/" \h </w:instrText>
      </w:r>
      <w:r>
        <w:fldChar w:fldCharType="separate"/>
      </w:r>
      <w:r>
        <w:rPr>
          <w:rFonts w:ascii="inter" w:hAnsi="inter" w:eastAsia="inter" w:cs="inter"/>
          <w:color w:val="000000"/>
          <w:sz w:val="18"/>
          <w:u w:val="single"/>
        </w:rPr>
        <w:t>https://www.stewartslaw.com/news/automated-vehicles-lessons-for-personal-injury-practitioners/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DA7E38">
      <w:pPr>
        <w:numPr>
          <w:ilvl w:val="0"/>
          <w:numId w:val="46"/>
        </w:numPr>
        <w:spacing w:after="210" w:line="360" w:lineRule="auto"/>
      </w:pPr>
      <w:bookmarkStart w:id="393" w:name="fn66"/>
      <w:bookmarkEnd w:id="393"/>
      <w:r>
        <w:fldChar w:fldCharType="begin"/>
      </w:r>
      <w:r>
        <w:instrText xml:space="preserve"> HYPERLINK "https://wiki.unece.org/download/attachments/94047321/EDR-DSSAD-05-03%20(Allianz)%20EDR&amp;DSSAD%20Data%20Needs.docx?api=v2" \h </w:instrText>
      </w:r>
      <w:r>
        <w:fldChar w:fldCharType="separate"/>
      </w:r>
      <w:r>
        <w:rPr>
          <w:rFonts w:ascii="inter" w:hAnsi="inter" w:eastAsia="inter" w:cs="inter"/>
          <w:color w:val="000000"/>
          <w:sz w:val="18"/>
          <w:u w:val="single"/>
        </w:rPr>
        <w:t>https://wiki.unece.org/download/attachments/94047321/EDR-DSSAD-05-03 (Allianz) EDR&amp;DSSAD Data Needs.docx?api=v2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3E7F77">
      <w:pPr>
        <w:numPr>
          <w:ilvl w:val="0"/>
          <w:numId w:val="46"/>
        </w:numPr>
        <w:spacing w:after="210" w:line="360" w:lineRule="auto"/>
      </w:pPr>
      <w:bookmarkStart w:id="394" w:name="fn67"/>
      <w:bookmarkEnd w:id="394"/>
      <w:r>
        <w:fldChar w:fldCharType="begin"/>
      </w:r>
      <w:r>
        <w:instrText xml:space="preserve"> HYPERLINK "https://www.insideprivacy.com/uncategorized/eu-member-states-begin-rolling-out-new-product-liability-rules/" \h </w:instrText>
      </w:r>
      <w:r>
        <w:fldChar w:fldCharType="separate"/>
      </w:r>
      <w:r>
        <w:rPr>
          <w:rFonts w:ascii="inter" w:hAnsi="inter" w:eastAsia="inter" w:cs="inter"/>
          <w:color w:val="000000"/>
          <w:sz w:val="18"/>
          <w:u w:val="single"/>
        </w:rPr>
        <w:t>https://www.insideprivacy.com/uncategorized/eu-member-states-begin-rolling-out-new-product-liability-rules/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97E0C6">
      <w:pPr>
        <w:numPr>
          <w:ilvl w:val="0"/>
          <w:numId w:val="46"/>
        </w:numPr>
        <w:spacing w:after="210" w:line="360" w:lineRule="auto"/>
      </w:pPr>
      <w:bookmarkStart w:id="395" w:name="fn68"/>
      <w:bookmarkEnd w:id="395"/>
      <w:r>
        <w:fldChar w:fldCharType="begin"/>
      </w:r>
      <w:r>
        <w:instrText xml:space="preserve"> HYPERLINK "https://riskandcompliance.freshfields.com/post/102l4xa/product-risks-today-the-draft-implementation-bill-of-the-eu-product-liability-di" \h </w:instrText>
      </w:r>
      <w:r>
        <w:fldChar w:fldCharType="separate"/>
      </w:r>
      <w:r>
        <w:rPr>
          <w:rFonts w:ascii="inter" w:hAnsi="inter" w:eastAsia="inter" w:cs="inter"/>
          <w:color w:val="000000"/>
          <w:sz w:val="18"/>
          <w:u w:val="single"/>
        </w:rPr>
        <w:t>https://riskandcompliance.freshfields.com/post/102l4xa/product-risks-today-the-draft-implementation-bill-of-the-eu-product-liability-di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70E362">
      <w:pPr>
        <w:numPr>
          <w:ilvl w:val="0"/>
          <w:numId w:val="46"/>
        </w:numPr>
        <w:spacing w:after="210" w:line="360" w:lineRule="auto"/>
      </w:pPr>
      <w:bookmarkStart w:id="396" w:name="fn69"/>
      <w:bookmarkEnd w:id="396"/>
      <w:r>
        <w:fldChar w:fldCharType="begin"/>
      </w:r>
      <w:r>
        <w:instrText xml:space="preserve"> HYPERLINK "https://assets.publishing.service.gov.uk/media/693978b77a605b2d61cd9069/developing-the-automated-vehicles-regulatory-framework-cfe.PDF" \h </w:instrText>
      </w:r>
      <w:r>
        <w:fldChar w:fldCharType="separate"/>
      </w:r>
      <w:r>
        <w:rPr>
          <w:rFonts w:ascii="inter" w:hAnsi="inter" w:eastAsia="inter" w:cs="inter"/>
          <w:color w:val="000000"/>
          <w:sz w:val="18"/>
          <w:u w:val="single"/>
        </w:rPr>
        <w:t>https://assets.publishing.service.gov.uk/media/693978b77a605b2d61cd9069/developing-the-automated-vehicles-regulatory-framework-cfe.PDF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24B091">
      <w:pPr>
        <w:numPr>
          <w:ilvl w:val="0"/>
          <w:numId w:val="46"/>
        </w:numPr>
        <w:spacing w:after="210" w:line="360" w:lineRule="auto"/>
      </w:pPr>
      <w:bookmarkStart w:id="397" w:name="fn70"/>
      <w:bookmarkEnd w:id="397"/>
      <w:r>
        <w:fldChar w:fldCharType="begin"/>
      </w:r>
      <w:r>
        <w:instrText xml:space="preserve"> HYPERLINK "https://dl.acm.org/doi/fullHtml/10.1145/3686038.3686064" \h </w:instrText>
      </w:r>
      <w:r>
        <w:fldChar w:fldCharType="separate"/>
      </w:r>
      <w:r>
        <w:rPr>
          <w:rFonts w:ascii="inter" w:hAnsi="inter" w:eastAsia="inter" w:cs="inter"/>
          <w:color w:val="000000"/>
          <w:sz w:val="18"/>
          <w:u w:val="single"/>
        </w:rPr>
        <w:t>https://dl.acm.org/doi/fullHtml/10.1145/3686038.3686064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9983A7">
      <w:pPr>
        <w:numPr>
          <w:ilvl w:val="0"/>
          <w:numId w:val="46"/>
        </w:numPr>
        <w:spacing w:after="210" w:line="360" w:lineRule="auto"/>
      </w:pPr>
      <w:bookmarkStart w:id="398" w:name="fn71"/>
      <w:bookmarkEnd w:id="398"/>
      <w:r>
        <w:fldChar w:fldCharType="begin"/>
      </w:r>
      <w:r>
        <w:instrText xml:space="preserve"> HYPERLINK "https://www.twobirds.com/en/insights/2024/germany/update-reform-der-produkthaftung-beschlossen" \h </w:instrText>
      </w:r>
      <w:r>
        <w:fldChar w:fldCharType="separate"/>
      </w:r>
      <w:r>
        <w:rPr>
          <w:rFonts w:ascii="inter" w:hAnsi="inter" w:eastAsia="inter" w:cs="inter"/>
          <w:color w:val="000000"/>
          <w:sz w:val="18"/>
          <w:u w:val="single"/>
        </w:rPr>
        <w:t>https://www.twobirds.com/en/insights/2024/germany/update-reform-der-produkthaftung-beschlossen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F5E86E">
      <w:pPr>
        <w:numPr>
          <w:ilvl w:val="0"/>
          <w:numId w:val="46"/>
        </w:numPr>
        <w:spacing w:after="210" w:line="360" w:lineRule="auto"/>
      </w:pPr>
      <w:bookmarkStart w:id="399" w:name="fn72"/>
      <w:bookmarkEnd w:id="399"/>
      <w:r>
        <w:fldChar w:fldCharType="begin"/>
      </w:r>
      <w:r>
        <w:instrText xml:space="preserve"> HYPERLINK "https://www.legislation.gov.uk/ukpga/2018/18/part/1" \h </w:instrText>
      </w:r>
      <w:r>
        <w:fldChar w:fldCharType="separate"/>
      </w:r>
      <w:r>
        <w:rPr>
          <w:rFonts w:ascii="inter" w:hAnsi="inter" w:eastAsia="inter" w:cs="inter"/>
          <w:color w:val="000000"/>
          <w:sz w:val="18"/>
          <w:u w:val="single"/>
        </w:rPr>
        <w:t>https://www.legislation.gov.uk/ukpga/2018/18/part/1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B62771">
      <w:pPr>
        <w:numPr>
          <w:ilvl w:val="0"/>
          <w:numId w:val="46"/>
        </w:numPr>
        <w:spacing w:after="210" w:line="360" w:lineRule="auto"/>
      </w:pPr>
      <w:bookmarkStart w:id="400" w:name="fn73"/>
      <w:bookmarkEnd w:id="400"/>
      <w:r>
        <w:fldChar w:fldCharType="begin"/>
      </w:r>
      <w:r>
        <w:instrText xml:space="preserve"> HYPERLINK "https://researchrepository.ul.ie/bitstreams/a4075f32-3f5e-4742-a02c-a9fff91d3631/download" \h </w:instrText>
      </w:r>
      <w:r>
        <w:fldChar w:fldCharType="separate"/>
      </w:r>
      <w:r>
        <w:rPr>
          <w:rFonts w:ascii="inter" w:hAnsi="inter" w:eastAsia="inter" w:cs="inter"/>
          <w:color w:val="000000"/>
          <w:sz w:val="18"/>
          <w:u w:val="single"/>
        </w:rPr>
        <w:t>https://researchrepository.ul.ie/bitstreams/a4075f32-3f5e-4742-a02c-a9fff91d3631/download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DECE05">
      <w:pPr>
        <w:numPr>
          <w:ilvl w:val="0"/>
          <w:numId w:val="46"/>
        </w:numPr>
        <w:spacing w:after="210" w:line="360" w:lineRule="auto"/>
      </w:pPr>
      <w:bookmarkStart w:id="401" w:name="fn74"/>
      <w:bookmarkEnd w:id="401"/>
      <w:r>
        <w:fldChar w:fldCharType="begin"/>
      </w:r>
      <w:r>
        <w:instrText xml:space="preserve"> HYPERLINK "https://sal.org.sg/wp-content/uploads/2025/02/2020_Report-on-the-Attribution-of-Civil-Liability-for-Accidents-Involving-Autonomous-Cars.pdf" \h </w:instrText>
      </w:r>
      <w:r>
        <w:fldChar w:fldCharType="separate"/>
      </w:r>
      <w:r>
        <w:rPr>
          <w:rFonts w:ascii="inter" w:hAnsi="inter" w:eastAsia="inter" w:cs="inter"/>
          <w:color w:val="000000"/>
          <w:sz w:val="18"/>
          <w:u w:val="single"/>
        </w:rPr>
        <w:t>https://sal.org.sg/wp-content/uploads/2025/02/2020_Report-on-the-Attribution-of-Civil-Liability-for-Accidents-Involving-Autonomous-Cars.pdf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285A81">
      <w:pPr>
        <w:numPr>
          <w:ilvl w:val="0"/>
          <w:numId w:val="46"/>
        </w:numPr>
        <w:spacing w:after="210" w:line="360" w:lineRule="auto"/>
      </w:pPr>
      <w:bookmarkStart w:id="402" w:name="fn75"/>
      <w:bookmarkEnd w:id="402"/>
      <w:r>
        <w:fldChar w:fldCharType="begin"/>
      </w:r>
      <w:r>
        <w:instrText xml:space="preserve"> HYPERLINK "https://financialpost.com/pmn/business-wire-news-releases-pmn/allianz-reports-safety-gains-from-automated-mobility-and-urges-eu-wide-driving-license-for-autonomous-vehicles" \h </w:instrText>
      </w:r>
      <w:r>
        <w:fldChar w:fldCharType="separate"/>
      </w:r>
      <w:r>
        <w:rPr>
          <w:rFonts w:ascii="inter" w:hAnsi="inter" w:eastAsia="inter" w:cs="inter"/>
          <w:color w:val="000000"/>
          <w:sz w:val="18"/>
          <w:u w:val="single"/>
        </w:rPr>
        <w:t>https://financialpost.com/pmn/business-wire-news-releases-pmn/allianz-reports-safety-gains-from-automated-mobility-and-urges-eu-wide-driving-license-for-autonomous-vehicles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61C626">
      <w:pPr>
        <w:numPr>
          <w:ilvl w:val="0"/>
          <w:numId w:val="46"/>
        </w:numPr>
        <w:spacing w:after="210" w:line="360" w:lineRule="auto"/>
      </w:pPr>
      <w:bookmarkStart w:id="403" w:name="fn76"/>
      <w:bookmarkEnd w:id="403"/>
      <w:r>
        <w:fldChar w:fldCharType="begin"/>
      </w:r>
      <w:r>
        <w:instrText xml:space="preserve"> HYPERLINK "https://www.napolilaw.com/en/article/automotive-software-failure-and-car-accidents/" \h </w:instrText>
      </w:r>
      <w:r>
        <w:fldChar w:fldCharType="separate"/>
      </w:r>
      <w:r>
        <w:rPr>
          <w:rFonts w:ascii="inter" w:hAnsi="inter" w:eastAsia="inter" w:cs="inter"/>
          <w:color w:val="000000"/>
          <w:sz w:val="18"/>
          <w:u w:val="single"/>
        </w:rPr>
        <w:t>https://www.napolilaw.com/en/article/automotive-software-failure-and-car-accidents/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2543C1">
      <w:pPr>
        <w:numPr>
          <w:ilvl w:val="0"/>
          <w:numId w:val="46"/>
        </w:numPr>
        <w:spacing w:after="210" w:line="360" w:lineRule="auto"/>
      </w:pPr>
      <w:bookmarkStart w:id="404" w:name="fn77"/>
      <w:bookmarkEnd w:id="404"/>
      <w:r>
        <w:fldChar w:fldCharType="begin"/>
      </w:r>
      <w:r>
        <w:instrText xml:space="preserve"> HYPERLINK "https://ink.library.smu.edu.sg/cgi/viewcontent.cgi?article=5361&amp;context=sol_research" \h </w:instrText>
      </w:r>
      <w:r>
        <w:fldChar w:fldCharType="separate"/>
      </w:r>
      <w:r>
        <w:rPr>
          <w:rFonts w:ascii="inter" w:hAnsi="inter" w:eastAsia="inter" w:cs="inter"/>
          <w:color w:val="000000"/>
          <w:sz w:val="18"/>
          <w:u w:val="single"/>
        </w:rPr>
        <w:t>https://ink.library.smu.edu.sg/cgi/viewcontent.cgi?article=5361&amp;context=sol_research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789EB2">
      <w:pPr>
        <w:numPr>
          <w:ilvl w:val="0"/>
          <w:numId w:val="46"/>
        </w:numPr>
        <w:spacing w:after="210" w:line="360" w:lineRule="auto"/>
      </w:pPr>
      <w:bookmarkStart w:id="405" w:name="fn78"/>
      <w:bookmarkEnd w:id="405"/>
      <w:r>
        <w:fldChar w:fldCharType="begin"/>
      </w:r>
      <w:r>
        <w:instrText xml:space="preserve"> HYPERLINK "https://www.allianz.co.uk/news-and-insight/insight-and-expertise/designing-vehicle-risk-ratings-fit-for-the-future.html" \h </w:instrText>
      </w:r>
      <w:r>
        <w:fldChar w:fldCharType="separate"/>
      </w:r>
      <w:r>
        <w:rPr>
          <w:rFonts w:ascii="inter" w:hAnsi="inter" w:eastAsia="inter" w:cs="inter"/>
          <w:color w:val="000000"/>
          <w:sz w:val="18"/>
          <w:u w:val="single"/>
        </w:rPr>
        <w:t>https://www.allianz.co.uk/news-and-insight/insight-and-expertise/designing-vehicle-risk-ratings-fit-for-the-future.html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758140">
      <w:pPr>
        <w:numPr>
          <w:ilvl w:val="0"/>
          <w:numId w:val="46"/>
        </w:numPr>
        <w:spacing w:after="210" w:line="360" w:lineRule="auto"/>
      </w:pPr>
      <w:bookmarkStart w:id="406" w:name="fn79"/>
      <w:bookmarkEnd w:id="406"/>
      <w:r>
        <w:fldChar w:fldCharType="begin"/>
      </w:r>
      <w:r>
        <w:instrText xml:space="preserve"> HYPERLINK "https://bannisterandwyatt.com/the-impact-of-technological-advancements-on-accident-liability-my-perspective/" \h </w:instrText>
      </w:r>
      <w:r>
        <w:fldChar w:fldCharType="separate"/>
      </w:r>
      <w:r>
        <w:rPr>
          <w:rFonts w:ascii="inter" w:hAnsi="inter" w:eastAsia="inter" w:cs="inter"/>
          <w:color w:val="000000"/>
          <w:sz w:val="18"/>
          <w:u w:val="single"/>
        </w:rPr>
        <w:t>https://bannisterandwyatt.com/the-impact-of-technological-advancements-on-accident-liability-my-perspective/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F97CF7">
      <w:pPr>
        <w:numPr>
          <w:ilvl w:val="0"/>
          <w:numId w:val="46"/>
        </w:numPr>
        <w:spacing w:after="210" w:line="360" w:lineRule="auto"/>
      </w:pPr>
      <w:bookmarkStart w:id="407" w:name="fn80"/>
      <w:bookmarkEnd w:id="407"/>
      <w:r>
        <w:fldChar w:fldCharType="begin"/>
      </w:r>
      <w:r>
        <w:instrText xml:space="preserve"> HYPERLINK "https://www.aptiv.com/en/insights/article/what-are-operational-design-domains" \h </w:instrText>
      </w:r>
      <w:r>
        <w:fldChar w:fldCharType="separate"/>
      </w:r>
      <w:r>
        <w:rPr>
          <w:rFonts w:ascii="inter" w:hAnsi="inter" w:eastAsia="inter" w:cs="inter"/>
          <w:color w:val="000000"/>
          <w:sz w:val="18"/>
          <w:u w:val="single"/>
        </w:rPr>
        <w:t>https://www.aptiv.com/en/insights/article/what-are-operational-design-domains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0D7D7A">
      <w:pPr>
        <w:numPr>
          <w:ilvl w:val="0"/>
          <w:numId w:val="46"/>
        </w:numPr>
        <w:spacing w:after="210" w:line="360" w:lineRule="auto"/>
      </w:pPr>
      <w:bookmarkStart w:id="408" w:name="fn81"/>
      <w:bookmarkEnd w:id="408"/>
      <w:r>
        <w:fldChar w:fldCharType="begin"/>
      </w:r>
      <w:r>
        <w:instrText xml:space="preserve"> HYPERLINK "https://www.sciencedirect.com/science/article/pii/S2405896323015318" \h </w:instrText>
      </w:r>
      <w:r>
        <w:fldChar w:fldCharType="separate"/>
      </w:r>
      <w:r>
        <w:rPr>
          <w:rFonts w:ascii="inter" w:hAnsi="inter" w:eastAsia="inter" w:cs="inter"/>
          <w:color w:val="000000"/>
          <w:sz w:val="18"/>
          <w:u w:val="single"/>
        </w:rPr>
        <w:t>https://www.sciencedirect.com/science/article/pii/S2405896323015318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E45771">
      <w:pPr>
        <w:numPr>
          <w:ilvl w:val="0"/>
          <w:numId w:val="46"/>
        </w:numPr>
        <w:spacing w:after="210" w:line="360" w:lineRule="auto"/>
      </w:pPr>
      <w:bookmarkStart w:id="409" w:name="fn82"/>
      <w:bookmarkEnd w:id="409"/>
      <w:r>
        <w:fldChar w:fldCharType="begin"/>
      </w:r>
      <w:r>
        <w:instrText xml:space="preserve"> HYPERLINK "https://efs.consulting/en/insights/article/information-security/unece-r157/" \h </w:instrText>
      </w:r>
      <w:r>
        <w:fldChar w:fldCharType="separate"/>
      </w:r>
      <w:r>
        <w:rPr>
          <w:rFonts w:ascii="inter" w:hAnsi="inter" w:eastAsia="inter" w:cs="inter"/>
          <w:color w:val="000000"/>
          <w:sz w:val="18"/>
          <w:u w:val="single"/>
        </w:rPr>
        <w:t>https://efs.consulting/en/insights/article/information-security/unece-r157/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6B8FE6">
      <w:pPr>
        <w:numPr>
          <w:ilvl w:val="0"/>
          <w:numId w:val="46"/>
        </w:numPr>
        <w:spacing w:after="210" w:line="360" w:lineRule="auto"/>
      </w:pPr>
      <w:bookmarkStart w:id="410" w:name="fn83"/>
      <w:bookmarkEnd w:id="410"/>
      <w:r>
        <w:fldChar w:fldCharType="begin"/>
      </w:r>
      <w:r>
        <w:instrText xml:space="preserve"> HYPERLINK "https://fiveable.me/autonomous-vehicle-systems/unit-1/operational-design-domains/study-guide/nawsz63xLm0ecxJB" \h </w:instrText>
      </w:r>
      <w:r>
        <w:fldChar w:fldCharType="separate"/>
      </w:r>
      <w:r>
        <w:rPr>
          <w:rFonts w:ascii="inter" w:hAnsi="inter" w:eastAsia="inter" w:cs="inter"/>
          <w:color w:val="000000"/>
          <w:sz w:val="18"/>
          <w:u w:val="single"/>
        </w:rPr>
        <w:t>https://fiveable.me/autonomous-vehicle-systems/unit-1/operational-design-domains/study-guide/nawsz63xLm0ecxJB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5D90AA">
      <w:pPr>
        <w:numPr>
          <w:ilvl w:val="0"/>
          <w:numId w:val="46"/>
        </w:numPr>
        <w:spacing w:after="210" w:line="360" w:lineRule="auto"/>
      </w:pPr>
      <w:bookmarkStart w:id="411" w:name="fn84"/>
      <w:bookmarkEnd w:id="411"/>
      <w:r>
        <w:fldChar w:fldCharType="begin"/>
      </w:r>
      <w:r>
        <w:instrText xml:space="preserve"> HYPERLINK "https://unece.org/sites/default/files/2025-05/GRVA-WS07-03e.pdf" \h </w:instrText>
      </w:r>
      <w:r>
        <w:fldChar w:fldCharType="separate"/>
      </w:r>
      <w:r>
        <w:rPr>
          <w:rFonts w:ascii="inter" w:hAnsi="inter" w:eastAsia="inter" w:cs="inter"/>
          <w:color w:val="000000"/>
          <w:sz w:val="18"/>
          <w:u w:val="single"/>
        </w:rPr>
        <w:t>https://unece.org/sites/default/files/2025-05/GRVA-WS07-03e.pdf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BDBD39">
      <w:pPr>
        <w:numPr>
          <w:ilvl w:val="0"/>
          <w:numId w:val="46"/>
        </w:numPr>
        <w:spacing w:after="210" w:line="360" w:lineRule="auto"/>
      </w:pPr>
      <w:bookmarkStart w:id="412" w:name="fn85"/>
      <w:bookmarkEnd w:id="412"/>
      <w:r>
        <w:fldChar w:fldCharType="begin"/>
      </w:r>
      <w:r>
        <w:instrText xml:space="preserve"> HYPERLINK "https://www.connectedautomateddriving.eu/blog/what-autonomous-vehicles-do-to-insurance-systems-and-how-the-community-will-adapt/" \h </w:instrText>
      </w:r>
      <w:r>
        <w:fldChar w:fldCharType="separate"/>
      </w:r>
      <w:r>
        <w:rPr>
          <w:rFonts w:ascii="inter" w:hAnsi="inter" w:eastAsia="inter" w:cs="inter"/>
          <w:color w:val="000000"/>
          <w:sz w:val="18"/>
          <w:u w:val="single"/>
        </w:rPr>
        <w:t>https://www.connectedautomateddriving.eu/blog/what-autonomous-vehicles-do-to-insurance-systems-and-how-the-community-will-adapt/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282F3C">
      <w:pPr>
        <w:numPr>
          <w:ilvl w:val="0"/>
          <w:numId w:val="46"/>
        </w:numPr>
        <w:spacing w:after="210" w:line="360" w:lineRule="auto"/>
      </w:pPr>
      <w:bookmarkStart w:id="413" w:name="fn86"/>
      <w:bookmarkEnd w:id="413"/>
      <w:r>
        <w:fldChar w:fldCharType="begin"/>
      </w:r>
      <w:r>
        <w:instrText xml:space="preserve"> HYPERLINK "https://omdia.tech.informa.com/om129811/adas-regulations-and-vehicle-autonomy-levels-us-europe-and-china" \h </w:instrText>
      </w:r>
      <w:r>
        <w:fldChar w:fldCharType="separate"/>
      </w:r>
      <w:r>
        <w:rPr>
          <w:rFonts w:ascii="inter" w:hAnsi="inter" w:eastAsia="inter" w:cs="inter"/>
          <w:color w:val="000000"/>
          <w:sz w:val="18"/>
          <w:u w:val="single"/>
        </w:rPr>
        <w:t>https://omdia.tech.informa.com/om129811/adas-regulations-and-vehicle-autonomy-levels-us-europe-and-china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F717C9">
      <w:pPr>
        <w:numPr>
          <w:ilvl w:val="0"/>
          <w:numId w:val="46"/>
        </w:numPr>
        <w:spacing w:after="210" w:line="360" w:lineRule="auto"/>
      </w:pPr>
      <w:bookmarkStart w:id="414" w:name="fn87"/>
      <w:bookmarkEnd w:id="414"/>
      <w:r>
        <w:fldChar w:fldCharType="begin"/>
      </w:r>
      <w:r>
        <w:instrText xml:space="preserve"> HYPERLINK "https://www.appliedintuition.com/blog/odd-taxonomy-a-2-phase-approach-to-defining-testing-boundaries" \h </w:instrText>
      </w:r>
      <w:r>
        <w:fldChar w:fldCharType="separate"/>
      </w:r>
      <w:r>
        <w:rPr>
          <w:rFonts w:ascii="inter" w:hAnsi="inter" w:eastAsia="inter" w:cs="inter"/>
          <w:color w:val="000000"/>
          <w:sz w:val="18"/>
          <w:u w:val="single"/>
        </w:rPr>
        <w:t>https://www.appliedintuition.com/blog/odd-taxonomy-a-2-phase-approach-to-defining-testing-boundaries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BA8844">
      <w:pPr>
        <w:numPr>
          <w:ilvl w:val="0"/>
          <w:numId w:val="46"/>
        </w:numPr>
        <w:spacing w:after="210" w:line="360" w:lineRule="auto"/>
      </w:pPr>
      <w:bookmarkStart w:id="415" w:name="fn88"/>
      <w:bookmarkEnd w:id="415"/>
      <w:r>
        <w:fldChar w:fldCharType="begin"/>
      </w:r>
      <w:r>
        <w:instrText xml:space="preserve"> HYPERLINK "https://unece.org/sites/default/files/2022-11/WP.29-188-06e.docx" \h </w:instrText>
      </w:r>
      <w:r>
        <w:fldChar w:fldCharType="separate"/>
      </w:r>
      <w:r>
        <w:rPr>
          <w:rFonts w:ascii="inter" w:hAnsi="inter" w:eastAsia="inter" w:cs="inter"/>
          <w:color w:val="000000"/>
          <w:sz w:val="18"/>
          <w:u w:val="single"/>
        </w:rPr>
        <w:t>https://unece.org/sites/default/files/2022-11/WP.29-188-06e.docx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4E91EA">
      <w:pPr>
        <w:numPr>
          <w:ilvl w:val="0"/>
          <w:numId w:val="46"/>
        </w:numPr>
        <w:spacing w:after="210" w:line="360" w:lineRule="auto"/>
      </w:pPr>
      <w:bookmarkStart w:id="416" w:name="fn89"/>
      <w:bookmarkEnd w:id="416"/>
      <w:r>
        <w:fldChar w:fldCharType="begin"/>
      </w:r>
      <w:r>
        <w:instrText xml:space="preserve"> HYPERLINK "https://www.longdom.org/open-access-pdfs/regulatory-and-legal-aspects-of-advanced-driver-assistance-systems.pdf" \h </w:instrText>
      </w:r>
      <w:r>
        <w:fldChar w:fldCharType="separate"/>
      </w:r>
      <w:r>
        <w:rPr>
          <w:rFonts w:ascii="inter" w:hAnsi="inter" w:eastAsia="inter" w:cs="inter"/>
          <w:color w:val="000000"/>
          <w:sz w:val="18"/>
          <w:u w:val="single"/>
        </w:rPr>
        <w:t>https://www.longdom.org/open-access-pdfs/regulatory-and-legal-aspects-of-advanced-driver-assistance-systems.pdf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4FCD03">
      <w:pPr>
        <w:numPr>
          <w:ilvl w:val="0"/>
          <w:numId w:val="46"/>
        </w:numPr>
        <w:spacing w:after="210" w:line="360" w:lineRule="auto"/>
      </w:pPr>
      <w:bookmarkStart w:id="417" w:name="fn90"/>
      <w:bookmarkEnd w:id="417"/>
      <w:r>
        <w:fldChar w:fldCharType="begin"/>
      </w:r>
      <w:r>
        <w:instrText xml:space="preserve"> HYPERLINK "https://www.swissre.com/institute/research/topics-and-risk-dialogues/digital-business-model-and-cyber-risk/autonomous-mobility-emerging-risks-of-automation.html" \h </w:instrText>
      </w:r>
      <w:r>
        <w:fldChar w:fldCharType="separate"/>
      </w:r>
      <w:r>
        <w:rPr>
          <w:rFonts w:ascii="inter" w:hAnsi="inter" w:eastAsia="inter" w:cs="inter"/>
          <w:color w:val="000000"/>
          <w:sz w:val="18"/>
          <w:u w:val="single"/>
        </w:rPr>
        <w:t>https://www.swissre.com/institute/research/topics-and-risk-dialogues/digital-business-model-and-cyber-risk/autonomous-mobility-emerging-risks-of-automation.html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BDDCE4">
      <w:pPr>
        <w:numPr>
          <w:ilvl w:val="0"/>
          <w:numId w:val="46"/>
        </w:numPr>
        <w:spacing w:after="210" w:line="360" w:lineRule="auto"/>
      </w:pPr>
      <w:bookmarkStart w:id="418" w:name="fn91"/>
      <w:bookmarkEnd w:id="418"/>
      <w:r>
        <w:fldChar w:fldCharType="begin"/>
      </w:r>
      <w:r>
        <w:instrText xml:space="preserve"> HYPERLINK "http://journal.ksae.org/_common/do.php?a=full&amp;b=22&amp;bidx=4273&amp;aidx=47352" \h </w:instrText>
      </w:r>
      <w:r>
        <w:fldChar w:fldCharType="separate"/>
      </w:r>
      <w:r>
        <w:rPr>
          <w:rFonts w:ascii="inter" w:hAnsi="inter" w:eastAsia="inter" w:cs="inter"/>
          <w:color w:val="000000"/>
          <w:sz w:val="18"/>
          <w:u w:val="single"/>
        </w:rPr>
        <w:t>http://journal.ksae.org/_common/do.php?a=full&amp;b=22&amp;bidx=4273&amp;aidx=47352</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1"/>
      <w:numFmt w:val="decimal"/>
      <w:lvlText w:val="%1."/>
      <w:lvlJc w:val="left"/>
      <w:pPr>
        <w:tabs>
          <w:tab w:val="left" w:pos="900"/>
        </w:tabs>
        <w:ind w:left="540" w:hanging="360"/>
      </w:pPr>
    </w:lvl>
  </w:abstractNum>
  <w:abstractNum w:abstractNumId="2">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3">
    <w:nsid w:val="91995D4F"/>
    <w:multiLevelType w:val="singleLevel"/>
    <w:tmpl w:val="91995D4F"/>
    <w:lvl w:ilvl="0" w:tentative="0">
      <w:start w:val="1"/>
      <w:numFmt w:val="bullet"/>
      <w:lvlText w:val=""/>
      <w:lvlJc w:val="left"/>
      <w:pPr>
        <w:tabs>
          <w:tab w:val="left" w:pos="900"/>
        </w:tabs>
        <w:ind w:left="540" w:hanging="360"/>
      </w:pPr>
      <w:rPr>
        <w:rFonts w:hint="default" w:ascii="Symbol" w:hAnsi="Symbol"/>
      </w:rPr>
    </w:lvl>
  </w:abstractNum>
  <w:abstractNum w:abstractNumId="4">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5">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6">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7">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8">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9">
    <w:nsid w:val="B8CEF35B"/>
    <w:multiLevelType w:val="singleLevel"/>
    <w:tmpl w:val="B8CEF35B"/>
    <w:lvl w:ilvl="0" w:tentative="0">
      <w:start w:val="1"/>
      <w:numFmt w:val="decimal"/>
      <w:lvlText w:val="%1."/>
      <w:lvlJc w:val="left"/>
      <w:pPr>
        <w:tabs>
          <w:tab w:val="left" w:pos="900"/>
        </w:tabs>
        <w:ind w:left="540" w:hanging="360"/>
      </w:pPr>
    </w:lvl>
  </w:abstractNum>
  <w:abstractNum w:abstractNumId="10">
    <w:nsid w:val="BB64CFA9"/>
    <w:multiLevelType w:val="singleLevel"/>
    <w:tmpl w:val="BB64CFA9"/>
    <w:lvl w:ilvl="0" w:tentative="0">
      <w:start w:val="1"/>
      <w:numFmt w:val="bullet"/>
      <w:lvlText w:val=""/>
      <w:lvlJc w:val="left"/>
      <w:pPr>
        <w:tabs>
          <w:tab w:val="left" w:pos="900"/>
        </w:tabs>
        <w:ind w:left="540" w:hanging="360"/>
      </w:pPr>
      <w:rPr>
        <w:rFonts w:hint="default" w:ascii="Symbol" w:hAnsi="Symbol"/>
      </w:rPr>
    </w:lvl>
  </w:abstractNum>
  <w:abstractNum w:abstractNumId="11">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12">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3">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14">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5">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6">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7">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8">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9">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20">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21">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22">
    <w:nsid w:val="03D62ECE"/>
    <w:multiLevelType w:val="multilevel"/>
    <w:tmpl w:val="03D62ECE"/>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3">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4">
    <w:nsid w:val="1ACDE60F"/>
    <w:multiLevelType w:val="singleLevel"/>
    <w:tmpl w:val="1ACDE60F"/>
    <w:lvl w:ilvl="0" w:tentative="0">
      <w:start w:val="1"/>
      <w:numFmt w:val="decimal"/>
      <w:lvlText w:val="%1."/>
      <w:lvlJc w:val="left"/>
      <w:pPr>
        <w:tabs>
          <w:tab w:val="left" w:pos="900"/>
        </w:tabs>
        <w:ind w:left="540" w:hanging="360"/>
      </w:pPr>
    </w:lvl>
  </w:abstractNum>
  <w:abstractNum w:abstractNumId="25">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26">
    <w:nsid w:val="2470EC97"/>
    <w:multiLevelType w:val="singleLevel"/>
    <w:tmpl w:val="2470EC97"/>
    <w:lvl w:ilvl="0" w:tentative="0">
      <w:start w:val="1"/>
      <w:numFmt w:val="decimal"/>
      <w:lvlText w:val="%1."/>
      <w:lvlJc w:val="left"/>
      <w:pPr>
        <w:tabs>
          <w:tab w:val="left" w:pos="900"/>
        </w:tabs>
        <w:ind w:left="540" w:hanging="360"/>
      </w:pPr>
    </w:lvl>
  </w:abstractNum>
  <w:abstractNum w:abstractNumId="27">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28">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29">
    <w:nsid w:val="30FC5B15"/>
    <w:multiLevelType w:val="singleLevel"/>
    <w:tmpl w:val="30FC5B15"/>
    <w:lvl w:ilvl="0" w:tentative="0">
      <w:start w:val="1"/>
      <w:numFmt w:val="decimal"/>
      <w:lvlText w:val="%1."/>
      <w:lvlJc w:val="left"/>
      <w:pPr>
        <w:tabs>
          <w:tab w:val="left" w:pos="900"/>
        </w:tabs>
        <w:ind w:left="540" w:hanging="360"/>
      </w:pPr>
    </w:lvl>
  </w:abstractNum>
  <w:abstractNum w:abstractNumId="30">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31">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32">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33">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34">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5">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36">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37">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38">
    <w:nsid w:val="5E29AB5A"/>
    <w:multiLevelType w:val="singleLevel"/>
    <w:tmpl w:val="5E29AB5A"/>
    <w:lvl w:ilvl="0" w:tentative="0">
      <w:start w:val="1"/>
      <w:numFmt w:val="decimal"/>
      <w:lvlText w:val="%1."/>
      <w:lvlJc w:val="left"/>
      <w:pPr>
        <w:tabs>
          <w:tab w:val="left" w:pos="900"/>
        </w:tabs>
        <w:ind w:left="540" w:hanging="360"/>
      </w:pPr>
    </w:lvl>
  </w:abstractNum>
  <w:abstractNum w:abstractNumId="39">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40">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41">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42">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43">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44">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45">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20"/>
  </w:num>
  <w:num w:numId="2">
    <w:abstractNumId w:val="14"/>
  </w:num>
  <w:num w:numId="3">
    <w:abstractNumId w:val="36"/>
  </w:num>
  <w:num w:numId="4">
    <w:abstractNumId w:val="12"/>
  </w:num>
  <w:num w:numId="5">
    <w:abstractNumId w:val="8"/>
  </w:num>
  <w:num w:numId="6">
    <w:abstractNumId w:val="22"/>
  </w:num>
  <w:num w:numId="7">
    <w:abstractNumId w:val="27"/>
  </w:num>
  <w:num w:numId="8">
    <w:abstractNumId w:val="41"/>
  </w:num>
  <w:num w:numId="9">
    <w:abstractNumId w:val="21"/>
  </w:num>
  <w:num w:numId="10">
    <w:abstractNumId w:val="4"/>
  </w:num>
  <w:num w:numId="11">
    <w:abstractNumId w:val="28"/>
  </w:num>
  <w:num w:numId="12">
    <w:abstractNumId w:val="37"/>
  </w:num>
  <w:num w:numId="13">
    <w:abstractNumId w:val="13"/>
  </w:num>
  <w:num w:numId="14">
    <w:abstractNumId w:val="33"/>
  </w:num>
  <w:num w:numId="15">
    <w:abstractNumId w:val="18"/>
  </w:num>
  <w:num w:numId="16">
    <w:abstractNumId w:val="26"/>
  </w:num>
  <w:num w:numId="17">
    <w:abstractNumId w:val="16"/>
  </w:num>
  <w:num w:numId="18">
    <w:abstractNumId w:val="15"/>
  </w:num>
  <w:num w:numId="19">
    <w:abstractNumId w:val="6"/>
  </w:num>
  <w:num w:numId="20">
    <w:abstractNumId w:val="32"/>
  </w:num>
  <w:num w:numId="21">
    <w:abstractNumId w:val="39"/>
  </w:num>
  <w:num w:numId="22">
    <w:abstractNumId w:val="23"/>
  </w:num>
  <w:num w:numId="23">
    <w:abstractNumId w:val="31"/>
  </w:num>
  <w:num w:numId="24">
    <w:abstractNumId w:val="7"/>
  </w:num>
  <w:num w:numId="25">
    <w:abstractNumId w:val="44"/>
  </w:num>
  <w:num w:numId="26">
    <w:abstractNumId w:val="42"/>
  </w:num>
  <w:num w:numId="27">
    <w:abstractNumId w:val="11"/>
  </w:num>
  <w:num w:numId="28">
    <w:abstractNumId w:val="40"/>
  </w:num>
  <w:num w:numId="29">
    <w:abstractNumId w:val="5"/>
  </w:num>
  <w:num w:numId="30">
    <w:abstractNumId w:val="30"/>
  </w:num>
  <w:num w:numId="31">
    <w:abstractNumId w:val="2"/>
  </w:num>
  <w:num w:numId="32">
    <w:abstractNumId w:val="35"/>
  </w:num>
  <w:num w:numId="33">
    <w:abstractNumId w:val="45"/>
  </w:num>
  <w:num w:numId="34">
    <w:abstractNumId w:val="0"/>
  </w:num>
  <w:num w:numId="35">
    <w:abstractNumId w:val="25"/>
  </w:num>
  <w:num w:numId="36">
    <w:abstractNumId w:val="34"/>
  </w:num>
  <w:num w:numId="37">
    <w:abstractNumId w:val="19"/>
  </w:num>
  <w:num w:numId="38">
    <w:abstractNumId w:val="17"/>
  </w:num>
  <w:num w:numId="39">
    <w:abstractNumId w:val="29"/>
  </w:num>
  <w:num w:numId="40">
    <w:abstractNumId w:val="43"/>
  </w:num>
  <w:num w:numId="41">
    <w:abstractNumId w:val="10"/>
  </w:num>
  <w:num w:numId="42">
    <w:abstractNumId w:val="3"/>
  </w:num>
  <w:num w:numId="43">
    <w:abstractNumId w:val="9"/>
  </w:num>
  <w:num w:numId="44">
    <w:abstractNumId w:val="38"/>
  </w:num>
  <w:num w:numId="45">
    <w:abstractNumId w:val="1"/>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BFC1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52</Pages>
  <Words>1935</Words>
  <Characters>14164</Characters>
  <TotalTime>0</TotalTime>
  <ScaleCrop>false</ScaleCrop>
  <LinksUpToDate>false</LinksUpToDate>
  <CharactersWithSpaces>15964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2025-12-30T10:22:00Z</dcterms:created>
  <dc:creator>html-to-docx</dc:creator>
  <cp:keywords>html-to-docx</cp:keywords>
  <cp:lastModifiedBy>dyx</cp:lastModifiedBy>
  <dcterms:modified xsi:type="dcterms:W3CDTF">2026-01-04T18:34:59Z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93A59DDF24194AEF875DCBEF61FFCAA7_12</vt:lpwstr>
  </property>
</Properties>
</file>