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iability_allocation_in_accidents_5617a2"/>
      <w:r>
        <w:rPr>
          <w:b/>
          <w:sz w:val="56"/>
        </w:rPr>
        <w:t xml:space="preserve">Liability Allocation in Accidents Involving Advanced Driver-Assistance Systems: A Technical, Legal, and Regulatory Analysis</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The proliferation of Advanced Driver-Assistance Systems (ADAS) has created a fundamental tension in accident liability law: vehicles increasingly share the driving task with humans, yet legal frameworks were designed around the premise that a single human driver bears responsibility. This report examines how technical characteristics of ADAS—sensor limitations, automation complacency, and handover dynamics—interact with existing legal doctrines of negligence, product liability, and comparative fault. Drawing on landmark case law (notably </w:t>
      </w:r>
      <w:r>
        <w:rPr>
          <w:i/>
        </w:rPr>
        <w:t xml:space="preserve">Benavides Leon v. Tesla</w:t>
      </w:r>
      <w:r>
        <w:rPr>
          <w:rFonts w:eastAsia="Georgia" w:cs="Georgia" w:ascii="Georgia" w:hAnsi="Georgia"/>
        </w:rPr>
        <w:t xml:space="preserve">, 2025), international regulatory developments (the EU Product Liability Directive, Germany's StVG amendments, the UK Automated Vehicles Act 2024, UN R171, and NHTSA's evolving framework), and human factors research, the analysis demonstrates that a collaborative-driving liability model—rather than an all-or-nothing allocation—is both descriptively accurate and normatively justified. The report concludes with ten proposed regulatory guidelines designed to align liability with actual control distribution in shared human-machine driving.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_technical_foundations_of_adas"/>
      <w:r>
        <w:rPr>
          <w:b/>
          <w:sz w:val="42"/>
        </w:rPr>
        <w:t xml:space="preserve">I. Technical Foundations of ADAS</w:t>
      </w:r>
      <w:bookmarkEnd w:id="2"/>
    </w:p>
    <w:p>
      <w:pPr>
        <w:spacing w:line="271" w:before="240" w:lineRule="auto"/>
      </w:pPr>
      <w:bookmarkStart w:id="3" w:name="sae_automation_levels_and_the_res_ead29f"/>
      <w:r>
        <w:rPr>
          <w:b/>
          <w:sz w:val="33"/>
        </w:rPr>
        <w:t xml:space="preserve">SAE Automation Levels and the "Responsibility Gap"</w:t>
      </w:r>
      <w:bookmarkEnd w:id="3"/>
    </w:p>
    <w:p>
      <w:pPr>
        <w:spacing w:after="210" w:lineRule="auto"/>
      </w:pPr>
      <w:r>
        <w:rPr/>
        <w:t xml:space="preserve">The Society of Automotive Engineers (SAE) International Standard J3016 defines six levels of driving automation, from Level 0 (no automation) through Level 5 (full automation). The critical boundary for liability analysis lies between Level 2 and Level 3:[1][2]</w:t>
      </w:r>
    </w:p>
    <w:p>
      <w:pPr>
        <w:numPr>
          <w:ilvl w:val="0"/>
          <w:numId w:val="1"/>
        </w:numPr>
        <w:spacing w:lineRule="auto"/>
      </w:pPr>
      <w:r>
        <w:rPr>
          <w:b/>
        </w:rPr>
        <w:t xml:space="preserve">Level 2 (Partial Automation):</w:t>
      </w:r>
      <w:r>
        <w:rPr/>
        <w:t xml:space="preserve"> The vehicle can simultaneously control steering and acceleration/deceleration, but the human driver must continuously monitor the driving environment and remain responsible at all times.[3][4]</w:t>
      </w:r>
    </w:p>
    <w:p>
      <w:pPr>
        <w:numPr>
          <w:ilvl w:val="0"/>
          <w:numId w:val="1"/>
        </w:numPr>
        <w:spacing w:lineRule="auto"/>
      </w:pPr>
      <w:r>
        <w:rPr>
          <w:b/>
        </w:rPr>
        <w:t xml:space="preserve">Level 3 (Conditional Automation):</w:t>
      </w:r>
      <w:r>
        <w:rPr/>
        <w:t xml:space="preserve"> The automated driving system monitors the environment, but the human must be ready to intervene when the system issues a takeover request.[2][5]</w:t>
      </w:r>
    </w:p>
    <w:p>
      <w:pPr>
        <w:spacing w:after="210" w:lineRule="auto"/>
      </w:pPr>
      <w:r>
        <w:rPr>
          <w:rFonts w:eastAsia="Georgia" w:cs="Georgia" w:ascii="Georgia" w:hAnsi="Georgia"/>
        </w:rPr>
        <w:t xml:space="preserve">Most commercially deployed systems marketed with autonomous-sounding branding—including Tesla's Autopilot and Full Self-Driving (FSD)—are classified as Level 2. This classification means the driver retains legal responsibility under SAE definitions, yet the system's functional behavior creates a psychological expectation of greater automation, producing a "responsibility gap" between legal obligation and practical experience.[6][7]</w:t>
      </w:r>
    </w:p>
    <w:p>
      <w:pPr>
        <w:spacing w:line="271" w:before="240" w:lineRule="auto"/>
      </w:pPr>
      <w:bookmarkStart w:id="4" w:name="sensor_and_software_limitations"/>
      <w:r>
        <w:rPr>
          <w:b/>
          <w:sz w:val="33"/>
        </w:rPr>
        <w:t xml:space="preserve">Sensor and Software Limitations</w:t>
      </w:r>
      <w:bookmarkEnd w:id="4"/>
    </w:p>
    <w:p>
      <w:pPr>
        <w:spacing w:after="210" w:lineRule="auto"/>
      </w:pPr>
      <w:r>
        <w:rPr>
          <w:rFonts w:eastAsia="Georgia" w:cs="Georgia" w:ascii="Georgia" w:hAnsi="Georgia"/>
        </w:rPr>
        <w:t xml:space="preserve">ADAS relies on a combination of cameras, radar, lidar, and ultrasonic sensors, each with inherent limitations. Environmental factors—rain, fog, direct sunlight, road debris covering lane markings—can degrade sensor performance significantly. Software perception algorithms may fail to recognize stationary objects, unusual road geometries, or construction zones. These are not mere edge cases; they represent systematic operational design domain (ODD) boundaries that manufacturers define but drivers may not fully understand.[8][4][3]</w:t>
      </w:r>
    </w:p>
    <w:p>
      <w:pPr>
        <w:spacing w:line="271" w:before="240" w:lineRule="auto"/>
      </w:pPr>
      <w:bookmarkStart w:id="5" w:name="the_automation_complacency_problem"/>
      <w:r>
        <w:rPr>
          <w:b/>
          <w:sz w:val="33"/>
        </w:rPr>
        <w:t xml:space="preserve">The Automation Complacency Problem</w:t>
      </w:r>
      <w:bookmarkEnd w:id="5"/>
    </w:p>
    <w:p>
      <w:pPr>
        <w:spacing w:after="210" w:lineRule="auto"/>
      </w:pPr>
      <w:r>
        <w:rPr>
          <w:rFonts w:eastAsia="Georgia" w:cs="Georgia" w:ascii="Georgia" w:hAnsi="Georgia"/>
        </w:rPr>
        <w:t xml:space="preserve">Human factors research demonstrates that drivers using ADAS experience "automation complacency"—a well-documented decline in vigilance and situational awareness that results from monitoring a system performing well most of the time. Studies show humans are fundamentally poor at sustained passive monitoring tasks, and the more reliable an ADAS system appears, the less attention the driver pays. When handover becomes necessary—often in the most critical moments—the driver may need 5–10 seconds or more to rebuild situational awareness and take effective control. This creates a paradox: the better the system works, the less prepared the driver becomes for the moments when it fails.[9][10][11][12][13]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ii_existing_legal_frameworks_for_c0c140"/>
      <w:r>
        <w:rPr>
          <w:b/>
          <w:sz w:val="42"/>
        </w:rPr>
        <w:t xml:space="preserve">II. Existing Legal Frameworks for Liability Allocation</w:t>
      </w:r>
      <w:bookmarkEnd w:id="6"/>
    </w:p>
    <w:p>
      <w:pPr>
        <w:spacing w:line="271" w:before="240" w:lineRule="auto"/>
      </w:pPr>
      <w:bookmarkStart w:id="7" w:name="traditional_negligence_and_the_dr_bff790"/>
      <w:r>
        <w:rPr>
          <w:b/>
          <w:sz w:val="33"/>
        </w:rPr>
        <w:t xml:space="preserve">Traditional Negligence and the Driver's Duty</w:t>
      </w:r>
      <w:bookmarkEnd w:id="7"/>
    </w:p>
    <w:p>
      <w:pPr>
        <w:spacing w:after="210" w:lineRule="auto"/>
      </w:pPr>
      <w:r>
        <w:rPr>
          <w:rFonts w:eastAsia="Georgia" w:cs="Georgia" w:ascii="Georgia" w:hAnsi="Georgia"/>
        </w:rPr>
        <w:t xml:space="preserve">Under traditional tort law, drivers owe a duty of reasonable care to other road users. Activating ADAS does not extinguish this duty. At Level 2, most jurisdictions hold that the driver remains the "operator" and must maintain continuous supervision. However, the question of what constitutes "reasonable" supervision of a system that controls both steering and speed—while simultaneously encouraging drivers to reduce their engagement—has no settled answer.[14][3]</w:t>
      </w:r>
    </w:p>
    <w:p>
      <w:pPr>
        <w:spacing w:line="271" w:before="240" w:lineRule="auto"/>
      </w:pPr>
      <w:bookmarkStart w:id="8" w:name="product_liability_three_theories_f0d24e"/>
      <w:r>
        <w:rPr>
          <w:b/>
          <w:sz w:val="33"/>
        </w:rPr>
        <w:t xml:space="preserve">Product Liability: Three Theories of Manufacturer Fault</w:t>
      </w:r>
      <w:bookmarkEnd w:id="8"/>
    </w:p>
    <w:p>
      <w:pPr>
        <w:spacing w:after="210" w:lineRule="auto"/>
      </w:pPr>
      <w:r>
        <w:rPr/>
        <w:t xml:space="preserve">When an ADAS malfunction contributes to an accident, product liability law provides three avenues for claims against manufacturers and software developers:[15][16]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Theory</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ADAS Application</w:t>
            </w:r>
          </w:p>
        </w:tc>
      </w:tr>
      <w:tr>
        <w:trPr>
          <w:cantSplit/>
        </w:trPr>
        <w:tc>
          <w:tcPr>
            <w:tcBorders>
              <w:top w:val="single" w:sz="1" w:space="0" w:color="000000"/>
              <w:bottom w:val="single" w:sz="1" w:space="0" w:color="000000"/>
            </w:tcBorders>
          </w:tcPr>
          <w:p>
            <w:pPr>
              <w:spacing w:lineRule="auto"/>
            </w:pPr>
            <w:r>
              <w:rPr>
                <w:b/>
              </w:rPr>
              <w:t xml:space="preserve">Design Defect</w:t>
            </w:r>
          </w:p>
        </w:tc>
        <w:tc>
          <w:tcPr>
            <w:tcBorders>
              <w:top w:val="single" w:sz="1" w:space="0" w:color="000000"/>
              <w:left w:val="single" w:sz="1" w:space="0" w:color="000000"/>
              <w:bottom w:val="single" w:sz="1" w:space="0" w:color="000000"/>
            </w:tcBorders>
          </w:tcPr>
          <w:p>
            <w:pPr>
              <w:spacing w:lineRule="auto"/>
            </w:pPr>
            <w:r>
              <w:rPr/>
              <w:t xml:space="preserve">The product's overall design makes it unreasonably dangerous</w:t>
            </w:r>
          </w:p>
        </w:tc>
        <w:tc>
          <w:tcPr>
            <w:tcBorders>
              <w:top w:val="single" w:sz="1" w:space="0" w:color="000000"/>
              <w:left w:val="single" w:sz="1" w:space="0" w:color="000000"/>
              <w:bottom w:val="single" w:sz="1" w:space="0" w:color="000000"/>
            </w:tcBorders>
          </w:tcPr>
          <w:p>
            <w:pPr>
              <w:spacing w:lineRule="auto"/>
            </w:pPr>
            <w:r>
              <w:rPr/>
              <w:t xml:space="preserve">ADAS that fails to detect common road scenarios within its ODD; inadequate driver monitoring systems[15]</w:t>
            </w:r>
          </w:p>
        </w:tc>
      </w:tr>
      <w:tr>
        <w:trPr>
          <w:cantSplit/>
        </w:trPr>
        <w:tc>
          <w:tcPr>
            <w:tcBorders>
              <w:top w:val="single" w:sz="1" w:space="0" w:color="000000"/>
              <w:bottom w:val="single" w:sz="1" w:space="0" w:color="000000"/>
            </w:tcBorders>
          </w:tcPr>
          <w:p>
            <w:pPr>
              <w:spacing w:lineRule="auto"/>
            </w:pPr>
            <w:r>
              <w:rPr>
                <w:b/>
              </w:rPr>
              <w:t xml:space="preserve">Manufacturing Defect</w:t>
            </w:r>
          </w:p>
        </w:tc>
        <w:tc>
          <w:tcPr>
            <w:tcBorders>
              <w:top w:val="single" w:sz="1" w:space="0" w:color="000000"/>
              <w:left w:val="single" w:sz="1" w:space="0" w:color="000000"/>
              <w:bottom w:val="single" w:sz="1" w:space="0" w:color="000000"/>
            </w:tcBorders>
          </w:tcPr>
          <w:p>
            <w:pPr>
              <w:spacing w:lineRule="auto"/>
            </w:pPr>
            <w:r>
              <w:rPr/>
              <w:t xml:space="preserve">The specific unit departs from its intended design</w:t>
            </w:r>
          </w:p>
        </w:tc>
        <w:tc>
          <w:tcPr>
            <w:tcBorders>
              <w:top w:val="single" w:sz="1" w:space="0" w:color="000000"/>
              <w:left w:val="single" w:sz="1" w:space="0" w:color="000000"/>
              <w:bottom w:val="single" w:sz="1" w:space="0" w:color="000000"/>
            </w:tcBorders>
          </w:tcPr>
          <w:p>
            <w:pPr>
              <w:spacing w:lineRule="auto"/>
            </w:pPr>
            <w:r>
              <w:rPr/>
              <w:t xml:space="preserve">Faulty sensor calibration, hardware defects in individual units[15]</w:t>
            </w:r>
          </w:p>
        </w:tc>
      </w:tr>
      <w:tr>
        <w:trPr>
          <w:cantSplit/>
        </w:trPr>
        <w:tc>
          <w:tcPr>
            <w:tcBorders>
              <w:top w:val="single" w:sz="1" w:space="0" w:color="000000"/>
              <w:bottom w:val="single" w:sz="1" w:space="0" w:color="000000"/>
            </w:tcBorders>
          </w:tcPr>
          <w:p>
            <w:pPr>
              <w:spacing w:lineRule="auto"/>
            </w:pPr>
            <w:r>
              <w:rPr>
                <w:b/>
              </w:rPr>
              <w:t xml:space="preserve">Failure to Warn</w:t>
            </w:r>
          </w:p>
        </w:tc>
        <w:tc>
          <w:tcPr>
            <w:tcBorders>
              <w:top w:val="single" w:sz="1" w:space="0" w:color="000000"/>
              <w:left w:val="single" w:sz="1" w:space="0" w:color="000000"/>
              <w:bottom w:val="single" w:sz="1" w:space="0" w:color="000000"/>
            </w:tcBorders>
          </w:tcPr>
          <w:p>
            <w:pPr>
              <w:spacing w:lineRule="auto"/>
            </w:pPr>
            <w:r>
              <w:rPr/>
              <w:t xml:space="preserve">Inadequate instructions or warnings about product limitations</w:t>
            </w:r>
          </w:p>
        </w:tc>
        <w:tc>
          <w:tcPr>
            <w:tcBorders>
              <w:top w:val="single" w:sz="1" w:space="0" w:color="000000"/>
              <w:left w:val="single" w:sz="1" w:space="0" w:color="000000"/>
              <w:bottom w:val="single" w:sz="1" w:space="0" w:color="000000"/>
            </w:tcBorders>
          </w:tcPr>
          <w:p>
            <w:pPr>
              <w:spacing w:lineRule="auto"/>
            </w:pPr>
            <w:r>
              <w:rPr/>
              <w:t xml:space="preserve">Misleading marketing of "Autopilot" or "Full Self-Driving" that overstates system capability[17][18]</w:t>
            </w:r>
          </w:p>
        </w:tc>
      </w:tr>
    </w:tbl>
    <w:p>
      <w:pPr>
        <w:spacing w:lineRule="auto"/>
      </w:pPr>
    </w:p>
    <w:p>
      <w:pPr>
        <w:spacing w:after="210" w:lineRule="auto"/>
      </w:pPr>
      <w:r>
        <w:rPr/>
        <w:t xml:space="preserve">The failure-to-warn theory has become particularly prominent in ADAS litigation, as plaintiffs argue that branding and marketing materials encourage the very over-reliance that manufacturers disclaim in fine-print warnings.[19][7]</w:t>
      </w:r>
    </w:p>
    <w:p>
      <w:pPr>
        <w:spacing w:line="271" w:before="240" w:lineRule="auto"/>
      </w:pPr>
      <w:bookmarkStart w:id="9" w:name="comparative_fault_and_shared_liability"/>
      <w:r>
        <w:rPr>
          <w:b/>
          <w:sz w:val="33"/>
        </w:rPr>
        <w:t xml:space="preserve">Comparative Fault and Shared Liability</w:t>
      </w:r>
      <w:bookmarkEnd w:id="9"/>
    </w:p>
    <w:p>
      <w:pPr>
        <w:spacing w:after="210" w:lineRule="auto"/>
      </w:pPr>
      <w:r>
        <w:rPr/>
        <w:t xml:space="preserve">Modern comparative fault regimes allow courts to apportion liability among multiple parties based on their respective degrees of fault. In the ADAS context, this means a jury can assign percentages of responsibility to both the driver (for failing to supervise) and the manufacturer (for deploying a system with known limitations or misleading marketing). This framework is already being applied in practice, as the landmark Tesla verdict demonstrates.[20][19]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iii_landmark_case_law_benavides_l_4638e2"/>
      <w:r>
        <w:rPr>
          <w:b/>
          <w:sz w:val="42"/>
        </w:rPr>
        <w:t xml:space="preserve">III. Landmark Case Law: </w:t>
      </w:r>
      <w:r>
        <w:rPr>
          <w:b/>
          <w:i/>
          <w:sz w:val="42"/>
        </w:rPr>
        <w:t xml:space="preserve">Benavides Leon v. Tesla</w:t>
      </w:r>
      <w:r>
        <w:rPr>
          <w:b/>
          <w:sz w:val="42"/>
        </w:rPr>
        <w:t xml:space="preserve"> (2025)</w:t>
      </w:r>
      <w:bookmarkEnd w:id="10"/>
    </w:p>
    <w:p>
      <w:pPr>
        <w:spacing w:line="271" w:before="240" w:lineRule="auto"/>
      </w:pPr>
      <w:bookmarkStart w:id="11" w:name="facts_and_verdict"/>
      <w:r>
        <w:rPr>
          <w:b/>
          <w:sz w:val="33"/>
        </w:rPr>
        <w:t xml:space="preserve">Facts and Verdict</w:t>
      </w:r>
      <w:bookmarkEnd w:id="11"/>
    </w:p>
    <w:p>
      <w:pPr>
        <w:spacing w:after="210" w:lineRule="auto"/>
      </w:pPr>
      <w:r>
        <w:rPr/>
        <w:t xml:space="preserve">In April 2019, a Tesla Model S operating on Autopilot, driven by George McGee, crashed into a parked SUV in Key Largo, Florida, killing 22-year-old Naibel Benavides Leon and severely injuring Dillon Angulo. McGee acknowledged being distracted by his cellphone. The federal jury in Miami found Tesla </w:t>
      </w:r>
      <w:r>
        <w:rPr>
          <w:b/>
        </w:rPr>
        <w:t xml:space="preserve">33% liable</w:t>
      </w:r>
      <w:r>
        <w:rPr>
          <w:rFonts w:eastAsia="Georgia" w:cs="Georgia" w:ascii="Georgia" w:hAnsi="Georgia"/>
        </w:rPr>
        <w:t xml:space="preserve"> for the accident, concluding that the Autopilot system malfunctioned and that Tesla bore significant responsibility for the crash—awarding $19.5 million to Benavides Leon's estate, $231 million to Angulo, and an additional $200 million in punitive damages.[17][19][20]</w:t>
      </w:r>
    </w:p>
    <w:p>
      <w:pPr>
        <w:spacing w:line="271" w:before="240" w:lineRule="auto"/>
      </w:pPr>
      <w:bookmarkStart w:id="12" w:name="legal_significance"/>
      <w:r>
        <w:rPr>
          <w:b/>
          <w:sz w:val="33"/>
        </w:rPr>
        <w:t xml:space="preserve">Legal Significance</w:t>
      </w:r>
      <w:bookmarkEnd w:id="12"/>
    </w:p>
    <w:p>
      <w:pPr>
        <w:spacing w:after="210" w:lineRule="auto"/>
      </w:pPr>
      <w:r>
        <w:rPr/>
        <w:t xml:space="preserve">This was the first federal jury verdict on a fatal Autopilot incident, and it established several important precedents:[20]</w:t>
      </w:r>
    </w:p>
    <w:p>
      <w:pPr>
        <w:numPr>
          <w:ilvl w:val="0"/>
          <w:numId w:val="2"/>
        </w:numPr>
        <w:spacing w:lineRule="auto"/>
      </w:pPr>
      <w:r>
        <w:rPr>
          <w:b/>
        </w:rPr>
        <w:t xml:space="preserve">Shared liability is viable:</w:t>
      </w:r>
      <w:r>
        <w:rPr/>
        <w:t xml:space="preserve"> Even when the driver was clearly negligent (cellphone use), the manufacturer could still be held partially responsible for system performance and misleading capability claims.[19]</w:t>
      </w:r>
    </w:p>
    <w:p>
      <w:pPr>
        <w:numPr>
          <w:ilvl w:val="0"/>
          <w:numId w:val="2"/>
        </w:numPr>
        <w:spacing w:lineRule="auto"/>
      </w:pPr>
      <w:r>
        <w:rPr>
          <w:b/>
        </w:rPr>
        <w:t xml:space="preserve">Marketing matters:</w:t>
      </w:r>
      <w:r>
        <w:rPr/>
        <w:t xml:space="preserve"> Plaintiffs' attorney Brett Schreiber argued that Tesla overstated Autopilot's capabilities, and the jury credited this argument in its allocation.[21][6]</w:t>
      </w:r>
    </w:p>
    <w:p>
      <w:pPr>
        <w:numPr>
          <w:ilvl w:val="0"/>
          <w:numId w:val="2"/>
        </w:numPr>
        <w:spacing w:lineRule="auto"/>
      </w:pPr>
      <w:r>
        <w:rPr>
          <w:b/>
        </w:rPr>
        <w:t xml:space="preserve">Punitive damages signal:</w:t>
      </w:r>
      <w:r>
        <w:rPr/>
        <w:t xml:space="preserve"> The $200 million in punitive damages indicates judicial willingness to impose serious financial consequences for what juries perceive as reckless deployment of imperfect technology.[19]</w:t>
      </w:r>
    </w:p>
    <w:p>
      <w:pPr>
        <w:spacing w:after="210" w:lineRule="auto"/>
      </w:pPr>
      <w:r>
        <w:rPr/>
        <w:t xml:space="preserve">In February 2026, a federal judge upheld the $243 million verdict, rejecting Tesla's motion to overturn the ruling or reduce damages. Tesla had argued that automakers "cannot be held accountable for damages caused by negligent drivers," but the court found the jury's shared-liability determination supported by the evidence.[20]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iv_international_regulatory_landscape"/>
      <w:r>
        <w:rPr>
          <w:b/>
          <w:sz w:val="42"/>
        </w:rPr>
        <w:t xml:space="preserve">IV. International Regulatory Landscape</w:t>
      </w:r>
      <w:bookmarkEnd w:id="13"/>
    </w:p>
    <w:p>
      <w:pPr>
        <w:spacing w:line="271" w:before="240" w:lineRule="auto"/>
      </w:pPr>
      <w:bookmarkStart w:id="14" w:name="european_union_the_new_product_li_36cb86"/>
      <w:r>
        <w:rPr>
          <w:b/>
          <w:sz w:val="33"/>
        </w:rPr>
        <w:t xml:space="preserve">European Union: The New Product Liability Directive</w:t>
      </w:r>
      <w:bookmarkEnd w:id="14"/>
    </w:p>
    <w:p>
      <w:pPr>
        <w:spacing w:after="210" w:lineRule="auto"/>
      </w:pPr>
      <w:r>
        <w:rPr/>
        <w:t xml:space="preserve">The revised EU Product Liability Directive (Directive (EU) 2024/2853), effective from December 2024, fundamentally modernizes the framework for ADAS liability:[22][23]</w:t>
      </w:r>
    </w:p>
    <w:p>
      <w:pPr>
        <w:numPr>
          <w:ilvl w:val="0"/>
          <w:numId w:val="3"/>
        </w:numPr>
        <w:spacing w:lineRule="auto"/>
      </w:pPr>
      <w:r>
        <w:rPr>
          <w:b/>
        </w:rPr>
        <w:t xml:space="preserve">Software as "product":</w:t>
      </w:r>
      <w:r>
        <w:rPr/>
        <w:t xml:space="preserve"> Embedded software, standalone software, AI systems, and OTA updates are now explicitly within the definition of "product" subject to strict liability.[22]</w:t>
      </w:r>
    </w:p>
    <w:p>
      <w:pPr>
        <w:numPr>
          <w:ilvl w:val="0"/>
          <w:numId w:val="3"/>
        </w:numPr>
        <w:spacing w:lineRule="auto"/>
      </w:pPr>
      <w:r>
        <w:rPr>
          <w:b/>
        </w:rPr>
        <w:t xml:space="preserve">New defect triggers:</w:t>
      </w:r>
      <w:r>
        <w:rPr>
          <w:rFonts w:eastAsia="Georgia" w:cs="Georgia" w:ascii="Georgia" w:hAnsi="Georgia"/>
        </w:rPr>
        <w:t xml:space="preserve"> Cybersecurity vulnerabilities left unremedied and post-sale changes—including machine-learning behavioral drift and OTA updates—can render products defective.[22]</w:t>
      </w:r>
    </w:p>
    <w:p>
      <w:pPr>
        <w:numPr>
          <w:ilvl w:val="0"/>
          <w:numId w:val="3"/>
        </w:numPr>
        <w:spacing w:lineRule="auto"/>
      </w:pPr>
      <w:r>
        <w:rPr>
          <w:b/>
        </w:rPr>
        <w:t xml:space="preserve">Broader defendant pool:</w:t>
      </w:r>
      <w:r>
        <w:rPr/>
        <w:t xml:space="preserve"> Importers, authorized representatives, fulfillment service providers, and parties who substantially modify products (including via software updates) can be treated as "manufacturers".[22]</w:t>
      </w:r>
    </w:p>
    <w:p>
      <w:pPr>
        <w:numPr>
          <w:ilvl w:val="0"/>
          <w:numId w:val="3"/>
        </w:numPr>
        <w:spacing w:lineRule="auto"/>
      </w:pPr>
      <w:r>
        <w:rPr>
          <w:b/>
        </w:rPr>
        <w:t xml:space="preserve">Lower evidentiary barriers:</w:t>
      </w:r>
      <w:r>
        <w:rPr/>
        <w:t xml:space="preserve"> Claimants benefit from disclosure obligations and rebuttable presumptions that reduce the burden of proving defectiveness and causation.[24][25]</w:t>
      </w:r>
    </w:p>
    <w:p>
      <w:pPr>
        <w:spacing w:after="210" w:lineRule="auto"/>
      </w:pPr>
      <w:r>
        <w:rPr/>
        <w:t xml:space="preserve">However, scholars have noted that the Directive still relies on the classical concept of "defect," which may be ill-suited to autonomous and evolving systems whose behavior changes over time through machine learning.[25]</w:t>
      </w:r>
    </w:p>
    <w:p>
      <w:pPr>
        <w:spacing w:line="271" w:before="240" w:lineRule="auto"/>
      </w:pPr>
      <w:bookmarkStart w:id="15" w:name="united_kingdom_automated_vehicles_c73346"/>
      <w:r>
        <w:rPr>
          <w:b/>
          <w:sz w:val="33"/>
        </w:rPr>
        <w:t xml:space="preserve">United Kingdom: Automated Vehicles Act 2024</w:t>
      </w:r>
      <w:bookmarkEnd w:id="15"/>
    </w:p>
    <w:p>
      <w:pPr>
        <w:spacing w:after="210" w:lineRule="auto"/>
      </w:pPr>
      <w:r>
        <w:rPr/>
        <w:t xml:space="preserve">The UK's Automated Vehicles Act 2024 (AVA 2024), which received royal assent on 20 May 2024, builds on the earlier Automated and Electric Vehicles Act 2018. The AVA 2024 creates a regulatory architecture that:[26]</w:t>
      </w:r>
    </w:p>
    <w:p>
      <w:pPr>
        <w:numPr>
          <w:ilvl w:val="0"/>
          <w:numId w:val="4"/>
        </w:numPr>
        <w:spacing w:lineRule="auto"/>
      </w:pPr>
      <w:r>
        <w:rPr/>
        <w:t xml:space="preserve">Provides for insurers of automated vehicles to be directly liable to accident victims.[26]</w:t>
      </w:r>
    </w:p>
    <w:p>
      <w:pPr>
        <w:numPr>
          <w:ilvl w:val="0"/>
          <w:numId w:val="4"/>
        </w:numPr>
        <w:spacing w:lineRule="auto"/>
      </w:pPr>
      <w:r>
        <w:rPr/>
        <w:t xml:space="preserve">Allows insurers to recoup their outlay against responsible parties, including manufacturers.[26]</w:t>
      </w:r>
    </w:p>
    <w:p>
      <w:pPr>
        <w:numPr>
          <w:ilvl w:val="0"/>
          <w:numId w:val="4"/>
        </w:numPr>
        <w:spacing w:lineRule="auto"/>
      </w:pPr>
      <w:r>
        <w:rPr/>
        <w:t xml:space="preserve">Introduces the concept of a "user in charge" who must be prepared to take control when the system disengages, establishing a tiered responsibility framework.[27][26]</w:t>
      </w:r>
    </w:p>
    <w:p>
      <w:pPr>
        <w:spacing w:after="210" w:lineRule="auto"/>
      </w:pPr>
      <w:r>
        <w:rPr/>
        <w:t xml:space="preserve">This model has been identified as a potentially transferable template for AI agent liability more broadly, using an "autonomy scale" to structure liability discussions.[27]</w:t>
      </w:r>
    </w:p>
    <w:p>
      <w:pPr>
        <w:spacing w:line="271" w:before="240" w:lineRule="auto"/>
      </w:pPr>
      <w:bookmarkStart w:id="16" w:name="germany_stvg_amendments_and_level_c0436e"/>
      <w:r>
        <w:rPr>
          <w:b/>
          <w:sz w:val="33"/>
        </w:rPr>
        <w:t xml:space="preserve">Germany: StVG Amendments and Level 3/4 Frameworks</w:t>
      </w:r>
      <w:bookmarkEnd w:id="16"/>
    </w:p>
    <w:p>
      <w:pPr>
        <w:spacing w:after="210" w:lineRule="auto"/>
      </w:pPr>
      <w:r>
        <w:rPr/>
        <w:t xml:space="preserve">Germany has been a pioneer in legislating for higher automation levels. The 2017 amendment to the Road Traffic Act (StVG) allowed Level 3 automated systems to assume driving tasks under defined conditions, while the driver must be able to retake control with sufficient notice. The 2021 Autonomous Driving Act extended this to Level 4, allowing vehicles to operate independently in designated operating areas with a remote technical supervisor. Key features include:[5][28][29]</w:t>
      </w:r>
    </w:p>
    <w:p>
      <w:pPr>
        <w:numPr>
          <w:ilvl w:val="0"/>
          <w:numId w:val="5"/>
        </w:numPr>
        <w:spacing w:lineRule="auto"/>
      </w:pPr>
      <w:r>
        <w:rPr/>
        <w:t xml:space="preserve">The person who activates an automated driving function is still legally deemed a "driver".[28]</w:t>
      </w:r>
    </w:p>
    <w:p>
      <w:pPr>
        <w:numPr>
          <w:ilvl w:val="0"/>
          <w:numId w:val="5"/>
        </w:numPr>
        <w:spacing w:lineRule="auto"/>
      </w:pPr>
      <w:r>
        <w:rPr/>
        <w:t xml:space="preserve">Mandatory liability insurance covering the technical supervisor's actions.[30]</w:t>
      </w:r>
    </w:p>
    <w:p>
      <w:pPr>
        <w:numPr>
          <w:ilvl w:val="0"/>
          <w:numId w:val="5"/>
        </w:numPr>
        <w:spacing w:lineRule="auto"/>
      </w:pPr>
      <w:r>
        <w:rPr/>
        <w:t xml:space="preserve">Increased maximum liability amounts for vehicle keepers.[28]</w:t>
      </w:r>
    </w:p>
    <w:p>
      <w:pPr>
        <w:spacing w:line="271" w:before="240" w:lineRule="auto"/>
      </w:pPr>
      <w:bookmarkStart w:id="17" w:name="unece_un_regulation_r171_on_dcas"/>
      <w:r>
        <w:rPr>
          <w:b/>
          <w:sz w:val="33"/>
        </w:rPr>
        <w:t xml:space="preserve">UNECE: UN Regulation R171 on DCAS</w:t>
      </w:r>
      <w:bookmarkEnd w:id="17"/>
    </w:p>
    <w:p>
      <w:pPr>
        <w:spacing w:after="210" w:lineRule="auto"/>
      </w:pPr>
      <w:r>
        <w:rPr/>
        <w:t xml:space="preserve">UN R171, which entered into force in September 2024 and has been adopted by 59 countries, establishes the first international regulatory standard specifically for Level 2 Driver Control Assistance Systems (DCAS). The regulation:[4][31]</w:t>
      </w:r>
    </w:p>
    <w:p>
      <w:pPr>
        <w:numPr>
          <w:ilvl w:val="0"/>
          <w:numId w:val="6"/>
        </w:numPr>
        <w:spacing w:lineRule="auto"/>
      </w:pPr>
      <w:r>
        <w:rPr/>
        <w:t xml:space="preserve">Mandates driver monitoring systems to ensure the driver remains engaged and aware.[3][4]</w:t>
      </w:r>
    </w:p>
    <w:p>
      <w:pPr>
        <w:numPr>
          <w:ilvl w:val="0"/>
          <w:numId w:val="6"/>
        </w:numPr>
        <w:spacing w:lineRule="auto"/>
      </w:pPr>
      <w:r>
        <w:rPr/>
        <w:t xml:space="preserve">Requires effective human-machine interface (HMI) design with clear warning strategies.[32][4]</w:t>
      </w:r>
    </w:p>
    <w:p>
      <w:pPr>
        <w:numPr>
          <w:ilvl w:val="0"/>
          <w:numId w:val="6"/>
        </w:numPr>
        <w:spacing w:lineRule="auto"/>
      </w:pPr>
      <w:r>
        <w:rPr/>
        <w:t xml:space="preserve">Establishes multi-pillar validation: documentation audits, physical track testing, and real-world assessments.[32]</w:t>
      </w:r>
    </w:p>
    <w:p>
      <w:pPr>
        <w:numPr>
          <w:ilvl w:val="0"/>
          <w:numId w:val="6"/>
        </w:numPr>
        <w:spacing w:lineRule="auto"/>
      </w:pPr>
      <w:r>
        <w:rPr/>
        <w:t xml:space="preserve">Requires continuous in-service monitoring and reporting of safety-critical incidents.[32]</w:t>
      </w:r>
    </w:p>
    <w:p>
      <w:pPr>
        <w:spacing w:line="271" w:before="240" w:lineRule="auto"/>
      </w:pPr>
      <w:bookmarkStart w:id="18" w:name="united_states_nhtsa_s_evolving_approach"/>
      <w:r>
        <w:rPr>
          <w:b/>
          <w:sz w:val="33"/>
        </w:rPr>
        <w:t xml:space="preserve">United States: NHTSA's Evolving Approach</w:t>
      </w:r>
      <w:bookmarkEnd w:id="18"/>
    </w:p>
    <w:p>
      <w:pPr>
        <w:spacing w:after="210" w:lineRule="auto"/>
      </w:pPr>
      <w:r>
        <w:rPr/>
        <w:t xml:space="preserve">In April 2025, NHTSA released a new Automated Vehicle Framework, including a Third Amended Standing General Order on crash reporting for ADS and Level 2 ADAS. The framework:[33]</w:t>
      </w:r>
    </w:p>
    <w:p>
      <w:pPr>
        <w:numPr>
          <w:ilvl w:val="0"/>
          <w:numId w:val="7"/>
        </w:numPr>
        <w:spacing w:lineRule="auto"/>
      </w:pPr>
      <w:r>
        <w:rPr/>
        <w:t xml:space="preserve">Extends reporting deadlines while maintaining substantial reporting obligations for serious crashes.[33]</w:t>
      </w:r>
    </w:p>
    <w:p>
      <w:pPr>
        <w:numPr>
          <w:ilvl w:val="0"/>
          <w:numId w:val="7"/>
        </w:numPr>
        <w:spacing w:lineRule="auto"/>
      </w:pPr>
      <w:r>
        <w:rPr/>
        <w:t xml:space="preserve">Proposes the voluntary AV STEP program for evaluation and oversight of ADS-equipped vehicles.[34]</w:t>
      </w:r>
    </w:p>
    <w:p>
      <w:pPr>
        <w:numPr>
          <w:ilvl w:val="0"/>
          <w:numId w:val="7"/>
        </w:numPr>
        <w:spacing w:lineRule="auto"/>
      </w:pPr>
      <w:r>
        <w:rPr/>
        <w:t xml:space="preserve">Expands the exemption program for domestic autonomous vehicle prototypes.[33]</w:t>
      </w:r>
    </w:p>
    <w:p>
      <w:pPr>
        <w:numPr>
          <w:ilvl w:val="0"/>
          <w:numId w:val="7"/>
        </w:numPr>
        <w:spacing w:lineRule="auto"/>
      </w:pPr>
      <w:r>
        <w:rPr/>
        <w:t xml:space="preserve">Updates the New Car Assessment Program (NCAP) with a 10-year roadmap for ADAS evaluation, adding blind spot warning, lane keeping assist, and pedestrian AEB technologies.[35]</w:t>
      </w:r>
    </w:p>
    <w:p>
      <w:pPr>
        <w:spacing w:after="210" w:lineRule="auto"/>
      </w:pPr>
      <w:r>
        <w:rPr/>
        <w:t xml:space="preserve">This approach is incrementally deregulatory, prioritizing innovation promotion alongside safety, but it lacks a comprehensive liability allocation framework.[33]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v_the_collaborative_driving_frame_dd34a5"/>
      <w:r>
        <w:rPr>
          <w:b/>
          <w:sz w:val="42"/>
        </w:rPr>
        <w:t xml:space="preserve">V. The Collaborative Driving Framework for Liability</w:t>
      </w:r>
      <w:bookmarkEnd w:id="19"/>
    </w:p>
    <w:p>
      <w:pPr>
        <w:spacing w:line="271" w:before="240" w:lineRule="auto"/>
      </w:pPr>
      <w:bookmarkStart w:id="20" w:name="academic_foundation"/>
      <w:r>
        <w:rPr>
          <w:b/>
          <w:sz w:val="33"/>
        </w:rPr>
        <w:t xml:space="preserve">Academic Foundation</w:t>
      </w:r>
      <w:bookmarkEnd w:id="20"/>
    </w:p>
    <w:p>
      <w:pPr>
        <w:spacing w:after="210" w:lineRule="auto"/>
      </w:pPr>
      <w:r>
        <w:rPr/>
        <w:t xml:space="preserve">A seminal 2024 article in the </w:t>
      </w:r>
      <w:r>
        <w:rPr>
          <w:i/>
        </w:rPr>
        <w:t xml:space="preserve">Iowa Law Review</w:t>
      </w:r>
      <w:r>
        <w:rPr>
          <w:rFonts w:eastAsia="Georgia" w:cs="Georgia" w:ascii="Georgia" w:hAnsi="Georgia"/>
        </w:rPr>
        <w:t xml:space="preserve"> argues that the automakers' position—that ADAS requires constant human oversight, therefore the driver is fully responsible when supervised autonomy fails—is wrong both descriptively and normatively. The article's core argument is that modern Level 2 systems create a </w:t>
      </w:r>
      <w:r>
        <w:rPr>
          <w:b/>
        </w:rPr>
        <w:t xml:space="preserve">collaborative driving endeavor</w:t>
      </w:r>
      <w:r>
        <w:rPr/>
        <w:t xml:space="preserve"> between human and machine, and liability should reflect this shared nature. Three key recommendations emerge:[7]</w:t>
      </w:r>
    </w:p>
    <w:p>
      <w:pPr>
        <w:numPr>
          <w:ilvl w:val="0"/>
          <w:numId w:val="8"/>
        </w:numPr>
        <w:spacing w:lineRule="auto"/>
      </w:pPr>
      <w:r>
        <w:rPr>
          <w:b/>
        </w:rPr>
        <w:t xml:space="preserve">Courts should treat collaborative driving as a system</w:t>
      </w:r>
      <w:r>
        <w:rPr/>
        <w:t xml:space="preserve"> when allocating liability, rather than isolating driver behavior from system performance.[7]</w:t>
      </w:r>
    </w:p>
    <w:p>
      <w:pPr>
        <w:numPr>
          <w:ilvl w:val="0"/>
          <w:numId w:val="8"/>
        </w:numPr>
        <w:spacing w:lineRule="auto"/>
      </w:pPr>
      <w:r>
        <w:rPr>
          <w:b/>
        </w:rPr>
        <w:t xml:space="preserve">The legal system should recognize and encourage regular software updates</w:t>
      </w:r>
      <w:r>
        <w:rPr/>
        <w:t xml:space="preserve">, creating incentives for manufacturers to continuously improve safety.[7]</w:t>
      </w:r>
    </w:p>
    <w:p>
      <w:pPr>
        <w:numPr>
          <w:ilvl w:val="0"/>
          <w:numId w:val="8"/>
        </w:numPr>
        <w:spacing w:lineRule="auto"/>
      </w:pPr>
      <w:r>
        <w:rPr>
          <w:b/>
        </w:rPr>
        <w:t xml:space="preserve">Fraud and warranty claims</w:t>
      </w:r>
      <w:r>
        <w:rPr/>
        <w:t xml:space="preserve"> should be available when manufacturers overstate autonomous capabilities, allowing economic damages to encourage cost internalization before physical injuries occur.[7]</w:t>
      </w:r>
    </w:p>
    <w:p>
      <w:pPr>
        <w:spacing w:line="271" w:before="240" w:lineRule="auto"/>
      </w:pPr>
      <w:bookmarkStart w:id="21" w:name="applying_the_framework"/>
      <w:r>
        <w:rPr>
          <w:b/>
          <w:sz w:val="33"/>
        </w:rPr>
        <w:t xml:space="preserve">Applying the Framework</w:t>
      </w:r>
      <w:bookmarkEnd w:id="21"/>
    </w:p>
    <w:p>
      <w:pPr>
        <w:spacing w:after="210" w:lineRule="auto"/>
      </w:pPr>
      <w:r>
        <w:rPr/>
        <w:t xml:space="preserve">The collaborative driving model aligns with the comparative fault outcomes already emerging in courtrooms. In </w:t>
      </w:r>
      <w:r>
        <w:rPr>
          <w:i/>
        </w:rPr>
        <w:t xml:space="preserve">Benavides Leon v. Tesla</w:t>
      </w:r>
      <w:r>
        <w:rPr/>
        <w:t xml:space="preserve">, the jury effectively applied this logic: Tesla was responsible for the system's performance and its misleading marketing (33%), while the driver bore responsibility for his distraction (67%). The model also resonates with UN R171's regulatory philosophy, which places obligations on both the manufacturer (system design, monitoring, HMI) and the driver (engagement, readiness to intervene).[31][3][19][20]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vi_proposed_regulatory_guidelines"/>
      <w:r>
        <w:rPr>
          <w:b/>
          <w:sz w:val="42"/>
        </w:rPr>
        <w:t xml:space="preserve">VI. Proposed Regulatory Guidelines</w:t>
      </w:r>
      <w:bookmarkEnd w:id="22"/>
    </w:p>
    <w:p>
      <w:pPr>
        <w:spacing w:after="210" w:lineRule="auto"/>
      </w:pPr>
      <w:r>
        <w:rPr/>
        <w:t xml:space="preserve">Based on the technical, legal, and human factors analysis above, the following ten regulatory recommendations are proposed to establish a coherent liability allocation framework for ADAS-equipped vehicles:</w:t>
      </w:r>
    </w:p>
    <w:p>
      <w:pPr>
        <w:spacing w:line="271" w:before="240" w:lineRule="auto"/>
      </w:pPr>
      <w:bookmarkStart w:id="23" w:name="a_classification_and_transparency"/>
      <w:r>
        <w:rPr>
          <w:b/>
          <w:sz w:val="33"/>
        </w:rPr>
        <w:t xml:space="preserve">A. Classification and Transparency</w:t>
      </w:r>
      <w:bookmarkEnd w:id="23"/>
    </w:p>
    <w:p>
      <w:pPr>
        <w:numPr>
          <w:ilvl w:val="0"/>
          <w:numId w:val="9"/>
        </w:numPr>
        <w:spacing w:after="210" w:lineRule="auto"/>
      </w:pPr>
      <w:r>
        <w:rPr>
          <w:b/>
        </w:rPr>
        <w:t xml:space="preserve">Mandatory SAE-level labeling:</w:t>
      </w:r>
      <w:r>
        <w:rPr>
          <w:rFonts w:eastAsia="Georgia" w:cs="Georgia" w:ascii="Georgia" w:hAnsi="Georgia"/>
        </w:rPr>
        <w:t xml:space="preserve"> Require all vehicles with ADAS to display their SAE automation level prominently in marketing materials, on the dashboard, and in the owner's manual, using standardized terminology prescribed by regulation—prohibiting misleading branding such as "Full Self-Driving" for Level 2 systems.[6][7]</w:t>
      </w:r>
    </w:p>
    <w:p>
      <w:pPr>
        <w:numPr>
          <w:ilvl w:val="0"/>
          <w:numId w:val="9"/>
        </w:numPr>
        <w:spacing w:after="210" w:lineRule="auto"/>
      </w:pPr>
      <w:r>
        <w:rPr>
          <w:b/>
        </w:rPr>
        <w:t xml:space="preserve">Operational Design Domain (ODD) disclosure:</w:t>
      </w:r>
      <w:r>
        <w:rPr>
          <w:rFonts w:eastAsia="Georgia" w:cs="Georgia" w:ascii="Georgia" w:hAnsi="Georgia"/>
        </w:rPr>
        <w:t xml:space="preserve"> Manufacturers must publish clear, consumer-accessible descriptions of each system's ODD—including specific environmental, road, and traffic conditions under which the system is designed to operate—and in-vehicle alerts when ODD boundaries are approached.[4][3]</w:t>
      </w:r>
    </w:p>
    <w:p>
      <w:pPr>
        <w:spacing w:line="271" w:before="240" w:lineRule="auto"/>
      </w:pPr>
      <w:bookmarkStart w:id="24" w:name="b_technical_safety_requirements"/>
      <w:r>
        <w:rPr>
          <w:b/>
          <w:sz w:val="33"/>
        </w:rPr>
        <w:t xml:space="preserve">B. Technical Safety Requirements</w:t>
      </w:r>
      <w:bookmarkEnd w:id="24"/>
    </w:p>
    <w:p>
      <w:pPr>
        <w:numPr>
          <w:ilvl w:val="0"/>
          <w:numId w:val="10"/>
        </w:numPr>
        <w:spacing w:after="210" w:lineRule="auto"/>
      </w:pPr>
      <w:r>
        <w:rPr>
          <w:b/>
        </w:rPr>
        <w:t xml:space="preserve">Mandatory driver monitoring systems (DMS):</w:t>
      </w:r>
      <w:r>
        <w:rPr/>
        <w:t xml:space="preserve"> All Level 2+ vehicles must include validated DMS (e.g., eye-tracking, steering torque sensing) that detect driver inattention and escalate warnings to eventual system disengagement if the driver fails to respond, consistent with UN R171 requirements.[4][32]</w:t>
      </w:r>
    </w:p>
    <w:p>
      <w:pPr>
        <w:numPr>
          <w:ilvl w:val="0"/>
          <w:numId w:val="10"/>
        </w:numPr>
        <w:spacing w:after="210" w:lineRule="auto"/>
      </w:pPr>
      <w:r>
        <w:rPr>
          <w:b/>
        </w:rPr>
        <w:t xml:space="preserve">Black box data recording:</w:t>
      </w:r>
      <w:r>
        <w:rPr/>
        <w:t xml:space="preserve"> Standardize event data recorder (EDR) requirements to capture system state, sensor inputs, driver attention metrics, warning issuance, and control transitions for a minimum of 30 seconds before and after any collision, enabling accurate post-accident liability determination.[8][33]</w:t>
      </w:r>
    </w:p>
    <w:p>
      <w:pPr>
        <w:numPr>
          <w:ilvl w:val="0"/>
          <w:numId w:val="10"/>
        </w:numPr>
        <w:spacing w:after="210" w:lineRule="auto"/>
      </w:pPr>
      <w:r>
        <w:rPr>
          <w:b/>
        </w:rPr>
        <w:t xml:space="preserve">Software lifecycle obligations:</w:t>
      </w:r>
      <w:r>
        <w:rPr/>
        <w:t xml:space="preserve"> Impose continuing duties on manufacturers to monitor deployed systems for safety-critical defects, issue timely OTA patches, and report identified vulnerabilities to regulators, with post-sale software failures constituting potential defect triggers under product liability law.[22][7]</w:t>
      </w:r>
    </w:p>
    <w:p>
      <w:pPr>
        <w:spacing w:line="271" w:before="240" w:lineRule="auto"/>
      </w:pPr>
      <w:bookmarkStart w:id="25" w:name="c_liability_allocation_rules"/>
      <w:r>
        <w:rPr>
          <w:b/>
          <w:sz w:val="33"/>
        </w:rPr>
        <w:t xml:space="preserve">C. Liability Allocation Rules</w:t>
      </w:r>
      <w:bookmarkEnd w:id="25"/>
    </w:p>
    <w:p>
      <w:pPr>
        <w:numPr>
          <w:ilvl w:val="0"/>
          <w:numId w:val="11"/>
        </w:numPr>
        <w:spacing w:after="210" w:lineRule="auto"/>
      </w:pPr>
      <w:r>
        <w:rPr>
          <w:b/>
        </w:rPr>
        <w:t xml:space="preserve">Tiered comparative fault presumptions:</w:t>
      </w:r>
      <w:r>
        <w:rPr/>
        <w:t xml:space="preserve"> Establish rebuttable presumptions for liability allocation based on SAE level:</w:t>
      </w:r>
    </w:p>
    <w:p>
      <w:pPr>
        <w:numPr>
          <w:ilvl w:val="1"/>
          <w:numId w:val="11"/>
        </w:numPr>
        <w:spacing w:lineRule="auto"/>
      </w:pPr>
      <w:r>
        <w:rPr>
          <w:b/>
        </w:rPr>
        <w:t xml:space="preserve">Level 2:</w:t>
      </w:r>
      <w:r>
        <w:rPr/>
        <w:t xml:space="preserve"> Presumption that the driver bears primary responsibility, rebuttable by evidence of system malfunction, inadequate warnings, or misleading marketing.[14][7]</w:t>
      </w:r>
    </w:p>
    <w:p>
      <w:pPr>
        <w:numPr>
          <w:ilvl w:val="1"/>
          <w:numId w:val="11"/>
        </w:numPr>
        <w:spacing w:lineRule="auto"/>
      </w:pPr>
      <w:r>
        <w:rPr>
          <w:b/>
        </w:rPr>
        <w:t xml:space="preserve">Level 3:</w:t>
      </w:r>
      <w:r>
        <w:rPr/>
        <w:t xml:space="preserve"> Presumption of shared responsibility during automated mode, with the manufacturer bearing primary liability for failures within the ODD and the driver for failures to respond to valid takeover requests.[5][28]</w:t>
      </w:r>
    </w:p>
    <w:p>
      <w:pPr>
        <w:numPr>
          <w:ilvl w:val="1"/>
          <w:numId w:val="11"/>
        </w:numPr>
        <w:spacing w:lineRule="auto"/>
      </w:pPr>
      <w:r>
        <w:rPr>
          <w:b/>
        </w:rPr>
        <w:t xml:space="preserve">Level 4–5:</w:t>
      </w:r>
      <w:r>
        <w:rPr/>
        <w:t xml:space="preserve"> Presumption that the manufacturer/operator bears primary liability, with limited exceptions for passenger interference.[29][2]</w:t>
      </w:r>
    </w:p>
    <w:p>
      <w:pPr>
        <w:numPr>
          <w:ilvl w:val="0"/>
          <w:numId w:val="11"/>
        </w:numPr>
        <w:spacing w:after="210" w:lineRule="auto"/>
      </w:pPr>
      <w:r>
        <w:rPr>
          <w:b/>
        </w:rPr>
        <w:t xml:space="preserve">Marketing accountability:</w:t>
      </w:r>
      <w:r>
        <w:rPr/>
        <w:t xml:space="preserve"> Establish regulatory standards for ADAS advertising that prohibit implied capabilities beyond the system's certified automation level, with violations constituting per se evidence of failure to warn in product liability actions.[6][19]</w:t>
      </w:r>
    </w:p>
    <w:p>
      <w:pPr>
        <w:spacing w:line="271" w:before="240" w:lineRule="auto"/>
      </w:pPr>
      <w:bookmarkStart w:id="26" w:name="d_insurance_and_compensation"/>
      <w:r>
        <w:rPr>
          <w:b/>
          <w:sz w:val="33"/>
        </w:rPr>
        <w:t xml:space="preserve">D. Insurance and Compensation</w:t>
      </w:r>
      <w:bookmarkEnd w:id="26"/>
    </w:p>
    <w:p>
      <w:pPr>
        <w:numPr>
          <w:ilvl w:val="0"/>
          <w:numId w:val="12"/>
        </w:numPr>
        <w:spacing w:after="210" w:lineRule="auto"/>
      </w:pPr>
      <w:r>
        <w:rPr>
          <w:b/>
        </w:rPr>
        <w:t xml:space="preserve">Mandatory ADAS-specific insurance:</w:t>
      </w:r>
      <w:r>
        <w:rPr>
          <w:rFonts w:eastAsia="Georgia" w:cs="Georgia" w:ascii="Georgia" w:hAnsi="Georgia"/>
        </w:rPr>
        <w:t xml:space="preserve"> Require supplemental insurance coverage for ADAS-equipped vehicles, with insurers given subrogation rights against manufacturers where system defects are established—modeled on the UK's AEVA/AVA 2024 direct-insurer-liability approach.[14][26]</w:t>
      </w:r>
    </w:p>
    <w:p>
      <w:pPr>
        <w:numPr>
          <w:ilvl w:val="0"/>
          <w:numId w:val="12"/>
        </w:numPr>
        <w:spacing w:after="210" w:lineRule="auto"/>
      </w:pPr>
      <w:r>
        <w:rPr>
          <w:b/>
        </w:rPr>
        <w:t xml:space="preserve">Manufacturer contribution funds:</w:t>
      </w:r>
      <w:r>
        <w:rPr/>
        <w:t xml:space="preserve"> For Level 3+ systems, require manufacturers to contribute to an industry compensation fund that provides rapid no-fault compensation to victims, with fund administrators retaining rights to pursue at-fault parties through subrogation.[26]</w:t>
      </w:r>
    </w:p>
    <w:p>
      <w:pPr>
        <w:spacing w:line="271" w:before="240" w:lineRule="auto"/>
      </w:pPr>
      <w:bookmarkStart w:id="27" w:name="e_institutional_framework"/>
      <w:r>
        <w:rPr>
          <w:b/>
          <w:sz w:val="33"/>
        </w:rPr>
        <w:t xml:space="preserve">E. Institutional Framework</w:t>
      </w:r>
      <w:bookmarkEnd w:id="27"/>
    </w:p>
    <w:p>
      <w:pPr>
        <w:numPr>
          <w:ilvl w:val="0"/>
          <w:numId w:val="13"/>
        </w:numPr>
        <w:spacing w:lineRule="auto"/>
      </w:pPr>
      <w:r>
        <w:rPr>
          <w:b/>
        </w:rPr>
        <w:t xml:space="preserve">Dedicated ADAS incident investigation body:</w:t>
      </w:r>
      <w:r>
        <w:rPr/>
        <w:t xml:space="preserve"> Establish national or international specialized investigation agencies (analogous to aviation safety boards) with authority to conduct independent technical investigations of ADAS-involved accidents, issue binding safety recommendations, and publish anonymized incident data to inform both regulatory policy and judicial proceedings.[35][32][33]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vii_conclusion"/>
      <w:r>
        <w:rPr>
          <w:b/>
          <w:sz w:val="42"/>
        </w:rPr>
        <w:t xml:space="preserve">VII. Conclusion</w:t>
      </w:r>
      <w:bookmarkEnd w:id="28"/>
    </w:p>
    <w:p>
      <w:pPr>
        <w:spacing w:after="210" w:lineRule="auto"/>
      </w:pPr>
      <w:r>
        <w:rPr>
          <w:rFonts w:eastAsia="Georgia" w:cs="Georgia" w:ascii="Georgia" w:hAnsi="Georgia"/>
        </w:rPr>
        <w:t xml:space="preserve">The core challenge of ADAS liability allocation stems from a mismatch: vehicles increasingly share the driving task with humans, but legal systems were built around a single-driver responsibility model. The evidence—from human factors research on automation complacency, from landmark verdicts like </w:t>
      </w:r>
      <w:r>
        <w:rPr>
          <w:i/>
        </w:rPr>
        <w:t xml:space="preserve">Benavides Leon v. Tesla</w:t>
      </w:r>
      <w:r>
        <w:rPr>
          <w:rFonts w:eastAsia="Georgia" w:cs="Georgia" w:ascii="Georgia" w:hAnsi="Georgia"/>
        </w:rPr>
        <w:t xml:space="preserve">, and from emerging international regulation—converges on a clear conclusion: liability must track actual control distribution. The collaborative driving framework, supported by tiered comparative fault presumptions calibrated to SAE levels, mandatory technical safeguards like driver monitoring systems, and institutional infrastructure for independent investigation, provides the most principled and practical path forward. As ADAS technology continues to evolve toward higher automation levels, the regulatory framework must evolve with it—ensuring that the promise of safer roads is not undermined by ambiguity about who is responsible when that promise falls short.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references"/>
      <w:r>
        <w:rPr>
          <w:b/>
          <w:sz w:val="42"/>
        </w:rPr>
        <w:t xml:space="preserve">References</w:t>
      </w:r>
      <w:bookmarkEnd w:id="29"/>
    </w:p>
    <w:p>
      <w:pPr>
        <w:numPr>
          <w:ilvl w:val="0"/>
          <w:numId w:val="14"/>
        </w:numPr>
        <w:spacing w:after="210" w:lineRule="auto"/>
      </w:pPr>
      <w:hyperlink r:id="rId5">
        <w:r>
          <w:rPr>
            <w:color w:val="4472C4"/>
          </w:rPr>
          <w:t xml:space="preserve">Part II | When the Line Between Driver and Machine Blurs</w:t>
        </w:r>
      </w:hyperlink>
      <w:r>
        <w:rPr/>
        <w:t xml:space="preserve"> - By Alex Stalvey In an earlier post, we explored how driver-assistance technology is blurring the lin...</w:t>
      </w:r>
    </w:p>
    <w:p>
      <w:pPr>
        <w:numPr>
          <w:ilvl w:val="0"/>
          <w:numId w:val="14"/>
        </w:numPr>
        <w:spacing w:after="210" w:lineRule="auto"/>
      </w:pPr>
      <w:hyperlink r:id="rId6">
        <w:r>
          <w:rPr>
            <w:color w:val="4472C4"/>
          </w:rPr>
          <w:t xml:space="preserve">Navigating Liability Issues When an Autonomous Vehicle is Involved ...</w:t>
        </w:r>
      </w:hyperlink>
      <w:r>
        <w:rPr/>
        <w:t xml:space="preserve"> - Analyzes the complexities inherent in determining liability in motor vehicle accidents involving aut...</w:t>
      </w:r>
    </w:p>
    <w:p>
      <w:pPr>
        <w:numPr>
          <w:ilvl w:val="0"/>
          <w:numId w:val="14"/>
        </w:numPr>
        <w:spacing w:after="210" w:lineRule="auto"/>
      </w:pPr>
      <w:hyperlink r:id="rId7">
        <w:r>
          <w:rPr>
            <w:color w:val="4472C4"/>
          </w:rPr>
          <w:t xml:space="preserve">[PDF] Assessment of Advanced Driver Assistance and Dynamic Control ...</w:t>
        </w:r>
      </w:hyperlink>
      <w:r>
        <w:rPr/>
        <w:t xml:space="preserve"> - The General Safety Regulation (EU) 2019/2144 was adopted, which mandates that all new vehicles must ...</w:t>
      </w:r>
    </w:p>
    <w:p>
      <w:pPr>
        <w:numPr>
          <w:ilvl w:val="0"/>
          <w:numId w:val="14"/>
        </w:numPr>
        <w:spacing w:after="210" w:lineRule="auto"/>
      </w:pPr>
      <w:hyperlink r:id="rId8">
        <w:r>
          <w:rPr>
            <w:color w:val="4472C4"/>
          </w:rPr>
          <w:t xml:space="preserve">Understanding DCAS and UN R171 standards | Applied Intuition</w:t>
        </w:r>
      </w:hyperlink>
      <w:r>
        <w:rPr/>
        <w:t xml:space="preserve"> - Discover the role of virtual testing in meeting UN R171 standards and how Applied Intuition's tools ...</w:t>
      </w:r>
    </w:p>
    <w:p>
      <w:pPr>
        <w:numPr>
          <w:ilvl w:val="0"/>
          <w:numId w:val="14"/>
        </w:numPr>
        <w:spacing w:after="210" w:lineRule="auto"/>
      </w:pPr>
      <w:hyperlink r:id="rId9">
        <w:r>
          <w:rPr>
            <w:color w:val="4472C4"/>
          </w:rPr>
          <w:t xml:space="preserve">Germany completes legal framework for autonomous driving</w:t>
        </w:r>
      </w:hyperlink>
      <w:r>
        <w:rPr/>
        <w:t xml:space="preserve"> - This meant that automated systems (level 3) were allowed to assume the driving task if certain condi...</w:t>
      </w:r>
    </w:p>
    <w:p>
      <w:pPr>
        <w:numPr>
          <w:ilvl w:val="0"/>
          <w:numId w:val="14"/>
        </w:numPr>
        <w:spacing w:after="210" w:lineRule="auto"/>
      </w:pPr>
      <w:hyperlink r:id="rId10">
        <w:r>
          <w:rPr>
            <w:color w:val="4472C4"/>
          </w:rPr>
          <w:t xml:space="preserve">Understanding Driverless Car Liability - Clifford Law Offices</w:t>
        </w:r>
      </w:hyperlink>
      <w:r>
        <w:rPr>
          <w:rFonts w:eastAsia="Georgia" w:cs="Georgia" w:ascii="Georgia" w:hAnsi="Georgia"/>
        </w:rPr>
        <w:t xml:space="preserve"> - Level 5: Full automation. No steering wheel or pedals; a human driver is not required at any time. “...</w:t>
      </w:r>
    </w:p>
    <w:p>
      <w:pPr>
        <w:numPr>
          <w:ilvl w:val="0"/>
          <w:numId w:val="14"/>
        </w:numPr>
        <w:spacing w:after="210" w:lineRule="auto"/>
      </w:pPr>
      <w:hyperlink r:id="rId11">
        <w:r>
          <w:rPr>
            <w:color w:val="4472C4"/>
          </w:rPr>
          <w:t xml:space="preserve">Litigating Partial Autonomy - Iowa Law Review</w:t>
        </w:r>
      </w:hyperlink>
      <w:r>
        <w:rPr/>
        <w:t xml:space="preserve"> - 109 Iowa L. Rev. 1655 (2024) DOWNLOAD PDFAbstractWho is responsible when a semi-autonomous vehicle c...</w:t>
      </w:r>
    </w:p>
    <w:p>
      <w:pPr>
        <w:numPr>
          <w:ilvl w:val="0"/>
          <w:numId w:val="14"/>
        </w:numPr>
        <w:spacing w:after="210" w:lineRule="auto"/>
      </w:pPr>
      <w:hyperlink r:id="rId12">
        <w:r>
          <w:rPr>
            <w:color w:val="4472C4"/>
          </w:rPr>
          <w:t xml:space="preserve">How Advanced Driver Assistance Systems (ADAS) Are Changing ...</w:t>
        </w:r>
      </w:hyperlink>
      <w:r>
        <w:rPr/>
        <w:t xml:space="preserve"> - Advanced Driver Assistance Systems (ADAS) are significantly reshaping the landscape of car accident ...</w:t>
      </w:r>
    </w:p>
    <w:p>
      <w:pPr>
        <w:numPr>
          <w:ilvl w:val="0"/>
          <w:numId w:val="14"/>
        </w:numPr>
        <w:spacing w:after="210" w:lineRule="auto"/>
      </w:pPr>
      <w:hyperlink r:id="rId13">
        <w:r>
          <w:rPr>
            <w:color w:val="4472C4"/>
          </w:rPr>
          <w:t xml:space="preserve">[PDF] Handover Process of Autonomous Vehicles</w:t>
        </w:r>
      </w:hyperlink>
      <w:r>
        <w:rPr/>
        <w:t xml:space="preserve"> - Autonomous vehicles with limited automation capabilities require constant human supervision, and hum...</w:t>
      </w:r>
    </w:p>
    <w:p>
      <w:pPr>
        <w:numPr>
          <w:ilvl w:val="0"/>
          <w:numId w:val="14"/>
        </w:numPr>
        <w:spacing w:after="210" w:lineRule="auto"/>
      </w:pPr>
      <w:hyperlink r:id="rId14">
        <w:r>
          <w:rPr>
            <w:color w:val="4472C4"/>
          </w:rPr>
          <w:t xml:space="preserve">Rebuilding-drivers'-situation-awareness-during-take-over- ...</w:t>
        </w:r>
      </w:hyperlink>
    </w:p>
    <w:p>
      <w:pPr>
        <w:numPr>
          <w:ilvl w:val="0"/>
          <w:numId w:val="14"/>
        </w:numPr>
        <w:spacing w:after="210" w:lineRule="auto"/>
      </w:pPr>
      <w:hyperlink r:id="rId15">
        <w:r>
          <w:rPr>
            <w:color w:val="4472C4"/>
          </w:rPr>
          <w:t xml:space="preserve">Reflections on Automation Complacency</w:t>
        </w:r>
      </w:hyperlink>
    </w:p>
    <w:p>
      <w:pPr>
        <w:numPr>
          <w:ilvl w:val="0"/>
          <w:numId w:val="14"/>
        </w:numPr>
        <w:spacing w:after="210" w:lineRule="auto"/>
      </w:pPr>
      <w:hyperlink r:id="rId16">
        <w:r>
          <w:rPr>
            <w:color w:val="4472C4"/>
          </w:rPr>
          <w:t xml:space="preserve">Automation complacency on the road</w:t>
        </w:r>
      </w:hyperlink>
      <w:r>
        <w:rPr/>
        <w:t xml:space="preserve"> - 1. Driving automation (or vehicle automation) is becoming prevalent on the road, with the promise of...</w:t>
      </w:r>
    </w:p>
    <w:p>
      <w:pPr>
        <w:numPr>
          <w:ilvl w:val="0"/>
          <w:numId w:val="14"/>
        </w:numPr>
        <w:spacing w:after="210" w:lineRule="auto"/>
      </w:pPr>
      <w:hyperlink r:id="rId17">
        <w:r>
          <w:rPr>
            <w:color w:val="4472C4"/>
          </w:rPr>
          <w:t xml:space="preserve">Transport safety and human factors in the era of automation</w:t>
        </w:r>
      </w:hyperlink>
      <w:r>
        <w:rPr/>
        <w:t xml:space="preserve"> - The aim of this paper is to review the impact of key human factors on the safety of automated transp...</w:t>
      </w:r>
    </w:p>
    <w:p>
      <w:pPr>
        <w:numPr>
          <w:ilvl w:val="0"/>
          <w:numId w:val="14"/>
        </w:numPr>
        <w:spacing w:after="210" w:lineRule="auto"/>
      </w:pPr>
      <w:hyperlink r:id="rId18">
        <w:r>
          <w:rPr>
            <w:rFonts w:eastAsia="Georgia" w:cs="Georgia" w:ascii="Georgia" w:hAnsi="Georgia"/>
            <w:color w:val="4472C4"/>
          </w:rPr>
          <w:t xml:space="preserve">The SAE Levels of Driving Automation Fully Explained (Levels 0–5)</w:t>
        </w:r>
      </w:hyperlink>
      <w:r>
        <w:rPr>
          <w:rFonts w:eastAsia="Georgia" w:cs="Georgia" w:ascii="Georgia" w:hAnsi="Georgia"/>
        </w:rPr>
        <w:t xml:space="preserve"> - At Level 3 and above, liability becomes less clear — is it the driver, the manufacturer, or the soft...</w:t>
      </w:r>
    </w:p>
    <w:p>
      <w:pPr>
        <w:numPr>
          <w:ilvl w:val="0"/>
          <w:numId w:val="14"/>
        </w:numPr>
        <w:spacing w:after="210" w:lineRule="auto"/>
      </w:pPr>
      <w:hyperlink r:id="rId19">
        <w:r>
          <w:rPr>
            <w:color w:val="4472C4"/>
          </w:rPr>
          <w:t xml:space="preserve">Liability for Defective Advanced Driver Assistance Systems</w:t>
        </w:r>
      </w:hyperlink>
      <w:r>
        <w:rPr/>
        <w:t xml:space="preserve"> - The improper calibration of ADAS systems after an installation or repair can lead to liability if pr...</w:t>
      </w:r>
    </w:p>
    <w:p>
      <w:pPr>
        <w:numPr>
          <w:ilvl w:val="0"/>
          <w:numId w:val="14"/>
        </w:numPr>
        <w:spacing w:after="210" w:lineRule="auto"/>
      </w:pPr>
      <w:hyperlink r:id="rId20">
        <w:r>
          <w:rPr>
            <w:color w:val="4472C4"/>
          </w:rPr>
          <w:t xml:space="preserve">Navigating Liability in the Age of Autonomous Vehicles</w:t>
        </w:r>
      </w:hyperlink>
      <w:r>
        <w:rPr/>
        <w:t xml:space="preserve"> - Products Liability: AV manufacturers and software developers may be liable under product liability c...</w:t>
      </w:r>
    </w:p>
    <w:p>
      <w:pPr>
        <w:numPr>
          <w:ilvl w:val="0"/>
          <w:numId w:val="14"/>
        </w:numPr>
        <w:spacing w:after="210" w:lineRule="auto"/>
      </w:pPr>
      <w:hyperlink r:id="rId21">
        <w:r>
          <w:rPr>
            <w:color w:val="4472C4"/>
          </w:rPr>
          <w:t xml:space="preserve">A lawsuit against Tesla and its driver-assistance technology goes to ...</w:t>
        </w:r>
      </w:hyperlink>
      <w:r>
        <w:rPr/>
        <w:t xml:space="preserve"> - In cases involving automated driving systems like Tesla's Autopilot, one key legal question is the a...</w:t>
      </w:r>
    </w:p>
    <w:p>
      <w:pPr>
        <w:numPr>
          <w:ilvl w:val="0"/>
          <w:numId w:val="14"/>
        </w:numPr>
        <w:spacing w:after="210" w:lineRule="auto"/>
      </w:pPr>
      <w:hyperlink r:id="rId22">
        <w:r>
          <w:rPr>
            <w:color w:val="4472C4"/>
          </w:rPr>
          <w:t xml:space="preserve">Product Liability Claims Involving Advanced Vehicle Technology</w:t>
        </w:r>
      </w:hyperlink>
      <w:r>
        <w:rPr/>
        <w:t xml:space="preserve"> - ... defect in its design or software, liability may lie with the manufacturer or a software develope...</w:t>
      </w:r>
    </w:p>
    <w:p>
      <w:pPr>
        <w:numPr>
          <w:ilvl w:val="0"/>
          <w:numId w:val="14"/>
        </w:numPr>
        <w:spacing w:after="210" w:lineRule="auto"/>
      </w:pPr>
      <w:hyperlink r:id="rId23">
        <w:r>
          <w:rPr>
            <w:color w:val="4472C4"/>
          </w:rPr>
          <w:t xml:space="preserve">Jury orders Tesla to pay more than $200m to plaintiffs in deadly 2019 Autopilot crash</w:t>
        </w:r>
      </w:hyperlink>
      <w:r>
        <w:rPr/>
        <w:t xml:space="preserve"> - Case opens door to other costly lawsuits after jury held that the car company bore significant respo...</w:t>
      </w:r>
    </w:p>
    <w:p>
      <w:pPr>
        <w:numPr>
          <w:ilvl w:val="0"/>
          <w:numId w:val="14"/>
        </w:numPr>
        <w:spacing w:after="210" w:lineRule="auto"/>
      </w:pPr>
      <w:hyperlink r:id="rId24">
        <w:r>
          <w:rPr>
            <w:color w:val="4472C4"/>
          </w:rPr>
          <w:t xml:space="preserve">US judge upholds $243 million verdict against Tesla over fatal Autopilot crash</w:t>
        </w:r>
      </w:hyperlink>
      <w:r>
        <w:rPr/>
        <w:t xml:space="preserve"> - A federal judge rejected Tesla's request to overturn a $243 million jury verdict over the 2019 crash...</w:t>
      </w:r>
    </w:p>
    <w:p>
      <w:pPr>
        <w:numPr>
          <w:ilvl w:val="0"/>
          <w:numId w:val="14"/>
        </w:numPr>
        <w:spacing w:after="210" w:lineRule="auto"/>
      </w:pPr>
      <w:hyperlink r:id="rId25">
        <w:r>
          <w:rPr>
            <w:color w:val="4472C4"/>
          </w:rPr>
          <w:t xml:space="preserve">Tesla asks court to throw out fatal Autopilot crash verdict</w:t>
        </w:r>
      </w:hyperlink>
      <w:r>
        <w:rPr/>
        <w:t xml:space="preserve"> - Carmaker asks judge to overturn $243m verdict in fatal Autopilot crash case.</w:t>
      </w:r>
    </w:p>
    <w:p>
      <w:pPr>
        <w:numPr>
          <w:ilvl w:val="0"/>
          <w:numId w:val="14"/>
        </w:numPr>
        <w:spacing w:after="210" w:lineRule="auto"/>
      </w:pPr>
      <w:hyperlink r:id="rId26">
        <w:r>
          <w:rPr>
            <w:color w:val="4472C4"/>
          </w:rPr>
          <w:t xml:space="preserve">The new EU Product Liability Directive: key implications for ...</w:t>
        </w:r>
      </w:hyperlink>
    </w:p>
    <w:p>
      <w:pPr>
        <w:numPr>
          <w:ilvl w:val="0"/>
          <w:numId w:val="14"/>
        </w:numPr>
        <w:spacing w:after="210" w:lineRule="auto"/>
      </w:pPr>
      <w:hyperlink r:id="rId27">
        <w:r>
          <w:rPr>
            <w:color w:val="4472C4"/>
          </w:rPr>
          <w:t xml:space="preserve">Understanding the New Product Liability Directive: Effective 8 ...</w:t>
        </w:r>
      </w:hyperlink>
      <w:r>
        <w:rPr/>
        <w:t xml:space="preserve"> - On 8 December 2024, the new Product Liability Directive officially comes into force, marking a signi...</w:t>
      </w:r>
    </w:p>
    <w:p>
      <w:pPr>
        <w:numPr>
          <w:ilvl w:val="0"/>
          <w:numId w:val="14"/>
        </w:numPr>
        <w:spacing w:after="210" w:lineRule="auto"/>
      </w:pPr>
      <w:hyperlink r:id="rId28">
        <w:r>
          <w:rPr>
            <w:color w:val="4472C4"/>
          </w:rPr>
          <w:t xml:space="preserve">EU Product Liability and AI: Key Reforms Explained</w:t>
        </w:r>
      </w:hyperlink>
      <w:r>
        <w:rPr/>
        <w:t xml:space="preserve"> - Our Products team explores how recent EU reforms to product safety and liability laws redefine 'prod...</w:t>
      </w:r>
    </w:p>
    <w:p>
      <w:pPr>
        <w:numPr>
          <w:ilvl w:val="0"/>
          <w:numId w:val="14"/>
        </w:numPr>
        <w:spacing w:after="210" w:lineRule="auto"/>
      </w:pPr>
      <w:hyperlink r:id="rId29">
        <w:r>
          <w:rPr>
            <w:color w:val="4472C4"/>
          </w:rPr>
          <w:t xml:space="preserve">AI Liability: Europe at a Crossroads - DDG | Avocats</w:t>
        </w:r>
      </w:hyperlink>
      <w:r>
        <w:rPr/>
        <w:t xml:space="preserve"> - The Bertolini report calls for strict EU liability rules for high-risk AI. Is Europe ready for a new...</w:t>
      </w:r>
    </w:p>
    <w:p>
      <w:pPr>
        <w:numPr>
          <w:ilvl w:val="0"/>
          <w:numId w:val="14"/>
        </w:numPr>
        <w:spacing w:after="210" w:lineRule="auto"/>
      </w:pPr>
      <w:hyperlink r:id="rId30">
        <w:r>
          <w:rPr>
            <w:color w:val="4472C4"/>
          </w:rPr>
          <w:t xml:space="preserve">The UK's Automated Vehicles Act 2024: A Comprehensive ...</w:t>
        </w:r>
      </w:hyperlink>
      <w:r>
        <w:rPr>
          <w:rFonts w:eastAsia="Georgia" w:cs="Georgia" w:ascii="Georgia" w:hAnsi="Georgia"/>
        </w:rPr>
        <w:t xml:space="preserve"> - We are a leading set of barristers` chambers based in London, Manchester, Singapore and Kuala Lumpur...</w:t>
      </w:r>
    </w:p>
    <w:p>
      <w:pPr>
        <w:numPr>
          <w:ilvl w:val="0"/>
          <w:numId w:val="14"/>
        </w:numPr>
        <w:spacing w:after="210" w:lineRule="auto"/>
      </w:pPr>
      <w:hyperlink r:id="rId31">
        <w:r>
          <w:rPr>
            <w:color w:val="4472C4"/>
          </w:rPr>
          <w:t xml:space="preserve">[PDF] AI Agents, Liability and learnings from the UK Automated Vehicles Act</w:t>
        </w:r>
      </w:hyperlink>
    </w:p>
    <w:p>
      <w:pPr>
        <w:numPr>
          <w:ilvl w:val="0"/>
          <w:numId w:val="14"/>
        </w:numPr>
        <w:spacing w:after="210" w:lineRule="auto"/>
      </w:pPr>
      <w:hyperlink r:id="rId32">
        <w:r>
          <w:rPr>
            <w:rFonts w:eastAsia="Georgia" w:cs="Georgia" w:ascii="Georgia" w:hAnsi="Georgia"/>
            <w:color w:val="4472C4"/>
          </w:rPr>
          <w:t xml:space="preserve">Bundesanstalt für Straßenwesen</w:t>
        </w:r>
      </w:hyperlink>
    </w:p>
    <w:p>
      <w:pPr>
        <w:numPr>
          <w:ilvl w:val="0"/>
          <w:numId w:val="14"/>
        </w:numPr>
        <w:spacing w:after="210" w:lineRule="auto"/>
      </w:pPr>
      <w:hyperlink r:id="rId33">
        <w:r>
          <w:rPr>
            <w:color w:val="4472C4"/>
          </w:rPr>
          <w:t xml:space="preserve">Germany: Road Traffic Act Amendment Allows Driverless Vehicles ...</w:t>
        </w:r>
      </w:hyperlink>
      <w:r>
        <w:rPr/>
        <w:t xml:space="preserve"> - On July 28, 2021, the Act Amending the Road Traffic Act and the Compulsory Insurance Act (Autonomous...</w:t>
      </w:r>
    </w:p>
    <w:p>
      <w:pPr>
        <w:numPr>
          <w:ilvl w:val="0"/>
          <w:numId w:val="14"/>
        </w:numPr>
        <w:spacing w:after="210" w:lineRule="auto"/>
      </w:pPr>
      <w:hyperlink r:id="rId34">
        <w:r>
          <w:rPr>
            <w:rFonts w:eastAsia="Georgia" w:cs="Georgia" w:ascii="Georgia" w:hAnsi="Georgia"/>
            <w:color w:val="4472C4"/>
          </w:rPr>
          <w:t xml:space="preserve">[PDF] CAV - Germany Autonomous Driving Bill_Final(393777637.2)</w:t>
        </w:r>
      </w:hyperlink>
      <w:r>
        <w:rPr/>
        <w:t xml:space="preserve"> - It states automated vehicles to be those using automation systems capable of: (i) the control of dri...</w:t>
      </w:r>
    </w:p>
    <w:p>
      <w:pPr>
        <w:numPr>
          <w:ilvl w:val="0"/>
          <w:numId w:val="14"/>
        </w:numPr>
        <w:spacing w:after="210" w:lineRule="auto"/>
      </w:pPr>
      <w:hyperlink r:id="rId35">
        <w:r>
          <w:rPr>
            <w:color w:val="4472C4"/>
          </w:rPr>
          <w:t xml:space="preserve">[PDF] R171e.pdf - UNECE</w:t>
        </w:r>
      </w:hyperlink>
      <w:r>
        <w:rPr/>
        <w:t xml:space="preserve"> - This UN Regulation addresses the Driver Control Assistance Systems (DCAS), which are a subset of ADA...</w:t>
      </w:r>
    </w:p>
    <w:p>
      <w:pPr>
        <w:numPr>
          <w:ilvl w:val="0"/>
          <w:numId w:val="14"/>
        </w:numPr>
        <w:spacing w:after="210" w:lineRule="auto"/>
      </w:pPr>
      <w:hyperlink r:id="rId36">
        <w:r>
          <w:rPr>
            <w:color w:val="4472C4"/>
          </w:rPr>
          <w:t xml:space="preserve">ADAS L2 System and its Regulation UNR171</w:t>
        </w:r>
      </w:hyperlink>
      <w:r>
        <w:rPr/>
        <w:t xml:space="preserve"> - Driver Control Assistance Systems (DCAS) provide Level 2 partial automation, assisting with steering...</w:t>
      </w:r>
    </w:p>
    <w:p>
      <w:pPr>
        <w:numPr>
          <w:ilvl w:val="0"/>
          <w:numId w:val="14"/>
        </w:numPr>
        <w:spacing w:after="210" w:lineRule="auto"/>
      </w:pPr>
      <w:hyperlink r:id="rId37">
        <w:r>
          <w:rPr>
            <w:color w:val="4472C4"/>
          </w:rPr>
          <w:t xml:space="preserve">NHTSA Announces New Policies to Promote Autonomous Vehicles</w:t>
        </w:r>
      </w:hyperlink>
      <w:r>
        <w:rPr/>
        <w:t xml:space="preserve"> - On April 24, 2025, the Department of Transportation announced the new Automated Vehicle (AV) Framewo...</w:t>
      </w:r>
    </w:p>
    <w:p>
      <w:pPr>
        <w:numPr>
          <w:ilvl w:val="0"/>
          <w:numId w:val="14"/>
        </w:numPr>
        <w:spacing w:after="210" w:lineRule="auto"/>
      </w:pPr>
      <w:hyperlink r:id="rId38">
        <w:r>
          <w:rPr>
            <w:rFonts w:eastAsia="Georgia" w:cs="Georgia" w:ascii="Georgia" w:hAnsi="Georgia"/>
            <w:color w:val="4472C4"/>
          </w:rPr>
          <w:t xml:space="preserve">ADS-Equipped Vehicle Safety, Transparency, and Evaluation ...www.transportation.gov › regulations › federal-register-documents</w:t>
        </w:r>
      </w:hyperlink>
    </w:p>
    <w:p>
      <w:pPr>
        <w:numPr>
          <w:ilvl w:val="0"/>
          <w:numId w:val="14"/>
        </w:numPr>
        <w:spacing w:after="210" w:lineRule="auto"/>
      </w:pPr>
      <w:hyperlink r:id="rId39">
        <w:r>
          <w:rPr>
            <w:color w:val="4472C4"/>
          </w:rPr>
          <w:t xml:space="preserve">[PDF] New Car Assessment Program Final Decision | ADAS - NHTSA</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3"/>
      <w:numFmt w:val="decimal"/>
      <w:lvlText w:val="%1."/>
      <w:lvlJc w:val="left"/>
      <w:pPr>
        <w:tabs>
          <w:tab w:val="num" w:pos="1080"/>
        </w:tabs>
        <w:ind w:left="720" w:hanging="360"/>
      </w:pPr>
    </w:lvl>
  </w:abstractNum>
  <w:abstractNum w:abstractNumId="11">
    <w:multiLevelType w:val="hybridMultilevel"/>
    <w:lvl w:ilvl="0">
      <w:start w:val="6"/>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8"/>
      <w:numFmt w:val="decimal"/>
      <w:lvlText w:val="%1."/>
      <w:lvlJc w:val="left"/>
      <w:pPr>
        <w:tabs>
          <w:tab w:val="num" w:pos="1080"/>
        </w:tabs>
        <w:ind w:left="720" w:hanging="360"/>
      </w:pPr>
    </w:lvl>
  </w:abstractNum>
  <w:abstractNum w:abstractNumId="13">
    <w:multiLevelType w:val="hybridMultilevel"/>
    <w:lvl w:ilvl="0">
      <w:start w:val="10"/>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bannisterandwyatt.com/when-the-line-between-driver-and-machine-blurs-the-machine/" TargetMode="External"/><Relationship Id="rId6" Type="http://schemas.openxmlformats.org/officeDocument/2006/relationships/hyperlink" Target="https://www.heplerbroom.com/blog/navigating-liability-for-driverless-vehicles" TargetMode="External"/><Relationship Id="rId7" Type="http://schemas.openxmlformats.org/officeDocument/2006/relationships/hyperlink" Target="https://www.fiaregion1.com/wp-content/uploads/2026/01/Final_Report_ADAS_DCAS_FIA_2025.pdf" TargetMode="External"/><Relationship Id="rId8" Type="http://schemas.openxmlformats.org/officeDocument/2006/relationships/hyperlink" Target="https://www.appliedintuition.com/blog/navigating-dcas-regulations" TargetMode="External"/><Relationship Id="rId9" Type="http://schemas.openxmlformats.org/officeDocument/2006/relationships/hyperlink" Target="https://www.thedriverlesscommute.com/germany-completes-legal-framework-for-autonomous-driving/" TargetMode="External"/><Relationship Id="rId10" Type="http://schemas.openxmlformats.org/officeDocument/2006/relationships/hyperlink" Target="https://www.cliffordlaw.com/what-drivers-need-to-know-about-autonomous-car-liability/" TargetMode="External"/><Relationship Id="rId11" Type="http://schemas.openxmlformats.org/officeDocument/2006/relationships/hyperlink" Target="https://ilr.law.uiowa.edu/volume-109-issue-4/litigating-partial-autonomy" TargetMode="External"/><Relationship Id="rId12" Type="http://schemas.openxmlformats.org/officeDocument/2006/relationships/hyperlink" Target="https://cobbcountylaw.com/2025/11/02/how-advanced-driver-assistance-systems-adas-are-changing-car-accident-claims-2/" TargetMode="External"/><Relationship Id="rId13" Type="http://schemas.openxmlformats.org/officeDocument/2006/relationships/hyperlink" Target="https://acta.uni-obuda.hu/Drexler_Takacs_Nagy_Haidegger_96.pdf" TargetMode="External"/><Relationship Id="rId14" Type="http://schemas.openxmlformats.org/officeDocument/2006/relationships/hyperlink" Target="https://publications.ergonomics.org.uk/uploads/Rebuilding-drivers%E2%80%99-situation-awareness-during-take-over-requests-in-level-3-automated-cars.pdf" TargetMode="External"/><Relationship Id="rId15" Type="http://schemas.openxmlformats.org/officeDocument/2006/relationships/hyperlink" Target="https://bohrium.dp.tech/paper/arxiv/5be0ec90daa8aee2cb7ba242af4b7fbb3ca229fac023295e78788823420ebbcd" TargetMode="External"/><Relationship Id="rId16" Type="http://schemas.openxmlformats.org/officeDocument/2006/relationships/hyperlink" Target="https://www.informahealthcare.com/doi/epub/10.1080/00140139.2023.2210793" TargetMode="External"/><Relationship Id="rId17" Type="http://schemas.openxmlformats.org/officeDocument/2006/relationships/hyperlink" Target="https://www.sciencedirect.com/science/article/pii/S0001457520305558" TargetMode="External"/><Relationship Id="rId18" Type="http://schemas.openxmlformats.org/officeDocument/2006/relationships/hyperlink" Target="https://www.zego.com/blog/the-sae-levels-of-driving-automation-explained-levels-0-5/" TargetMode="External"/><Relationship Id="rId19" Type="http://schemas.openxmlformats.org/officeDocument/2006/relationships/hyperlink" Target="https://www.hurwitzfine.com/blog/liability-for-defective-advanced-driver-assistance-systems" TargetMode="External"/><Relationship Id="rId20" Type="http://schemas.openxmlformats.org/officeDocument/2006/relationships/hyperlink" Target="https://www.wshblaw.com/publication-navigating-liability-in-the-age-of-autonomous-vehicles" TargetMode="External"/><Relationship Id="rId21" Type="http://schemas.openxmlformats.org/officeDocument/2006/relationships/hyperlink" Target="https://fbswlaw.com/a-lawsuit-against-tesla-and-its-driver-assistance-technology-goes-to-trial-in-florida/" TargetMode="External"/><Relationship Id="rId22" Type="http://schemas.openxmlformats.org/officeDocument/2006/relationships/hyperlink" Target="https://www.hiltonsomer.com/product-liability-claims-involving-advanced-vehicle-technology/" TargetMode="External"/><Relationship Id="rId23" Type="http://schemas.openxmlformats.org/officeDocument/2006/relationships/hyperlink" Target="https://www.theguardian.com/technology/2025/aug/01/tesla-fatal-autopilot-crash-verdict" TargetMode="External"/><Relationship Id="rId24" Type="http://schemas.openxmlformats.org/officeDocument/2006/relationships/hyperlink" Target="https://www.reuters.com/world/us-judge-upholds-243-million-verdict-against-tesla-over-fatal-autopilot-crash-2026-02-20/" TargetMode="External"/><Relationship Id="rId25" Type="http://schemas.openxmlformats.org/officeDocument/2006/relationships/hyperlink" Target="https://www.bbc.com/news/articles/ckgdjx0vgn3o" TargetMode="External"/><Relationship Id="rId26" Type="http://schemas.openxmlformats.org/officeDocument/2006/relationships/hyperlink" Target="https://www.reedsmith.com/en/perspectives/2025/10/the-new-eu-product-liability-key-implications-autonomous-vehicle" TargetMode="External"/><Relationship Id="rId27" Type="http://schemas.openxmlformats.org/officeDocument/2006/relationships/hyperlink" Target="https://www.ga-alliance.eu/en/understanding-the-new-product-liability-directive-effective-8-december-2024/" TargetMode="External"/><Relationship Id="rId28" Type="http://schemas.openxmlformats.org/officeDocument/2006/relationships/hyperlink" Target="https://www.mhc.ie/latest/insights/revised-product-liability-directive-and-the-proposed-artificial-intelligence-liability-directive" TargetMode="External"/><Relationship Id="rId29" Type="http://schemas.openxmlformats.org/officeDocument/2006/relationships/hyperlink" Target="https://www.ddg.fr/actualite/legal-analysis-of-the-study-artificial-intelligence-and-civil-liability---a-european-perspective-pe-776-426-july-2025" TargetMode="External"/><Relationship Id="rId30" Type="http://schemas.openxmlformats.org/officeDocument/2006/relationships/hyperlink" Target="https://www.39essex.com/our-thinking/insights/uks-automated-vehicles-act-2024-comprehensive-overview/" TargetMode="External"/><Relationship Id="rId31" Type="http://schemas.openxmlformats.org/officeDocument/2006/relationships/hyperlink" Target="https://openreview.net/pdf?id=EH6SmoChx9" TargetMode="External"/><Relationship Id="rId32" Type="http://schemas.openxmlformats.org/officeDocument/2006/relationships/hyperlink" Target="https://www.connectedautomateddriving.eu/wp-content/uploads/2018/05/Tom-Michael-Gasser_Modifications_Germany.pdf" TargetMode="External"/><Relationship Id="rId33" Type="http://schemas.openxmlformats.org/officeDocument/2006/relationships/hyperlink" Target="https://www.loc.gov/item/global-legal-monitor/2021-08-09/germany-road-traffic-act-amendment-allows-driverless-vehicles-on-public-roads/" TargetMode="External"/><Relationship Id="rId34" Type="http://schemas.openxmlformats.org/officeDocument/2006/relationships/hyperlink" Target="https://www.ashurst.com/-/media/ashurst/documents/news-and-insights/legal-updates/2021/aug/in-pole-position.pdf" TargetMode="External"/><Relationship Id="rId35" Type="http://schemas.openxmlformats.org/officeDocument/2006/relationships/hyperlink" Target="https://unece.org/sites/default/files/2025-03/R171e.pdf" TargetMode="External"/><Relationship Id="rId36" Type="http://schemas.openxmlformats.org/officeDocument/2006/relationships/hyperlink" Target="https://www.youtube.com/watch?v=mKYRlCOj57c" TargetMode="External"/><Relationship Id="rId37" Type="http://schemas.openxmlformats.org/officeDocument/2006/relationships/hyperlink" Target="https://environmentalhealthsafetybrief.sidley.com/2025/04/29/nhtsa-announces-new-policies-to-promote-autonomous-vehicles/" TargetMode="External"/><Relationship Id="rId38" Type="http://schemas.openxmlformats.org/officeDocument/2006/relationships/hyperlink" Target="https://www.transportation.gov/regulations/federal-register-documents/2024-30854" TargetMode="External"/><Relationship Id="rId39" Type="http://schemas.openxmlformats.org/officeDocument/2006/relationships/hyperlink" Target="https://www.nhtsa.gov/sites/nhtsa.gov/files/2024-11/NCAP-Final-Decision-Notice-Advanced-Driver-Assistance-Systems-Roadmap-11182024-web.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2026-03-02T02:37:11.632Z</dcterms:created>
  <dcterms:modified xsi:type="dcterms:W3CDTF">2026-03-02T02:37:11.632Z</dcterms:modified>
</cp:coreProperties>
</file>